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7380" w14:textId="7EFD22B1" w:rsidR="00551055" w:rsidRPr="00551055" w:rsidRDefault="00551055" w:rsidP="001F16E6">
      <w:pPr>
        <w:keepNext/>
        <w:keepLines/>
        <w:spacing w:before="0" w:after="360" w:line="240" w:lineRule="auto"/>
        <w:ind w:left="788"/>
        <w:jc w:val="center"/>
        <w:outlineLvl w:val="0"/>
        <w:rPr>
          <w:i/>
          <w:iCs/>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bookmarkStart w:id="0" w:name="_Hlk194310341"/>
      <w:r w:rsidR="001F16E6" w:rsidRPr="00F76D74">
        <w:rPr>
          <w:rFonts w:ascii="Arial" w:hAnsi="Arial" w:cs="Arial"/>
          <w:b/>
          <w:bCs/>
          <w:color w:val="000080"/>
          <w:sz w:val="36"/>
          <w:szCs w:val="36"/>
        </w:rPr>
        <w:t>Public Summary Document</w:t>
      </w:r>
      <w:bookmarkEnd w:id="0"/>
      <w:r w:rsidRPr="00551055">
        <w:rPr>
          <w:iCs/>
        </w:rPr>
        <w:t xml:space="preserve"> </w:t>
      </w:r>
    </w:p>
    <w:p w14:paraId="7A128FDE" w14:textId="174EF486" w:rsidR="00772829" w:rsidRPr="00CE28E3" w:rsidRDefault="00772829" w:rsidP="00551055">
      <w:pPr>
        <w:pStyle w:val="Subtitle"/>
      </w:pPr>
      <w:r w:rsidRPr="78400F89">
        <w:t xml:space="preserve">Application No. </w:t>
      </w:r>
      <w:r w:rsidR="00270797" w:rsidRPr="78400F89">
        <w:t>1791</w:t>
      </w:r>
      <w:r w:rsidRPr="78400F89">
        <w:t xml:space="preserve"> – </w:t>
      </w:r>
      <w:proofErr w:type="spellStart"/>
      <w:r w:rsidR="00270797" w:rsidRPr="78400F89">
        <w:t>Dinutuximab</w:t>
      </w:r>
      <w:proofErr w:type="spellEnd"/>
      <w:r w:rsidR="00270797" w:rsidRPr="78400F89">
        <w:t xml:space="preserve"> beta for primary relapse and refractory high-risk neuroblastoma</w:t>
      </w:r>
    </w:p>
    <w:p w14:paraId="35263561" w14:textId="33C00F83" w:rsidR="00772829" w:rsidRPr="00CE28E3" w:rsidRDefault="00772829" w:rsidP="375F5CCE">
      <w:pPr>
        <w:tabs>
          <w:tab w:val="left" w:pos="3686"/>
        </w:tabs>
        <w:spacing w:after="240"/>
        <w:rPr>
          <w:rFonts w:ascii="Arial" w:hAnsi="Arial" w:cs="Arial"/>
          <w:b/>
          <w:bCs/>
        </w:rPr>
      </w:pPr>
      <w:r w:rsidRPr="375F5CCE">
        <w:rPr>
          <w:rFonts w:ascii="Arial" w:hAnsi="Arial" w:cs="Arial"/>
          <w:b/>
          <w:bCs/>
        </w:rPr>
        <w:t>Applicant:</w:t>
      </w:r>
      <w:r>
        <w:tab/>
      </w:r>
      <w:proofErr w:type="spellStart"/>
      <w:r w:rsidR="00270797" w:rsidRPr="375F5CCE">
        <w:rPr>
          <w:rFonts w:ascii="Arial" w:hAnsi="Arial" w:cs="Arial"/>
          <w:b/>
          <w:bCs/>
        </w:rPr>
        <w:t>Recordati</w:t>
      </w:r>
      <w:proofErr w:type="spellEnd"/>
      <w:r w:rsidR="00270797" w:rsidRPr="375F5CCE">
        <w:rPr>
          <w:rFonts w:ascii="Arial" w:hAnsi="Arial" w:cs="Arial"/>
          <w:b/>
          <w:bCs/>
        </w:rPr>
        <w:t xml:space="preserve"> Rare Diseases Australia</w:t>
      </w:r>
    </w:p>
    <w:p w14:paraId="20963001" w14:textId="02FF3A30" w:rsidR="00152BA5" w:rsidRDefault="00152BA5" w:rsidP="375F5CCE">
      <w:pPr>
        <w:spacing w:before="320"/>
        <w:rPr>
          <w:rFonts w:ascii="Arial" w:hAnsi="Arial" w:cs="Arial"/>
          <w:b/>
          <w:bCs/>
        </w:rPr>
      </w:pPr>
      <w:r w:rsidRPr="375F5CCE">
        <w:rPr>
          <w:rFonts w:ascii="Arial" w:hAnsi="Arial" w:cs="Arial"/>
          <w:b/>
          <w:bCs/>
        </w:rPr>
        <w:t xml:space="preserve">Date of </w:t>
      </w:r>
      <w:r w:rsidR="001F16E6">
        <w:rPr>
          <w:rFonts w:ascii="Arial" w:hAnsi="Arial" w:cs="Arial"/>
          <w:b/>
          <w:bCs/>
        </w:rPr>
        <w:t>MSAC</w:t>
      </w:r>
      <w:r w:rsidRPr="375F5CCE">
        <w:rPr>
          <w:rFonts w:ascii="Arial" w:hAnsi="Arial" w:cs="Arial"/>
          <w:b/>
          <w:bCs/>
        </w:rPr>
        <w:t xml:space="preserve"> consideration:</w:t>
      </w:r>
      <w:r>
        <w:tab/>
      </w:r>
      <w:r w:rsidR="001F16E6">
        <w:rPr>
          <w:rFonts w:ascii="Arial" w:hAnsi="Arial" w:cs="Arial"/>
          <w:b/>
          <w:bCs/>
        </w:rPr>
        <w:t>3-4 April</w:t>
      </w:r>
      <w:r w:rsidRPr="375F5CCE">
        <w:rPr>
          <w:rFonts w:ascii="Arial" w:hAnsi="Arial" w:cs="Arial"/>
          <w:b/>
          <w:bCs/>
        </w:rPr>
        <w:t xml:space="preserve"> 2025</w:t>
      </w:r>
    </w:p>
    <w:p w14:paraId="289E428F" w14:textId="5A6C2F94" w:rsidR="001F16E6" w:rsidRDefault="001F16E6" w:rsidP="375F5CCE">
      <w:pPr>
        <w:spacing w:before="320"/>
        <w:rPr>
          <w:rFonts w:ascii="Arial" w:hAnsi="Arial" w:cs="Arial"/>
          <w:b/>
          <w:bCs/>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EAA7262" w14:textId="21696772" w:rsidR="00772829" w:rsidRPr="00CE28E3" w:rsidRDefault="00772829" w:rsidP="00EE5979">
      <w:pPr>
        <w:pStyle w:val="Heading2"/>
        <w:numPr>
          <w:ilvl w:val="0"/>
          <w:numId w:val="22"/>
        </w:numPr>
        <w:ind w:hanging="720"/>
      </w:pPr>
      <w:bookmarkStart w:id="1" w:name="_Toc69491415"/>
      <w:r w:rsidRPr="00CE28E3">
        <w:t xml:space="preserve">Purpose </w:t>
      </w:r>
      <w:r w:rsidRPr="00CE28E3">
        <w:rPr>
          <w:szCs w:val="32"/>
        </w:rPr>
        <w:t>of</w:t>
      </w:r>
      <w:r w:rsidRPr="00CE28E3">
        <w:t xml:space="preserve"> application</w:t>
      </w:r>
      <w:bookmarkEnd w:id="1"/>
    </w:p>
    <w:p w14:paraId="6BF31FF2" w14:textId="3500C250" w:rsidR="00772829" w:rsidRDefault="00DE031D" w:rsidP="00772829">
      <w:pPr>
        <w:spacing w:after="240"/>
      </w:pPr>
      <w:bookmarkStart w:id="2" w:name="_Hlk69734469"/>
      <w:r>
        <w:t>An</w:t>
      </w:r>
      <w:r w:rsidR="00772829" w:rsidRPr="78400F89">
        <w:t xml:space="preserve"> application request</w:t>
      </w:r>
      <w:r>
        <w:t>ing</w:t>
      </w:r>
      <w:r w:rsidR="00772829" w:rsidRPr="78400F89">
        <w:t xml:space="preserve"> public funding </w:t>
      </w:r>
      <w:r w:rsidR="00C30AEF" w:rsidRPr="78400F89">
        <w:t xml:space="preserve">through the National Health Reform Agreement (NHRA) Addendum, </w:t>
      </w:r>
      <w:r w:rsidR="52F8A54B">
        <w:t xml:space="preserve">high cost, </w:t>
      </w:r>
      <w:r w:rsidR="7895A84C">
        <w:t>h</w:t>
      </w:r>
      <w:r w:rsidR="00C30AEF">
        <w:t xml:space="preserve">ighly </w:t>
      </w:r>
      <w:r w:rsidR="716037DE">
        <w:t>s</w:t>
      </w:r>
      <w:r w:rsidR="00C30AEF">
        <w:t xml:space="preserve">pecialised </w:t>
      </w:r>
      <w:r w:rsidR="554015D7">
        <w:t>t</w:t>
      </w:r>
      <w:r w:rsidR="00C30AEF" w:rsidRPr="78400F89">
        <w:t xml:space="preserve">herapies (HST) program </w:t>
      </w:r>
      <w:r w:rsidR="00772829" w:rsidRPr="78400F89">
        <w:t xml:space="preserve">of </w:t>
      </w:r>
      <w:proofErr w:type="spellStart"/>
      <w:r w:rsidR="00C30AEF" w:rsidRPr="78400F89">
        <w:t>dinutuximab</w:t>
      </w:r>
      <w:proofErr w:type="spellEnd"/>
      <w:r w:rsidR="00C30AEF" w:rsidRPr="78400F89">
        <w:t xml:space="preserve"> beta (DB)</w:t>
      </w:r>
      <w:r w:rsidR="00E941E9" w:rsidRPr="00E941E9">
        <w:t xml:space="preserve"> </w:t>
      </w:r>
      <w:r w:rsidR="00E941E9">
        <w:t>(</w:t>
      </w:r>
      <w:proofErr w:type="spellStart"/>
      <w:r w:rsidR="00E941E9" w:rsidRPr="00E941E9">
        <w:t>Qarziba</w:t>
      </w:r>
      <w:proofErr w:type="spellEnd"/>
      <w:r w:rsidR="00E941E9" w:rsidRPr="00E941E9">
        <w:t>®</w:t>
      </w:r>
      <w:r w:rsidR="00E941E9">
        <w:t>)</w:t>
      </w:r>
      <w:r w:rsidR="00C30AEF" w:rsidRPr="78400F89">
        <w:t xml:space="preserve"> </w:t>
      </w:r>
      <w:r w:rsidR="00772829" w:rsidRPr="78400F89">
        <w:t xml:space="preserve">for </w:t>
      </w:r>
      <w:r w:rsidR="00C30AEF" w:rsidRPr="78400F89">
        <w:t>primary relapse or refractory high-risk neuroblastoma (RRHRNBL)</w:t>
      </w:r>
      <w:r>
        <w:t xml:space="preserve"> was received from </w:t>
      </w:r>
      <w:proofErr w:type="spellStart"/>
      <w:r>
        <w:t>Recordati</w:t>
      </w:r>
      <w:proofErr w:type="spellEnd"/>
      <w:r>
        <w:t xml:space="preserve"> Rare Diseases Australia by the Department of Health and Aged Care</w:t>
      </w:r>
      <w:r w:rsidR="00772829" w:rsidRPr="78400F89">
        <w:t>.</w:t>
      </w:r>
    </w:p>
    <w:p w14:paraId="3ED0F759" w14:textId="77777777" w:rsidR="001F16E6" w:rsidRPr="00D155C0" w:rsidRDefault="001F16E6" w:rsidP="00EE5979">
      <w:pPr>
        <w:pStyle w:val="Heading2"/>
        <w:numPr>
          <w:ilvl w:val="0"/>
          <w:numId w:val="22"/>
        </w:numPr>
        <w:ind w:hanging="720"/>
      </w:pPr>
      <w:bookmarkStart w:id="3" w:name="_Hlk193982496"/>
      <w:bookmarkStart w:id="4" w:name="_Hlk194308564"/>
      <w:r w:rsidRPr="00D155C0">
        <w:t>MSAC’s advice to the Minister</w:t>
      </w:r>
    </w:p>
    <w:p w14:paraId="4D6CCC47" w14:textId="398F351B" w:rsidR="00521850" w:rsidRPr="00030ED1" w:rsidRDefault="001F16E6" w:rsidP="00521850">
      <w:pPr>
        <w:rPr>
          <w:rFonts w:eastAsia="Franklin Gothic Book" w:cs="Franklin Gothic Book"/>
        </w:rPr>
      </w:pPr>
      <w:r w:rsidRPr="00333EDF">
        <w:t xml:space="preserve">After considering the strength of the available evidence in relation to comparative safety, clinical effectiveness, cost-effectiveness and total cost, </w:t>
      </w:r>
      <w:r w:rsidR="00521850" w:rsidRPr="5BF6A307">
        <w:rPr>
          <w:rFonts w:eastAsia="Franklin Gothic Book" w:cs="Franklin Gothic Book"/>
        </w:rPr>
        <w:t>MSAC</w:t>
      </w:r>
      <w:r w:rsidR="00521850" w:rsidRPr="5BF6A307" w:rsidDel="004904A1">
        <w:rPr>
          <w:rFonts w:eastAsia="Franklin Gothic Book" w:cs="Franklin Gothic Book"/>
        </w:rPr>
        <w:t xml:space="preserve"> </w:t>
      </w:r>
      <w:r w:rsidR="00521850" w:rsidRPr="5BF6A307">
        <w:rPr>
          <w:rFonts w:eastAsia="Franklin Gothic Book" w:cs="Franklin Gothic Book"/>
        </w:rPr>
        <w:t>support</w:t>
      </w:r>
      <w:r w:rsidR="00521850">
        <w:rPr>
          <w:rFonts w:eastAsia="Franklin Gothic Book" w:cs="Franklin Gothic Book"/>
        </w:rPr>
        <w:t>ed the</w:t>
      </w:r>
      <w:r w:rsidR="00521850" w:rsidRPr="5BF6A307">
        <w:rPr>
          <w:rFonts w:eastAsia="Franklin Gothic Book" w:cs="Franklin Gothic Book"/>
        </w:rPr>
        <w:t xml:space="preserve"> public funding </w:t>
      </w:r>
      <w:r w:rsidR="00521850">
        <w:rPr>
          <w:rFonts w:eastAsia="Franklin Gothic Book" w:cs="Franklin Gothic Book"/>
        </w:rPr>
        <w:t xml:space="preserve">of </w:t>
      </w:r>
      <w:proofErr w:type="spellStart"/>
      <w:r w:rsidR="00521850">
        <w:rPr>
          <w:rFonts w:eastAsia="Franklin Gothic Book" w:cs="Franklin Gothic Book"/>
        </w:rPr>
        <w:t>dinutuximab</w:t>
      </w:r>
      <w:proofErr w:type="spellEnd"/>
      <w:r w:rsidR="00521850">
        <w:rPr>
          <w:rFonts w:eastAsia="Franklin Gothic Book" w:cs="Franklin Gothic Book"/>
        </w:rPr>
        <w:t xml:space="preserve"> beta (DB; </w:t>
      </w:r>
      <w:proofErr w:type="spellStart"/>
      <w:r w:rsidR="00521850">
        <w:rPr>
          <w:rFonts w:eastAsia="Franklin Gothic Book" w:cs="Franklin Gothic Book"/>
        </w:rPr>
        <w:t>Qarziba</w:t>
      </w:r>
      <w:proofErr w:type="spellEnd"/>
      <w:r w:rsidR="00521850">
        <w:rPr>
          <w:rFonts w:eastAsia="Franklin Gothic Book" w:cs="Franklin Gothic Book"/>
        </w:rPr>
        <w:t xml:space="preserve">®) as a Highly Specialised Therapy (HST) </w:t>
      </w:r>
      <w:r w:rsidR="00521850" w:rsidRPr="5BF6A307">
        <w:rPr>
          <w:rFonts w:eastAsia="Franklin Gothic Book" w:cs="Franklin Gothic Book"/>
        </w:rPr>
        <w:t>through the National Health Reform Agreement (NHRA) Addendum</w:t>
      </w:r>
      <w:r w:rsidR="00521850">
        <w:rPr>
          <w:rFonts w:eastAsia="Franklin Gothic Book" w:cs="Franklin Gothic Book"/>
        </w:rPr>
        <w:t xml:space="preserve"> </w:t>
      </w:r>
      <w:r w:rsidR="00521850" w:rsidRPr="5BF6A307">
        <w:rPr>
          <w:rFonts w:eastAsia="Franklin Gothic Book" w:cs="Franklin Gothic Book"/>
        </w:rPr>
        <w:t>for primary relapse</w:t>
      </w:r>
      <w:r w:rsidR="00521850">
        <w:rPr>
          <w:rFonts w:eastAsia="Franklin Gothic Book" w:cs="Franklin Gothic Book"/>
        </w:rPr>
        <w:t>d</w:t>
      </w:r>
      <w:r w:rsidR="00521850" w:rsidRPr="5BF6A307">
        <w:rPr>
          <w:rFonts w:eastAsia="Franklin Gothic Book" w:cs="Franklin Gothic Book"/>
        </w:rPr>
        <w:t xml:space="preserve"> or refractory</w:t>
      </w:r>
      <w:r w:rsidR="00521850">
        <w:rPr>
          <w:rFonts w:eastAsia="Franklin Gothic Book" w:cs="Franklin Gothic Book"/>
        </w:rPr>
        <w:t xml:space="preserve"> (RR)</w:t>
      </w:r>
      <w:r w:rsidR="00521850" w:rsidRPr="5BF6A307">
        <w:rPr>
          <w:rFonts w:eastAsia="Franklin Gothic Book" w:cs="Franklin Gothic Book"/>
        </w:rPr>
        <w:t xml:space="preserve"> high-risk neuroblastoma (HRNBL).</w:t>
      </w:r>
    </w:p>
    <w:p w14:paraId="42C4B0AF" w14:textId="10E8DEC6" w:rsidR="00521850" w:rsidRDefault="00521850" w:rsidP="00366B48">
      <w:pPr>
        <w:rPr>
          <w:rFonts w:eastAsia="Franklin Gothic Book" w:cs="Franklin Gothic Book"/>
        </w:rPr>
      </w:pPr>
      <w:r>
        <w:rPr>
          <w:rFonts w:eastAsia="Franklin Gothic Book" w:cs="Franklin Gothic Book"/>
        </w:rPr>
        <w:t>MSAC recognised</w:t>
      </w:r>
      <w:r w:rsidRPr="5BF6A307">
        <w:rPr>
          <w:rFonts w:eastAsia="Franklin Gothic Book" w:cs="Franklin Gothic Book"/>
        </w:rPr>
        <w:t xml:space="preserve"> the clinical need </w:t>
      </w:r>
      <w:r>
        <w:rPr>
          <w:rFonts w:eastAsia="Franklin Gothic Book" w:cs="Franklin Gothic Book"/>
        </w:rPr>
        <w:t>for access to new</w:t>
      </w:r>
      <w:r w:rsidRPr="5BF6A307">
        <w:rPr>
          <w:rFonts w:eastAsia="Franklin Gothic Book" w:cs="Franklin Gothic Book"/>
        </w:rPr>
        <w:t xml:space="preserve"> therap</w:t>
      </w:r>
      <w:r>
        <w:rPr>
          <w:rFonts w:eastAsia="Franklin Gothic Book" w:cs="Franklin Gothic Book"/>
        </w:rPr>
        <w:t>ies</w:t>
      </w:r>
      <w:r w:rsidRPr="5BF6A307">
        <w:rPr>
          <w:rFonts w:eastAsia="Franklin Gothic Book" w:cs="Franklin Gothic Book"/>
        </w:rPr>
        <w:t xml:space="preserve"> </w:t>
      </w:r>
      <w:r>
        <w:rPr>
          <w:rFonts w:eastAsia="Franklin Gothic Book" w:cs="Franklin Gothic Book"/>
        </w:rPr>
        <w:t>in</w:t>
      </w:r>
      <w:r w:rsidRPr="5BF6A307">
        <w:rPr>
          <w:rFonts w:eastAsia="Franklin Gothic Book" w:cs="Franklin Gothic Book"/>
        </w:rPr>
        <w:t xml:space="preserve"> the RRHRNBL population</w:t>
      </w:r>
      <w:r>
        <w:rPr>
          <w:rFonts w:eastAsia="Franklin Gothic Book" w:cs="Franklin Gothic Book"/>
        </w:rPr>
        <w:t xml:space="preserve"> and </w:t>
      </w:r>
      <w:r w:rsidRPr="5BF6A307">
        <w:rPr>
          <w:rFonts w:eastAsia="Franklin Gothic Book" w:cs="Franklin Gothic Book"/>
        </w:rPr>
        <w:t>note</w:t>
      </w:r>
      <w:r>
        <w:rPr>
          <w:rFonts w:eastAsia="Franklin Gothic Book" w:cs="Franklin Gothic Book"/>
        </w:rPr>
        <w:t>d</w:t>
      </w:r>
      <w:r w:rsidRPr="5BF6A307">
        <w:rPr>
          <w:rFonts w:eastAsia="Franklin Gothic Book" w:cs="Franklin Gothic Book"/>
        </w:rPr>
        <w:t xml:space="preserve"> that DB is already funded </w:t>
      </w:r>
      <w:r>
        <w:rPr>
          <w:rFonts w:eastAsia="Franklin Gothic Book" w:cs="Franklin Gothic Book"/>
        </w:rPr>
        <w:t xml:space="preserve">as an HST through the NHRA for some patients with </w:t>
      </w:r>
      <w:r w:rsidRPr="5BF6A307">
        <w:rPr>
          <w:rFonts w:eastAsia="Franklin Gothic Book" w:cs="Franklin Gothic Book"/>
        </w:rPr>
        <w:t>HRNBL</w:t>
      </w:r>
      <w:r>
        <w:rPr>
          <w:rFonts w:eastAsia="Franklin Gothic Book" w:cs="Franklin Gothic Book"/>
        </w:rPr>
        <w:t>.</w:t>
      </w:r>
      <w:r w:rsidRPr="5BF6A307">
        <w:rPr>
          <w:rFonts w:eastAsia="Franklin Gothic Book" w:cs="Franklin Gothic Book"/>
        </w:rPr>
        <w:t xml:space="preserve"> </w:t>
      </w:r>
      <w:r>
        <w:rPr>
          <w:rFonts w:eastAsia="Franklin Gothic Book" w:cs="Franklin Gothic Book"/>
        </w:rPr>
        <w:t xml:space="preserve">MSAC noted that </w:t>
      </w:r>
      <w:r w:rsidRPr="6F180377">
        <w:rPr>
          <w:rFonts w:eastAsia="Franklin Gothic Book" w:cs="Franklin Gothic Book"/>
        </w:rPr>
        <w:t>there were uncertainties in the available</w:t>
      </w:r>
      <w:r>
        <w:rPr>
          <w:rFonts w:eastAsia="Franklin Gothic Book" w:cs="Franklin Gothic Book"/>
        </w:rPr>
        <w:t xml:space="preserve"> clinical evidence, largely due to the rarity of the condition; however, MSAC considered that, overall, DB</w:t>
      </w:r>
      <w:r w:rsidRPr="5BF6A307" w:rsidDel="000734A0">
        <w:rPr>
          <w:rFonts w:eastAsia="Franklin Gothic Book" w:cs="Franklin Gothic Book"/>
        </w:rPr>
        <w:t xml:space="preserve"> </w:t>
      </w:r>
      <w:r w:rsidRPr="5BF6A307">
        <w:rPr>
          <w:rFonts w:eastAsia="Franklin Gothic Book" w:cs="Franklin Gothic Book"/>
        </w:rPr>
        <w:t>appear</w:t>
      </w:r>
      <w:r>
        <w:rPr>
          <w:rFonts w:eastAsia="Franklin Gothic Book" w:cs="Franklin Gothic Book"/>
        </w:rPr>
        <w:t>ed</w:t>
      </w:r>
      <w:r w:rsidRPr="5BF6A307">
        <w:rPr>
          <w:rFonts w:eastAsia="Franklin Gothic Book" w:cs="Franklin Gothic Book"/>
        </w:rPr>
        <w:t xml:space="preserve"> to have clinical benefit</w:t>
      </w:r>
      <w:r>
        <w:rPr>
          <w:rFonts w:eastAsia="Franklin Gothic Book" w:cs="Franklin Gothic Book"/>
        </w:rPr>
        <w:t xml:space="preserve"> with a clinically important response rate</w:t>
      </w:r>
      <w:r w:rsidRPr="5BF6A307">
        <w:rPr>
          <w:rFonts w:eastAsia="Franklin Gothic Book" w:cs="Franklin Gothic Book"/>
        </w:rPr>
        <w:t xml:space="preserve"> </w:t>
      </w:r>
      <w:r>
        <w:rPr>
          <w:rFonts w:eastAsia="Franklin Gothic Book" w:cs="Franklin Gothic Book"/>
        </w:rPr>
        <w:t>in the RRHNRBL population. MSAC further noted that DB was considered standard of care for RRHRNBL.</w:t>
      </w:r>
      <w:r w:rsidRPr="5BF6A307">
        <w:rPr>
          <w:rFonts w:eastAsia="Franklin Gothic Book" w:cs="Franklin Gothic Book"/>
        </w:rPr>
        <w:t xml:space="preserve"> </w:t>
      </w:r>
    </w:p>
    <w:p w14:paraId="37B978E8" w14:textId="3E853148" w:rsidR="001F16E6" w:rsidRDefault="00521850" w:rsidP="00366B48">
      <w:pPr>
        <w:pStyle w:val="TableFooter"/>
        <w:rPr>
          <w:rFonts w:ascii="Franklin Gothic Book" w:hAnsi="Franklin Gothic Book"/>
          <w:sz w:val="22"/>
          <w:szCs w:val="22"/>
        </w:rPr>
      </w:pPr>
      <w:r w:rsidRPr="358AA807">
        <w:rPr>
          <w:rFonts w:ascii="Franklin Gothic Book" w:eastAsia="Franklin Gothic Book" w:hAnsi="Franklin Gothic Book" w:cs="Franklin Gothic Book"/>
          <w:sz w:val="22"/>
          <w:szCs w:val="22"/>
        </w:rPr>
        <w:t xml:space="preserve">MSAC noted that the NHRA Addendum requires, by definition, that HSTs are </w:t>
      </w:r>
      <w:r w:rsidR="093C09F7" w:rsidRPr="655F695E">
        <w:rPr>
          <w:rFonts w:ascii="Franklin Gothic Book" w:eastAsia="Franklin Gothic Book" w:hAnsi="Franklin Gothic Book" w:cs="Franklin Gothic Book"/>
          <w:sz w:val="22"/>
          <w:szCs w:val="22"/>
        </w:rPr>
        <w:t>T</w:t>
      </w:r>
      <w:r w:rsidR="7EE60B96" w:rsidRPr="655F695E">
        <w:rPr>
          <w:rFonts w:ascii="Franklin Gothic Book" w:eastAsia="Franklin Gothic Book" w:hAnsi="Franklin Gothic Book" w:cs="Franklin Gothic Book"/>
          <w:sz w:val="22"/>
          <w:szCs w:val="22"/>
        </w:rPr>
        <w:t xml:space="preserve">herapeutic </w:t>
      </w:r>
      <w:r w:rsidR="6B3D36AF" w:rsidRPr="655F695E">
        <w:rPr>
          <w:rFonts w:ascii="Franklin Gothic Book" w:eastAsia="Franklin Gothic Book" w:hAnsi="Franklin Gothic Book" w:cs="Franklin Gothic Book"/>
          <w:sz w:val="22"/>
          <w:szCs w:val="22"/>
        </w:rPr>
        <w:t>G</w:t>
      </w:r>
      <w:r w:rsidR="7EE60B96" w:rsidRPr="655F695E">
        <w:rPr>
          <w:rFonts w:ascii="Franklin Gothic Book" w:eastAsia="Franklin Gothic Book" w:hAnsi="Franklin Gothic Book" w:cs="Franklin Gothic Book"/>
          <w:sz w:val="22"/>
          <w:szCs w:val="22"/>
        </w:rPr>
        <w:t xml:space="preserve">oods </w:t>
      </w:r>
      <w:r w:rsidR="5C2DB885" w:rsidRPr="655F695E">
        <w:rPr>
          <w:rFonts w:ascii="Franklin Gothic Book" w:eastAsia="Franklin Gothic Book" w:hAnsi="Franklin Gothic Book" w:cs="Franklin Gothic Book"/>
          <w:sz w:val="22"/>
          <w:szCs w:val="22"/>
        </w:rPr>
        <w:t>A</w:t>
      </w:r>
      <w:r w:rsidR="7EE60B96" w:rsidRPr="655F695E">
        <w:rPr>
          <w:rFonts w:ascii="Franklin Gothic Book" w:eastAsia="Franklin Gothic Book" w:hAnsi="Franklin Gothic Book" w:cs="Franklin Gothic Book"/>
          <w:sz w:val="22"/>
          <w:szCs w:val="22"/>
        </w:rPr>
        <w:t>dministration (</w:t>
      </w:r>
      <w:r w:rsidRPr="358AA807">
        <w:rPr>
          <w:rFonts w:ascii="Franklin Gothic Book" w:eastAsia="Franklin Gothic Book" w:hAnsi="Franklin Gothic Book" w:cs="Franklin Gothic Book"/>
          <w:sz w:val="22"/>
          <w:szCs w:val="22"/>
        </w:rPr>
        <w:t>TGA</w:t>
      </w:r>
      <w:r w:rsidR="370DEAC5" w:rsidRPr="655F695E">
        <w:rPr>
          <w:rFonts w:ascii="Franklin Gothic Book" w:eastAsia="Franklin Gothic Book" w:hAnsi="Franklin Gothic Book" w:cs="Franklin Gothic Book"/>
          <w:sz w:val="22"/>
          <w:szCs w:val="22"/>
        </w:rPr>
        <w:t>)</w:t>
      </w:r>
      <w:r w:rsidRPr="358AA807">
        <w:rPr>
          <w:rFonts w:ascii="Franklin Gothic Book" w:eastAsia="Franklin Gothic Book" w:hAnsi="Franklin Gothic Book" w:cs="Franklin Gothic Book"/>
          <w:sz w:val="22"/>
          <w:szCs w:val="22"/>
        </w:rPr>
        <w:t xml:space="preserve"> approved, and that the average annual treatment cost at the commencement of funding exceeds $200,000 per patient, including ancillary services. MSAC considered that DB treatment (including ancillary costs) is expected to cost more than $200,000 per patient. MSAC considered advice from the TGA that provided a treating physician considered that RR patients had achieved at least a partial response to induction chemotherapy, by any measure considered clinically appropriate, they would be within the existing indication. MSAC considered that DB treatment for the requested RRHRNBL population is covered by the intention of the current TGA indication for DB. MSAC therefore considered DB for the proposed population met </w:t>
      </w:r>
      <w:r w:rsidR="00927F24">
        <w:rPr>
          <w:rFonts w:ascii="Franklin Gothic Book" w:eastAsia="Franklin Gothic Book" w:hAnsi="Franklin Gothic Book" w:cs="Franklin Gothic Book"/>
          <w:sz w:val="22"/>
          <w:szCs w:val="22"/>
        </w:rPr>
        <w:t>this</w:t>
      </w:r>
      <w:r w:rsidR="00927F24" w:rsidRPr="358AA807">
        <w:rPr>
          <w:rFonts w:ascii="Franklin Gothic Book" w:eastAsia="Franklin Gothic Book" w:hAnsi="Franklin Gothic Book" w:cs="Franklin Gothic Book"/>
          <w:sz w:val="22"/>
          <w:szCs w:val="22"/>
        </w:rPr>
        <w:t xml:space="preserve"> </w:t>
      </w:r>
      <w:r w:rsidRPr="358AA807">
        <w:rPr>
          <w:rFonts w:ascii="Franklin Gothic Book" w:eastAsia="Franklin Gothic Book" w:hAnsi="Franklin Gothic Book" w:cs="Franklin Gothic Book"/>
          <w:sz w:val="22"/>
          <w:szCs w:val="22"/>
        </w:rPr>
        <w:t xml:space="preserve">NHRA Addendum </w:t>
      </w:r>
      <w:r w:rsidR="00CA1213" w:rsidRPr="358AA807">
        <w:rPr>
          <w:rFonts w:ascii="Franklin Gothic Book" w:eastAsia="Franklin Gothic Book" w:hAnsi="Franklin Gothic Book" w:cs="Franklin Gothic Book"/>
          <w:sz w:val="22"/>
          <w:szCs w:val="22"/>
        </w:rPr>
        <w:t>criteri</w:t>
      </w:r>
      <w:r w:rsidR="00CA1213">
        <w:rPr>
          <w:rFonts w:ascii="Franklin Gothic Book" w:eastAsia="Franklin Gothic Book" w:hAnsi="Franklin Gothic Book" w:cs="Franklin Gothic Book"/>
          <w:sz w:val="22"/>
          <w:szCs w:val="22"/>
        </w:rPr>
        <w:t>on</w:t>
      </w:r>
      <w:r w:rsidR="00CA1213" w:rsidRPr="358AA807">
        <w:rPr>
          <w:rFonts w:ascii="Franklin Gothic Book" w:eastAsia="Franklin Gothic Book" w:hAnsi="Franklin Gothic Book" w:cs="Franklin Gothic Book"/>
          <w:sz w:val="22"/>
          <w:szCs w:val="22"/>
        </w:rPr>
        <w:t xml:space="preserve"> </w:t>
      </w:r>
      <w:r w:rsidRPr="358AA807">
        <w:rPr>
          <w:rFonts w:ascii="Franklin Gothic Book" w:eastAsia="Franklin Gothic Book" w:hAnsi="Franklin Gothic Book" w:cs="Franklin Gothic Book"/>
          <w:sz w:val="22"/>
          <w:szCs w:val="22"/>
        </w:rPr>
        <w:t>for HST funding.  MSAC noted that the extension of DB funding to this population would still be within the agreed financial caps for DB treatment for HRNBL.</w:t>
      </w:r>
    </w:p>
    <w:tbl>
      <w:tblPr>
        <w:tblStyle w:val="Section3-footnot1"/>
        <w:tblW w:w="0" w:type="auto"/>
        <w:tblLook w:val="04A0" w:firstRow="1" w:lastRow="0" w:firstColumn="1" w:lastColumn="0" w:noHBand="0" w:noVBand="1"/>
        <w:tblDescription w:val="Consumer summary of MSAC consideration"/>
      </w:tblPr>
      <w:tblGrid>
        <w:gridCol w:w="9016"/>
      </w:tblGrid>
      <w:tr w:rsidR="001F16E6" w:rsidRPr="00F91D6E" w14:paraId="41A4A4F8" w14:textId="77777777">
        <w:trPr>
          <w:tblHeader/>
        </w:trPr>
        <w:tc>
          <w:tcPr>
            <w:tcW w:w="9016" w:type="dxa"/>
          </w:tcPr>
          <w:p w14:paraId="61602CD4" w14:textId="77777777" w:rsidR="001F16E6" w:rsidRPr="00F91D6E" w:rsidRDefault="001F16E6">
            <w:pPr>
              <w:keepNext/>
              <w:keepLines/>
              <w:spacing w:line="259" w:lineRule="auto"/>
              <w:rPr>
                <w:rFonts w:eastAsia="Calibri"/>
                <w:b/>
                <w:bCs/>
              </w:rPr>
            </w:pPr>
            <w:r w:rsidRPr="00F91D6E">
              <w:rPr>
                <w:b/>
                <w:bCs/>
              </w:rPr>
              <w:lastRenderedPageBreak/>
              <w:t>Consumer summary</w:t>
            </w:r>
          </w:p>
        </w:tc>
      </w:tr>
      <w:tr w:rsidR="001F16E6" w:rsidRPr="00F91D6E" w14:paraId="41B66B4E" w14:textId="77777777">
        <w:tc>
          <w:tcPr>
            <w:tcW w:w="9016" w:type="dxa"/>
          </w:tcPr>
          <w:p w14:paraId="7C47F47E" w14:textId="718A374C" w:rsidR="004B67AB" w:rsidRDefault="004B67AB" w:rsidP="004B67AB">
            <w:pPr>
              <w:keepNext/>
              <w:keepLines/>
              <w:outlineLvl w:val="2"/>
            </w:pPr>
            <w:r>
              <w:t xml:space="preserve">This application from </w:t>
            </w:r>
            <w:proofErr w:type="spellStart"/>
            <w:r>
              <w:t>Recordati</w:t>
            </w:r>
            <w:proofErr w:type="spellEnd"/>
            <w:r>
              <w:t xml:space="preserve"> Rare Diseases Australia request</w:t>
            </w:r>
            <w:r w:rsidR="00D26A5E">
              <w:t>ed</w:t>
            </w:r>
            <w:r>
              <w:t xml:space="preserve"> </w:t>
            </w:r>
            <w:r w:rsidR="009A0E69">
              <w:t xml:space="preserve">joint Commonwealth and State/Territory </w:t>
            </w:r>
            <w:r>
              <w:t xml:space="preserve">public funding through the National Health Reform Agreement Addendum, </w:t>
            </w:r>
            <w:r w:rsidR="2F6AA348">
              <w:t>high cost, h</w:t>
            </w:r>
            <w:r>
              <w:t xml:space="preserve">ighly </w:t>
            </w:r>
            <w:r w:rsidR="65F70DFF">
              <w:t>s</w:t>
            </w:r>
            <w:r>
              <w:t xml:space="preserve">pecialised </w:t>
            </w:r>
            <w:r w:rsidR="32636720">
              <w:t>t</w:t>
            </w:r>
            <w:r>
              <w:t xml:space="preserve">herapies program of </w:t>
            </w:r>
            <w:proofErr w:type="spellStart"/>
            <w:r>
              <w:t>dinutuximab</w:t>
            </w:r>
            <w:proofErr w:type="spellEnd"/>
            <w:r>
              <w:t xml:space="preserve"> beta </w:t>
            </w:r>
            <w:r w:rsidR="00F63A07">
              <w:t xml:space="preserve">(DB) </w:t>
            </w:r>
            <w:r>
              <w:t xml:space="preserve">for </w:t>
            </w:r>
            <w:r w:rsidR="00A643D9">
              <w:t>patients</w:t>
            </w:r>
            <w:r>
              <w:t xml:space="preserve"> with high-risk neuroblastoma who </w:t>
            </w:r>
            <w:r w:rsidR="009A0E69">
              <w:t>either had</w:t>
            </w:r>
            <w:r w:rsidR="00DE031D">
              <w:t xml:space="preserve"> </w:t>
            </w:r>
            <w:r w:rsidR="00283C69">
              <w:t xml:space="preserve">recurrent (relapsed) </w:t>
            </w:r>
            <w:r w:rsidR="00D26A5E">
              <w:t xml:space="preserve">disease </w:t>
            </w:r>
            <w:r w:rsidR="00DE031D">
              <w:t xml:space="preserve">after </w:t>
            </w:r>
            <w:r w:rsidR="003F70EF">
              <w:t>initial treatment</w:t>
            </w:r>
            <w:r w:rsidR="00283C69">
              <w:t xml:space="preserve"> (called induction treatment)</w:t>
            </w:r>
            <w:r w:rsidR="003F70EF">
              <w:t xml:space="preserve">, </w:t>
            </w:r>
            <w:r>
              <w:t xml:space="preserve">or </w:t>
            </w:r>
            <w:r w:rsidR="0015431F">
              <w:t xml:space="preserve">did </w:t>
            </w:r>
            <w:r>
              <w:t xml:space="preserve">not respond </w:t>
            </w:r>
            <w:r w:rsidR="008352E2">
              <w:t xml:space="preserve">(refractory) </w:t>
            </w:r>
            <w:r>
              <w:t>to initial treatment.</w:t>
            </w:r>
          </w:p>
          <w:p w14:paraId="6F7B8633" w14:textId="042B64C6" w:rsidR="004B67AB" w:rsidRDefault="004B67AB" w:rsidP="004B67AB">
            <w:pPr>
              <w:keepNext/>
              <w:keepLines/>
              <w:outlineLvl w:val="2"/>
            </w:pPr>
            <w:r>
              <w:t>Neuroblastoma</w:t>
            </w:r>
            <w:r w:rsidR="00C2712F">
              <w:t xml:space="preserve"> is a rare </w:t>
            </w:r>
            <w:r w:rsidR="003F70EF">
              <w:t>type of cancer</w:t>
            </w:r>
            <w:r w:rsidR="00C2712F">
              <w:t xml:space="preserve"> that</w:t>
            </w:r>
            <w:r>
              <w:t xml:space="preserve"> affects the sympathetic nervous system</w:t>
            </w:r>
            <w:r w:rsidR="0065330D">
              <w:t xml:space="preserve">. It </w:t>
            </w:r>
            <w:r w:rsidR="00C16FB3">
              <w:t xml:space="preserve">mainly affects young </w:t>
            </w:r>
            <w:proofErr w:type="gramStart"/>
            <w:r w:rsidR="00C16FB3">
              <w:t>children, and</w:t>
            </w:r>
            <w:proofErr w:type="gramEnd"/>
            <w:r w:rsidR="00C16FB3">
              <w:t xml:space="preserve"> </w:t>
            </w:r>
            <w:r w:rsidR="0065330D">
              <w:t>is</w:t>
            </w:r>
            <w:r>
              <w:t xml:space="preserve"> the most frequently diagnosed cancer in children less than one year old (around 55 cases per year in Australia). Children diagnosed with neuroblastoma have a poor long-term outlook, and about half are classified as having high-risk (aggressive) disease. </w:t>
            </w:r>
          </w:p>
          <w:p w14:paraId="70D83940" w14:textId="420E5C53" w:rsidR="004B67AB" w:rsidRDefault="00F63A07" w:rsidP="004B67AB">
            <w:pPr>
              <w:keepNext/>
              <w:keepLines/>
              <w:outlineLvl w:val="2"/>
            </w:pPr>
            <w:r>
              <w:t>DB</w:t>
            </w:r>
            <w:r w:rsidR="004B67AB">
              <w:t xml:space="preserve"> </w:t>
            </w:r>
            <w:r w:rsidR="005F3B97" w:rsidRPr="005F3B97">
              <w:t>is an immune protein (antibody) therapy designed to attack neuroblastoma cells that is given into a vein as treatment</w:t>
            </w:r>
            <w:r w:rsidR="004B67AB">
              <w:t xml:space="preserve">. </w:t>
            </w:r>
            <w:r>
              <w:t>DB</w:t>
            </w:r>
            <w:r w:rsidR="00C2712F">
              <w:t xml:space="preserve"> treatment is currently funded for patients who achieve at least a partial response to induction chemotherapy. This application sought to extend funding to patients who experience primary relapse or are refractory to induction treatment. </w:t>
            </w:r>
            <w:r w:rsidR="004B67AB">
              <w:t xml:space="preserve">It is proposed to be used </w:t>
            </w:r>
            <w:r w:rsidR="00B14EB1">
              <w:t>alongside</w:t>
            </w:r>
            <w:r w:rsidR="004B67AB">
              <w:t xml:space="preserve"> combination chemotherapy (using 2 or more medications) in </w:t>
            </w:r>
            <w:r w:rsidR="00C2712F">
              <w:t xml:space="preserve">these </w:t>
            </w:r>
            <w:r w:rsidR="004B67AB">
              <w:t xml:space="preserve">patients. </w:t>
            </w:r>
          </w:p>
          <w:p w14:paraId="6459A3C5" w14:textId="4C237E48" w:rsidR="001F16E6" w:rsidRDefault="004B67AB" w:rsidP="004B67AB">
            <w:pPr>
              <w:keepNext/>
              <w:keepLines/>
              <w:spacing w:after="160" w:line="259" w:lineRule="auto"/>
              <w:outlineLvl w:val="2"/>
            </w:pPr>
            <w:r>
              <w:t xml:space="preserve">MSAC acknowledged that </w:t>
            </w:r>
            <w:r w:rsidR="00946193">
              <w:t>DB</w:t>
            </w:r>
            <w:r>
              <w:t xml:space="preserve"> is already considered standard of care in Australia for </w:t>
            </w:r>
            <w:r w:rsidR="0048338E">
              <w:t>the</w:t>
            </w:r>
            <w:r>
              <w:t xml:space="preserve"> small </w:t>
            </w:r>
            <w:r w:rsidR="00D26A5E">
              <w:t>number of patients</w:t>
            </w:r>
            <w:r w:rsidR="0048338E">
              <w:t xml:space="preserve"> in the proposed population, who have</w:t>
            </w:r>
            <w:r>
              <w:t xml:space="preserve"> a high level of need and for whom there is no alternative treatment. There is also reasonable clinical evidence to support the use of </w:t>
            </w:r>
            <w:r w:rsidR="005C68CA">
              <w:t>DB</w:t>
            </w:r>
            <w:r>
              <w:t xml:space="preserve"> in </w:t>
            </w:r>
            <w:r w:rsidR="00D26A5E">
              <w:t>this</w:t>
            </w:r>
            <w:r>
              <w:t xml:space="preserve"> expanded </w:t>
            </w:r>
            <w:r w:rsidR="00D26A5E">
              <w:t>group of patients</w:t>
            </w:r>
            <w:r w:rsidR="00002BE2">
              <w:t>, although the amount of evidence is limited because the condition is rare</w:t>
            </w:r>
            <w:r>
              <w:t xml:space="preserve">. It also appears to be relatively safe, and although pain is the major side effect, it can be managed with medication. Finally, MSAC considered that, although the treatment is </w:t>
            </w:r>
            <w:r w:rsidR="00D26A5E">
              <w:t>expensive</w:t>
            </w:r>
            <w:r>
              <w:t>, the cost is acceptable for a highly specialised treatment.</w:t>
            </w:r>
          </w:p>
          <w:p w14:paraId="5DECA910" w14:textId="77777777" w:rsidR="001F16E6" w:rsidRPr="00F91D6E" w:rsidRDefault="001F16E6">
            <w:pPr>
              <w:keepNext/>
              <w:keepLines/>
              <w:spacing w:line="259" w:lineRule="auto"/>
              <w:rPr>
                <w:b/>
                <w:bCs/>
              </w:rPr>
            </w:pPr>
            <w:r w:rsidRPr="00F91D6E">
              <w:rPr>
                <w:b/>
                <w:bCs/>
              </w:rPr>
              <w:t xml:space="preserve">MSAC’s advice to the </w:t>
            </w:r>
            <w:proofErr w:type="gramStart"/>
            <w:r w:rsidRPr="00F91D6E">
              <w:rPr>
                <w:b/>
                <w:bCs/>
              </w:rPr>
              <w:t>Commonwealth Minister</w:t>
            </w:r>
            <w:proofErr w:type="gramEnd"/>
            <w:r w:rsidRPr="00F91D6E">
              <w:rPr>
                <w:b/>
                <w:bCs/>
              </w:rPr>
              <w:t xml:space="preserve"> for Health and Aged Care</w:t>
            </w:r>
          </w:p>
          <w:p w14:paraId="5B1EA540" w14:textId="235BAFDE" w:rsidR="001F16E6" w:rsidRPr="00F91D6E" w:rsidRDefault="004B67AB">
            <w:pPr>
              <w:spacing w:line="259" w:lineRule="auto"/>
            </w:pPr>
            <w:r w:rsidRPr="004B67AB">
              <w:t xml:space="preserve">MSAC supported public funding of </w:t>
            </w:r>
            <w:r w:rsidR="00AF0862">
              <w:t>DB</w:t>
            </w:r>
            <w:r w:rsidRPr="004B67AB">
              <w:t xml:space="preserve"> for </w:t>
            </w:r>
            <w:r w:rsidR="00171BB8">
              <w:t>patients</w:t>
            </w:r>
            <w:r w:rsidRPr="004B67AB">
              <w:t xml:space="preserve"> with primary relapse or refractory high-risk neuroblastoma. The population is small and has a high need, with no alternative treatment. The treatment appears to be effective and relatively safe and has an acceptable cost for a highly specialised treatment.</w:t>
            </w:r>
          </w:p>
        </w:tc>
      </w:tr>
    </w:tbl>
    <w:p w14:paraId="0E3F6E20" w14:textId="77777777" w:rsidR="001F16E6" w:rsidRPr="00D155C0" w:rsidRDefault="001F16E6" w:rsidP="00EE5979">
      <w:pPr>
        <w:pStyle w:val="Heading2"/>
        <w:numPr>
          <w:ilvl w:val="0"/>
          <w:numId w:val="22"/>
        </w:numPr>
        <w:ind w:hanging="720"/>
      </w:pPr>
      <w:r w:rsidRPr="003A793E">
        <w:t>Summary of consideration and rationale for MSAC’s advice</w:t>
      </w:r>
    </w:p>
    <w:bookmarkEnd w:id="3"/>
    <w:bookmarkEnd w:id="4"/>
    <w:p w14:paraId="7DA49C80" w14:textId="3F5EEECE" w:rsidR="004B67AB" w:rsidRDefault="004B67AB" w:rsidP="004B67AB">
      <w:pPr>
        <w:spacing w:after="240"/>
      </w:pPr>
      <w:r>
        <w:t xml:space="preserve">MSAC noted that this was an application from </w:t>
      </w:r>
      <w:proofErr w:type="spellStart"/>
      <w:r>
        <w:t>Recordati</w:t>
      </w:r>
      <w:proofErr w:type="spellEnd"/>
      <w:r>
        <w:t xml:space="preserve"> Rare Diseases Australia requesting public funding through the National Health Reform Agreement (NHRA) Addendum, </w:t>
      </w:r>
      <w:r w:rsidR="6581E905">
        <w:t>high cost, highly specialised therapies</w:t>
      </w:r>
      <w:r>
        <w:t xml:space="preserve"> (HST) program of </w:t>
      </w:r>
      <w:proofErr w:type="spellStart"/>
      <w:r>
        <w:t>dinutuximab</w:t>
      </w:r>
      <w:proofErr w:type="spellEnd"/>
      <w:r>
        <w:t xml:space="preserve"> beta (DB)</w:t>
      </w:r>
      <w:r w:rsidR="00CB6B16">
        <w:t xml:space="preserve"> (</w:t>
      </w:r>
      <w:proofErr w:type="spellStart"/>
      <w:r w:rsidR="00CB6B16">
        <w:t>Qarziba</w:t>
      </w:r>
      <w:proofErr w:type="spellEnd"/>
      <w:r w:rsidR="00CB6B16">
        <w:t>®)</w:t>
      </w:r>
      <w:r>
        <w:t xml:space="preserve"> for primary relapse or refractory high-risk neuroblastoma (RRHRNBL). MSAC noted that DB is already funded for high-risk neuroblastoma (HRNBL) in patients who have received induction chemotherapy and achieved at least a ‘partial response’ (MSAC Application 1625, supported July 2020). Th</w:t>
      </w:r>
      <w:r w:rsidR="00874AFF">
        <w:t>e current</w:t>
      </w:r>
      <w:r>
        <w:t xml:space="preserve"> application </w:t>
      </w:r>
      <w:r w:rsidR="00590CCD">
        <w:t>was</w:t>
      </w:r>
      <w:r>
        <w:t xml:space="preserve"> seeking to extend the </w:t>
      </w:r>
      <w:r w:rsidR="00874AFF">
        <w:t>existing funding</w:t>
      </w:r>
      <w:r>
        <w:t xml:space="preserve"> of DB to</w:t>
      </w:r>
      <w:r w:rsidR="00874AFF">
        <w:t xml:space="preserve"> include</w:t>
      </w:r>
      <w:r>
        <w:t xml:space="preserve"> patients</w:t>
      </w:r>
      <w:r w:rsidR="00E12105">
        <w:t xml:space="preserve"> </w:t>
      </w:r>
      <w:r w:rsidR="001F3A3A">
        <w:t>with</w:t>
      </w:r>
      <w:r w:rsidR="00E12105">
        <w:t xml:space="preserve"> </w:t>
      </w:r>
      <w:r w:rsidR="00C22F62">
        <w:t>RRH</w:t>
      </w:r>
      <w:r w:rsidR="00654933">
        <w:t>RNBL</w:t>
      </w:r>
      <w:r w:rsidR="008148AE">
        <w:t>.</w:t>
      </w:r>
      <w:r>
        <w:t xml:space="preserve"> MSAC noted that this application bypassed PASC. </w:t>
      </w:r>
      <w:r w:rsidR="57160801">
        <w:t>MSAC noted that New South Wales, Queensland, Victoria and Western Australia provided input on this application.</w:t>
      </w:r>
    </w:p>
    <w:p w14:paraId="58D2E3D9" w14:textId="46D9F1C5" w:rsidR="00D07714" w:rsidRDefault="00D07714" w:rsidP="004B67AB">
      <w:pPr>
        <w:spacing w:after="240"/>
      </w:pPr>
      <w:r>
        <w:t xml:space="preserve">The applicant was granted a hearing, during which the applicant representatives presented information relating to </w:t>
      </w:r>
      <w:r w:rsidR="002B7B8B">
        <w:t xml:space="preserve">the role of chemoimmunotherapy in the RRHRNBL population. The applicant representatives </w:t>
      </w:r>
      <w:r w:rsidR="00377751">
        <w:t>stated</w:t>
      </w:r>
      <w:r w:rsidR="002B7B8B">
        <w:t xml:space="preserve"> that </w:t>
      </w:r>
      <w:r w:rsidR="000A67AD">
        <w:t xml:space="preserve">chemoimmunotherapy is currently standard practice for all children with </w:t>
      </w:r>
      <w:proofErr w:type="gramStart"/>
      <w:r w:rsidR="000A67AD">
        <w:t>RRHRNBL, and</w:t>
      </w:r>
      <w:proofErr w:type="gramEnd"/>
      <w:r w:rsidR="000A67AD">
        <w:t xml:space="preserve"> aims to induce a response and increase </w:t>
      </w:r>
      <w:r w:rsidR="00C1575F">
        <w:t xml:space="preserve">the </w:t>
      </w:r>
      <w:r w:rsidR="000A67AD">
        <w:t>duration of survival for these children</w:t>
      </w:r>
      <w:r w:rsidR="00C1575F">
        <w:t>.</w:t>
      </w:r>
      <w:r w:rsidR="00AF2453">
        <w:t xml:space="preserve"> The applicant representatives also stated that, while </w:t>
      </w:r>
      <w:proofErr w:type="spellStart"/>
      <w:r w:rsidR="00AF2453">
        <w:t>dinutuximab</w:t>
      </w:r>
      <w:proofErr w:type="spellEnd"/>
      <w:r w:rsidR="00AF2453">
        <w:t xml:space="preserve"> therapies are considered standard of care in this population,</w:t>
      </w:r>
      <w:r w:rsidR="00336737">
        <w:t xml:space="preserve"> access to both is limited; DB is not currently funded for those with RRHRNBL, while</w:t>
      </w:r>
      <w:r w:rsidR="00AF2453">
        <w:t xml:space="preserve"> </w:t>
      </w:r>
      <w:proofErr w:type="spellStart"/>
      <w:r w:rsidR="00AF2453">
        <w:t>dinutuximab</w:t>
      </w:r>
      <w:proofErr w:type="spellEnd"/>
      <w:r w:rsidR="00AF2453">
        <w:t xml:space="preserve"> alpha (DA) is only available through </w:t>
      </w:r>
      <w:r w:rsidR="00AF2453">
        <w:lastRenderedPageBreak/>
        <w:t xml:space="preserve">compassionate access programs via the United States (US) and </w:t>
      </w:r>
      <w:r w:rsidR="007845B9">
        <w:t xml:space="preserve">is not </w:t>
      </w:r>
      <w:r w:rsidR="0050770B">
        <w:t>Therapeutic Goods Administration (</w:t>
      </w:r>
      <w:r w:rsidR="007845B9">
        <w:t>TGA</w:t>
      </w:r>
      <w:r w:rsidR="0050770B">
        <w:t>)</w:t>
      </w:r>
      <w:r w:rsidR="00336737">
        <w:t xml:space="preserve"> approved</w:t>
      </w:r>
      <w:r w:rsidR="007845B9">
        <w:t xml:space="preserve">. </w:t>
      </w:r>
      <w:r w:rsidR="00086581">
        <w:t xml:space="preserve">The applicant representatives stated that </w:t>
      </w:r>
      <w:r w:rsidR="00BC257B">
        <w:t>the</w:t>
      </w:r>
      <w:r w:rsidR="00911770">
        <w:t>re are</w:t>
      </w:r>
      <w:r w:rsidR="00BC257B">
        <w:t xml:space="preserve"> neuroblastoma-specific clinical response criteria </w:t>
      </w:r>
      <w:r w:rsidR="00911770">
        <w:t xml:space="preserve">to determine whether children </w:t>
      </w:r>
      <w:r w:rsidR="00D72A34">
        <w:t>res</w:t>
      </w:r>
      <w:r w:rsidR="0050770B">
        <w:t>pond</w:t>
      </w:r>
      <w:r w:rsidR="00911770">
        <w:t xml:space="preserve"> to </w:t>
      </w:r>
      <w:proofErr w:type="spellStart"/>
      <w:r w:rsidR="00911770">
        <w:t>chemoimmuntherapy</w:t>
      </w:r>
      <w:proofErr w:type="spellEnd"/>
      <w:r w:rsidR="00911770">
        <w:t xml:space="preserve">, but that these may exclude </w:t>
      </w:r>
      <w:r w:rsidR="00D72A34">
        <w:t>a small number of</w:t>
      </w:r>
      <w:r w:rsidR="00911770">
        <w:t xml:space="preserve"> patients who improve to some degree</w:t>
      </w:r>
      <w:r w:rsidR="00D72A34">
        <w:t xml:space="preserve">, but </w:t>
      </w:r>
      <w:r w:rsidR="0050770B">
        <w:t>do not meet the criteria to be</w:t>
      </w:r>
      <w:r w:rsidR="00D72A34">
        <w:t xml:space="preserve"> considered to have achieved a partial response</w:t>
      </w:r>
      <w:r w:rsidR="00911770">
        <w:t>.</w:t>
      </w:r>
      <w:r w:rsidR="00377751">
        <w:t xml:space="preserve"> The applicant representatives </w:t>
      </w:r>
      <w:r w:rsidR="00514234">
        <w:t xml:space="preserve">noted </w:t>
      </w:r>
      <w:r w:rsidR="00377751">
        <w:t xml:space="preserve">that current </w:t>
      </w:r>
      <w:r w:rsidR="00514234">
        <w:t>funding</w:t>
      </w:r>
      <w:r w:rsidR="00377751">
        <w:t xml:space="preserve"> </w:t>
      </w:r>
      <w:r w:rsidR="00C257C3">
        <w:t>access criteria</w:t>
      </w:r>
      <w:r w:rsidR="00033BEF">
        <w:t xml:space="preserve"> </w:t>
      </w:r>
      <w:r w:rsidR="00B20B83">
        <w:t xml:space="preserve">through the NHRA </w:t>
      </w:r>
      <w:r w:rsidR="007D5D02">
        <w:t xml:space="preserve">could </w:t>
      </w:r>
      <w:r w:rsidR="00377751">
        <w:t>permit treatment of patients with relapsed HRNBL but</w:t>
      </w:r>
      <w:r w:rsidR="009F0178">
        <w:t xml:space="preserve"> </w:t>
      </w:r>
      <w:r w:rsidR="00377751">
        <w:t xml:space="preserve">excludes refractory patients, despite evidence that these patients respond to </w:t>
      </w:r>
      <w:r w:rsidR="008148AE">
        <w:t>chemoimmunotherapy</w:t>
      </w:r>
      <w:r w:rsidR="00377751">
        <w:t xml:space="preserve"> with similar survival to refractory patients. The applicant representatives stated that it would therefore be disappointing to exclude the very small number of refractory patients from receiving </w:t>
      </w:r>
      <w:r w:rsidR="00D72A34">
        <w:t>funded treatment.</w:t>
      </w:r>
      <w:r w:rsidR="00911770">
        <w:t xml:space="preserve"> </w:t>
      </w:r>
    </w:p>
    <w:p w14:paraId="1F0C59D3" w14:textId="65282199" w:rsidR="002630B1" w:rsidRDefault="00A451E1" w:rsidP="004B67AB">
      <w:pPr>
        <w:spacing w:after="240"/>
      </w:pPr>
      <w:r>
        <w:t xml:space="preserve">MSAC noted that, for a therapy to be considered an HST under the NHRA Addendum criteria, it must be TGA approved. </w:t>
      </w:r>
      <w:r w:rsidR="004B67AB">
        <w:t>MSAC noted</w:t>
      </w:r>
      <w:r w:rsidR="0050770B">
        <w:t xml:space="preserve"> the applicant’s concerns around the TGA indication for DB, </w:t>
      </w:r>
      <w:proofErr w:type="gramStart"/>
      <w:r w:rsidR="0050770B">
        <w:t>and also</w:t>
      </w:r>
      <w:proofErr w:type="gramEnd"/>
      <w:r w:rsidR="004B67AB">
        <w:t xml:space="preserve"> that ESC had considered that the TGA </w:t>
      </w:r>
      <w:r w:rsidR="006F0722">
        <w:t xml:space="preserve">indication </w:t>
      </w:r>
      <w:r w:rsidR="004B67AB">
        <w:t xml:space="preserve">for DB </w:t>
      </w:r>
      <w:r w:rsidR="00CE148A">
        <w:t>may not be aligned</w:t>
      </w:r>
      <w:r w:rsidR="004B67AB">
        <w:t xml:space="preserve"> with the proposed listing. </w:t>
      </w:r>
      <w:r w:rsidR="00B46900">
        <w:t xml:space="preserve">MSAC </w:t>
      </w:r>
      <w:r w:rsidR="00D25E50">
        <w:t xml:space="preserve">further </w:t>
      </w:r>
      <w:r w:rsidR="00B46900">
        <w:t>noted concerns from some state</w:t>
      </w:r>
      <w:r w:rsidR="00920D9C">
        <w:t>s</w:t>
      </w:r>
      <w:r w:rsidR="00B46900">
        <w:t xml:space="preserve"> and </w:t>
      </w:r>
      <w:r w:rsidR="00920D9C">
        <w:t xml:space="preserve">territories </w:t>
      </w:r>
      <w:r w:rsidR="00B46900">
        <w:t xml:space="preserve">that funding non-TGA-registered indications would set a precedent for future HST applications, and that it could undermine the public’s perceptions of the TGA and confidence in the safety and efficacy of DB. </w:t>
      </w:r>
      <w:r w:rsidR="00D25E50">
        <w:t>MSAC noted that t</w:t>
      </w:r>
      <w:r w:rsidR="004B67AB">
        <w:t>he TGA indication for DB is for ‘high-risk neuroblastoma in patients who have previously received induction chemotherapy and achieved at least a partial response’, which</w:t>
      </w:r>
      <w:r w:rsidR="001B363C">
        <w:t xml:space="preserve"> appears to exclude</w:t>
      </w:r>
      <w:r w:rsidR="00CB6B16">
        <w:t xml:space="preserve"> </w:t>
      </w:r>
      <w:r w:rsidR="004B67AB">
        <w:t xml:space="preserve">refractory </w:t>
      </w:r>
      <w:r w:rsidR="00CB6B16">
        <w:t>HRNBL patients</w:t>
      </w:r>
      <w:r w:rsidR="004B67AB">
        <w:t xml:space="preserve">. MSAC noted </w:t>
      </w:r>
      <w:r w:rsidR="00031A75">
        <w:t>that the applicant had stated in its</w:t>
      </w:r>
      <w:r w:rsidR="004B67AB">
        <w:t xml:space="preserve"> pre-MSAC response that </w:t>
      </w:r>
      <w:r w:rsidR="00031A75">
        <w:t>due to limited data, it was unlikely any application to change the TGA indication would occur</w:t>
      </w:r>
      <w:r w:rsidR="004B67AB">
        <w:t xml:space="preserve">. </w:t>
      </w:r>
      <w:r w:rsidR="007A3374">
        <w:t xml:space="preserve">MSAC also noted </w:t>
      </w:r>
      <w:r w:rsidR="00D53E62">
        <w:t>from</w:t>
      </w:r>
      <w:r w:rsidR="007A3374">
        <w:t xml:space="preserve"> t</w:t>
      </w:r>
      <w:r w:rsidR="00CB6B16">
        <w:t xml:space="preserve">he pre-MSAC </w:t>
      </w:r>
      <w:proofErr w:type="gramStart"/>
      <w:r w:rsidR="00CB6B16">
        <w:t>response</w:t>
      </w:r>
      <w:r w:rsidR="00D53E62">
        <w:t>, and</w:t>
      </w:r>
      <w:proofErr w:type="gramEnd"/>
      <w:r w:rsidR="00D53E62">
        <w:t xml:space="preserve"> further reiterated by the applicant representatives during the hearing, that approximately </w:t>
      </w:r>
      <w:r w:rsidR="00702140" w:rsidRPr="008172A1">
        <w:rPr>
          <w:b/>
          <w:bCs/>
        </w:rPr>
        <w:t>redacted</w:t>
      </w:r>
      <w:r w:rsidR="00702140">
        <w:t xml:space="preserve"> </w:t>
      </w:r>
      <w:r w:rsidR="00D53E62">
        <w:t>refractory patients per year would be excluded by the current</w:t>
      </w:r>
      <w:r w:rsidR="00325F0D">
        <w:t xml:space="preserve"> indication (i.e.</w:t>
      </w:r>
      <w:r w:rsidR="00CB6B16">
        <w:t xml:space="preserve"> </w:t>
      </w:r>
      <w:r w:rsidR="00F77C9D">
        <w:t>those who d</w:t>
      </w:r>
      <w:r w:rsidR="00BF4E0F">
        <w:t>o</w:t>
      </w:r>
      <w:r w:rsidR="00CB6B16">
        <w:t xml:space="preserve"> not achieve a response</w:t>
      </w:r>
      <w:r w:rsidR="00955189">
        <w:t xml:space="preserve"> to induction chemotherapy</w:t>
      </w:r>
      <w:r w:rsidR="00325F0D">
        <w:t>)</w:t>
      </w:r>
      <w:r w:rsidR="00CB6B16">
        <w:t>.</w:t>
      </w:r>
    </w:p>
    <w:p w14:paraId="7D0AEF57" w14:textId="487D826C" w:rsidR="00955189" w:rsidRDefault="004B67AB" w:rsidP="00955189">
      <w:pPr>
        <w:spacing w:after="240"/>
      </w:pPr>
      <w:r>
        <w:t>MSAC noted</w:t>
      </w:r>
      <w:r w:rsidR="00A70511">
        <w:t xml:space="preserve"> advice from </w:t>
      </w:r>
      <w:r>
        <w:t xml:space="preserve">the TGA confirmed that both relapsed and refractory patients could be </w:t>
      </w:r>
      <w:r w:rsidR="00A70511">
        <w:t xml:space="preserve">considered within </w:t>
      </w:r>
      <w:r w:rsidR="00A2308B">
        <w:t xml:space="preserve">the </w:t>
      </w:r>
      <w:r w:rsidR="00A70511">
        <w:t xml:space="preserve">scope of </w:t>
      </w:r>
      <w:r w:rsidR="00A2308B">
        <w:t xml:space="preserve">the </w:t>
      </w:r>
      <w:r>
        <w:t xml:space="preserve">TGA indication </w:t>
      </w:r>
      <w:proofErr w:type="gramStart"/>
      <w:r>
        <w:t>as long as</w:t>
      </w:r>
      <w:proofErr w:type="gramEnd"/>
      <w:r>
        <w:t xml:space="preserve"> the patient ‘has experienced what was considered by the treating physician to be at least a partial response by any measure’</w:t>
      </w:r>
      <w:r w:rsidR="00BD34FC">
        <w:t xml:space="preserve">, and that refractory patients were not intended to be excluded by the indication. </w:t>
      </w:r>
      <w:r w:rsidR="00275B95">
        <w:t xml:space="preserve">Based on this advice, </w:t>
      </w:r>
      <w:r w:rsidR="00955189">
        <w:t xml:space="preserve">MSAC considered that </w:t>
      </w:r>
      <w:r w:rsidR="00624FBC">
        <w:t>the proposed population wa</w:t>
      </w:r>
      <w:r w:rsidR="00227E2A">
        <w:t xml:space="preserve">s </w:t>
      </w:r>
      <w:r w:rsidR="00920D9C">
        <w:t xml:space="preserve">sufficiently </w:t>
      </w:r>
      <w:r w:rsidR="00850627">
        <w:t>aligned</w:t>
      </w:r>
      <w:r w:rsidR="00955189">
        <w:t xml:space="preserve"> </w:t>
      </w:r>
      <w:r w:rsidR="00E01DC1">
        <w:t xml:space="preserve">with </w:t>
      </w:r>
      <w:r w:rsidR="00955189">
        <w:t>the TGA indication</w:t>
      </w:r>
      <w:r w:rsidR="00275B95">
        <w:t>, and that DB therefore met the</w:t>
      </w:r>
      <w:r w:rsidR="0020172B">
        <w:t xml:space="preserve"> TGA approval criteria for HSTs</w:t>
      </w:r>
      <w:r w:rsidR="00955189">
        <w:t xml:space="preserve">. </w:t>
      </w:r>
      <w:r w:rsidR="00850627">
        <w:t xml:space="preserve">MSAC also noted that this was aligned with the </w:t>
      </w:r>
      <w:r w:rsidR="00513154">
        <w:t xml:space="preserve">use </w:t>
      </w:r>
      <w:r w:rsidR="00D525C1">
        <w:t>of DB overseas</w:t>
      </w:r>
      <w:r w:rsidR="00850627">
        <w:t>;</w:t>
      </w:r>
      <w:r w:rsidR="00D525C1">
        <w:t xml:space="preserve"> for example,</w:t>
      </w:r>
      <w:r w:rsidR="00850627">
        <w:t xml:space="preserve"> </w:t>
      </w:r>
      <w:r w:rsidR="005124BE">
        <w:t xml:space="preserve">the European </w:t>
      </w:r>
      <w:r w:rsidR="00572B70">
        <w:t xml:space="preserve">Medicines Agency (EMA) indication </w:t>
      </w:r>
      <w:r w:rsidR="00A75AD5">
        <w:t xml:space="preserve">explicitly includes those with relapsed or refractory </w:t>
      </w:r>
      <w:r w:rsidR="00850627">
        <w:t>neuroblastoma, with or without residual disease</w:t>
      </w:r>
      <w:r w:rsidR="00774DD7">
        <w:rPr>
          <w:rStyle w:val="FootnoteReference"/>
        </w:rPr>
        <w:footnoteReference w:id="2"/>
      </w:r>
      <w:r w:rsidR="00BD2A01">
        <w:t>.</w:t>
      </w:r>
      <w:r w:rsidR="00955189">
        <w:t xml:space="preserve"> </w:t>
      </w:r>
    </w:p>
    <w:p w14:paraId="4392DE32" w14:textId="275A095F" w:rsidR="004B67AB" w:rsidRDefault="004B67AB" w:rsidP="004B67AB">
      <w:pPr>
        <w:spacing w:after="240"/>
      </w:pPr>
      <w:r>
        <w:t xml:space="preserve">MSAC noted that </w:t>
      </w:r>
      <w:r w:rsidR="000570BC">
        <w:t xml:space="preserve">an </w:t>
      </w:r>
      <w:proofErr w:type="gramStart"/>
      <w:r w:rsidR="000570BC">
        <w:t>additional criteria</w:t>
      </w:r>
      <w:proofErr w:type="gramEnd"/>
      <w:r w:rsidR="000570BC">
        <w:t xml:space="preserve"> for HST funding is that the</w:t>
      </w:r>
      <w:r>
        <w:t xml:space="preserve"> </w:t>
      </w:r>
      <w:r w:rsidR="003F1DC4">
        <w:t xml:space="preserve">total cost of </w:t>
      </w:r>
      <w:r>
        <w:t>treatment</w:t>
      </w:r>
      <w:r w:rsidR="000570BC">
        <w:t xml:space="preserve"> </w:t>
      </w:r>
      <w:r w:rsidR="00A2308B">
        <w:t>exceeds $</w:t>
      </w:r>
      <w:r>
        <w:t>200,000 per patient per year</w:t>
      </w:r>
      <w:r w:rsidR="000570BC">
        <w:t>. While</w:t>
      </w:r>
      <w:r>
        <w:t xml:space="preserve"> th</w:t>
      </w:r>
      <w:r w:rsidR="000570BC">
        <w:t xml:space="preserve">e financials presented in the application </w:t>
      </w:r>
      <w:r w:rsidR="002630B1">
        <w:t>did</w:t>
      </w:r>
      <w:r>
        <w:t xml:space="preserve"> not exceed</w:t>
      </w:r>
      <w:r w:rsidR="000570BC">
        <w:t xml:space="preserve"> this cost, </w:t>
      </w:r>
      <w:r>
        <w:t xml:space="preserve">MSAC </w:t>
      </w:r>
      <w:r w:rsidR="000570BC">
        <w:t xml:space="preserve">agreed with ESC </w:t>
      </w:r>
      <w:r>
        <w:t xml:space="preserve">that, </w:t>
      </w:r>
      <w:r w:rsidR="000C10C4">
        <w:t xml:space="preserve">if all </w:t>
      </w:r>
      <w:r w:rsidR="005B79E5">
        <w:t xml:space="preserve">ancillary </w:t>
      </w:r>
      <w:r w:rsidR="000C10C4">
        <w:t>costs were include</w:t>
      </w:r>
      <w:r w:rsidR="00236703">
        <w:t>d (e.g. cost of hospitalisation and management of adverse events),</w:t>
      </w:r>
      <w:r w:rsidR="002630B1" w:rsidRPr="002630B1">
        <w:t xml:space="preserve"> </w:t>
      </w:r>
      <w:r w:rsidR="00236703">
        <w:t xml:space="preserve">and given that DB is already funded as an HST for a similar patient group, </w:t>
      </w:r>
      <w:r>
        <w:t xml:space="preserve">it is very likely that the proposed extension of DB use will exceed $200,000 per patient per year. </w:t>
      </w:r>
      <w:r w:rsidR="00393884">
        <w:t>This was also in line from advice from states and territories, which indicated that actual costs for delivery of DB were higher than what was proposed in the economic analysis, due to rates of neurotoxicity and ongoing costs for patients who respond to treatment.</w:t>
      </w:r>
      <w:r w:rsidR="0096621F">
        <w:t xml:space="preserve"> Based on the expected total cost of treatment, and the </w:t>
      </w:r>
      <w:r w:rsidR="008E3897">
        <w:t>clarification from the TGA around the indication, MSAC considered that DB in this population met the requirements for HST funding under the NHRA.</w:t>
      </w:r>
      <w:r w:rsidR="00393884">
        <w:t xml:space="preserve"> </w:t>
      </w:r>
    </w:p>
    <w:p w14:paraId="14F67B31" w14:textId="3B30EEF8" w:rsidR="004B67AB" w:rsidRDefault="004B67AB" w:rsidP="004B67AB">
      <w:pPr>
        <w:spacing w:after="240"/>
      </w:pPr>
      <w:r>
        <w:lastRenderedPageBreak/>
        <w:t xml:space="preserve">MSAC noted </w:t>
      </w:r>
      <w:r w:rsidR="003E40F4">
        <w:t>and welcomed</w:t>
      </w:r>
      <w:r>
        <w:t xml:space="preserve"> consumer input from 3 organisations, </w:t>
      </w:r>
      <w:r w:rsidR="00AC598A">
        <w:t xml:space="preserve">9 </w:t>
      </w:r>
      <w:r>
        <w:t xml:space="preserve">individuals (parents or carers) and </w:t>
      </w:r>
      <w:r w:rsidR="00AC598A">
        <w:t xml:space="preserve">2 </w:t>
      </w:r>
      <w:r>
        <w:t>health professional</w:t>
      </w:r>
      <w:r w:rsidR="00AC598A">
        <w:t>s</w:t>
      </w:r>
      <w:r>
        <w:t>, who were all supportive of public funding</w:t>
      </w:r>
      <w:r w:rsidR="003E40F4">
        <w:t xml:space="preserve"> </w:t>
      </w:r>
      <w:r w:rsidR="0052315C">
        <w:t>of</w:t>
      </w:r>
      <w:r w:rsidR="003E40F4">
        <w:t xml:space="preserve"> DB </w:t>
      </w:r>
      <w:r w:rsidR="0052315C">
        <w:t>those with RRHRNBL</w:t>
      </w:r>
      <w:r>
        <w:t>.</w:t>
      </w:r>
      <w:r w:rsidR="008C7705">
        <w:t xml:space="preserve"> MSAC </w:t>
      </w:r>
      <w:r w:rsidR="00CC4D3E">
        <w:t xml:space="preserve">acknowledged </w:t>
      </w:r>
      <w:proofErr w:type="gramStart"/>
      <w:r w:rsidR="00CC4D3E">
        <w:t>in particular the</w:t>
      </w:r>
      <w:proofErr w:type="gramEnd"/>
      <w:r w:rsidR="00CC4D3E">
        <w:t xml:space="preserve"> feedback received from families of children who had died from </w:t>
      </w:r>
      <w:proofErr w:type="gramStart"/>
      <w:r w:rsidR="00CC4D3E">
        <w:t>HRNBL, and</w:t>
      </w:r>
      <w:proofErr w:type="gramEnd"/>
      <w:r w:rsidR="00CC4D3E">
        <w:t xml:space="preserve"> </w:t>
      </w:r>
      <w:r w:rsidR="00343CAF">
        <w:t xml:space="preserve">recognised the </w:t>
      </w:r>
      <w:r w:rsidR="000953C3">
        <w:t>impact that this disease had on families</w:t>
      </w:r>
      <w:r w:rsidR="00A9517E">
        <w:t>.</w:t>
      </w:r>
      <w:r>
        <w:t xml:space="preserve"> MSAC noted </w:t>
      </w:r>
      <w:r w:rsidR="00F9264D">
        <w:t>feedback stated that DB resulted in improved outcomes and quality of life for pat</w:t>
      </w:r>
      <w:r w:rsidR="00BA5E52">
        <w:t>ients, and that public funding would help to reduce financial stress for patients and their families</w:t>
      </w:r>
      <w:r w:rsidR="003F32CA">
        <w:t xml:space="preserve">, noting that </w:t>
      </w:r>
      <w:r w:rsidR="00053A3A">
        <w:t xml:space="preserve">costs can be substantial particularly </w:t>
      </w:r>
      <w:r w:rsidR="008B470A">
        <w:t>for</w:t>
      </w:r>
      <w:r w:rsidR="00053A3A">
        <w:t xml:space="preserve"> some families </w:t>
      </w:r>
      <w:r w:rsidR="008B470A">
        <w:t>who travel</w:t>
      </w:r>
      <w:r w:rsidR="00053A3A">
        <w:t xml:space="preserve"> overseas for treatment</w:t>
      </w:r>
      <w:r w:rsidR="004D65D4">
        <w:t xml:space="preserve">. MSAC also noted that, while feedback acknowledged </w:t>
      </w:r>
      <w:r w:rsidR="00080098">
        <w:t>there are side effects, including pain, these were likely to be outweighed by increased survival</w:t>
      </w:r>
      <w:r w:rsidR="003F32CA">
        <w:t xml:space="preserve"> if well managed,</w:t>
      </w:r>
      <w:r w:rsidR="00080098">
        <w:t xml:space="preserve"> and </w:t>
      </w:r>
      <w:proofErr w:type="gramStart"/>
      <w:r w:rsidR="00080098">
        <w:t xml:space="preserve">were </w:t>
      </w:r>
      <w:r w:rsidR="003F32CA">
        <w:t>considered to be</w:t>
      </w:r>
      <w:proofErr w:type="gramEnd"/>
      <w:r w:rsidR="00080098">
        <w:t xml:space="preserve"> comparable to existing treatments. </w:t>
      </w:r>
      <w:r w:rsidR="00053A3A" w:rsidDel="00053A3A">
        <w:t xml:space="preserve"> </w:t>
      </w:r>
      <w:r>
        <w:t xml:space="preserve">MSAC </w:t>
      </w:r>
      <w:r w:rsidR="00D3581F">
        <w:t xml:space="preserve">advised </w:t>
      </w:r>
      <w:r>
        <w:t xml:space="preserve">that the views and experiences of children who have received the treatment </w:t>
      </w:r>
      <w:r w:rsidR="008C7705">
        <w:t xml:space="preserve">would </w:t>
      </w:r>
      <w:r>
        <w:t xml:space="preserve">also be </w:t>
      </w:r>
      <w:r w:rsidR="008C7705">
        <w:t>informative, particularly regarding the impact of adverse events</w:t>
      </w:r>
      <w:r>
        <w:t>.</w:t>
      </w:r>
      <w:r w:rsidR="009E079F">
        <w:t xml:space="preserve"> </w:t>
      </w:r>
      <w:r>
        <w:t xml:space="preserve">MSAC </w:t>
      </w:r>
      <w:r w:rsidR="009E079F">
        <w:t xml:space="preserve">also </w:t>
      </w:r>
      <w:r>
        <w:t xml:space="preserve">noted </w:t>
      </w:r>
      <w:r w:rsidR="00825A57">
        <w:t xml:space="preserve">feedback </w:t>
      </w:r>
      <w:r>
        <w:t xml:space="preserve">that </w:t>
      </w:r>
      <w:r w:rsidR="00825A57">
        <w:t xml:space="preserve">equity of access, particularly for rural and remote patients, was </w:t>
      </w:r>
      <w:r w:rsidR="0076661C">
        <w:t>important.</w:t>
      </w:r>
      <w:r w:rsidR="004C4481">
        <w:t xml:space="preserve"> MSAC noted that</w:t>
      </w:r>
      <w:r w:rsidR="001A1079">
        <w:t>, currently, access to DA on a compassionate use basis is re</w:t>
      </w:r>
      <w:r w:rsidR="00A54B13">
        <w:t>s</w:t>
      </w:r>
      <w:r w:rsidR="001A1079">
        <w:t xml:space="preserve">tricted to 8 paediatric centres and is not available </w:t>
      </w:r>
      <w:r w:rsidR="00503E8B">
        <w:t xml:space="preserve">in some hospitals, </w:t>
      </w:r>
      <w:r w:rsidR="00A54B13">
        <w:t xml:space="preserve">requiring some children to relocate to receive treatment, resulting </w:t>
      </w:r>
      <w:r w:rsidR="008148AE">
        <w:t>in equity</w:t>
      </w:r>
      <w:r>
        <w:t xml:space="preserve"> of access issues</w:t>
      </w:r>
      <w:r w:rsidR="00A54B13">
        <w:t>. MSAC considered that this</w:t>
      </w:r>
      <w:r w:rsidR="00EE0527">
        <w:t xml:space="preserve"> may be reduced by public funding of </w:t>
      </w:r>
      <w:proofErr w:type="gramStart"/>
      <w:r w:rsidR="00EE0527">
        <w:t>DB</w:t>
      </w:r>
      <w:r>
        <w:t xml:space="preserve">, </w:t>
      </w:r>
      <w:r w:rsidR="00A54B13">
        <w:t>but</w:t>
      </w:r>
      <w:proofErr w:type="gramEnd"/>
      <w:r w:rsidR="00EE0527">
        <w:t xml:space="preserve"> acknowledged </w:t>
      </w:r>
      <w:r>
        <w:t xml:space="preserve">that </w:t>
      </w:r>
      <w:r w:rsidR="00A54B13">
        <w:t>equity of access is to some extent an</w:t>
      </w:r>
      <w:r>
        <w:t xml:space="preserve"> unavoidable concern due to the highly specialised nature of the treatment</w:t>
      </w:r>
      <w:r w:rsidR="00A54B13">
        <w:t xml:space="preserve"> requiring certain </w:t>
      </w:r>
      <w:r w:rsidR="003C16A5">
        <w:t>services and facilities during treatment</w:t>
      </w:r>
      <w:r>
        <w:t xml:space="preserve">. </w:t>
      </w:r>
    </w:p>
    <w:p w14:paraId="798BC2C7" w14:textId="2A71EDE6" w:rsidR="000953C3" w:rsidRDefault="000953C3" w:rsidP="004B67AB">
      <w:pPr>
        <w:spacing w:after="240"/>
      </w:pPr>
      <w:r>
        <w:t>MSAC noted feedback</w:t>
      </w:r>
      <w:r w:rsidR="00B125F2">
        <w:t xml:space="preserve"> received</w:t>
      </w:r>
      <w:r>
        <w:t xml:space="preserve"> from state and territory health authorities. The jurisdictions acknowledged the high need for treatment in the proposed </w:t>
      </w:r>
      <w:proofErr w:type="gramStart"/>
      <w:r>
        <w:t>populat</w:t>
      </w:r>
      <w:r w:rsidR="005C5B12">
        <w:t xml:space="preserve">ion, </w:t>
      </w:r>
      <w:r w:rsidR="00BD14EA">
        <w:t>but</w:t>
      </w:r>
      <w:proofErr w:type="gramEnd"/>
      <w:r w:rsidR="00BD14EA">
        <w:t xml:space="preserve"> raised concerns around if DB in this population met the HST criteria. </w:t>
      </w:r>
      <w:r w:rsidR="00C935B5">
        <w:t>Some j</w:t>
      </w:r>
      <w:r w:rsidR="00863717">
        <w:t xml:space="preserve">urisdictions also noted that the cost of treatment </w:t>
      </w:r>
      <w:r w:rsidR="00CF5113">
        <w:t>had been underestimated in the application</w:t>
      </w:r>
      <w:r w:rsidR="00A81DD7">
        <w:t xml:space="preserve">, and that treatment duration can be highly variable, </w:t>
      </w:r>
      <w:r w:rsidR="005933E9">
        <w:t xml:space="preserve">and may require </w:t>
      </w:r>
      <w:r w:rsidR="00A81DD7">
        <w:t>more than the 5 cycles costed within the application.</w:t>
      </w:r>
      <w:r w:rsidR="00863717">
        <w:t xml:space="preserve"> </w:t>
      </w:r>
    </w:p>
    <w:p w14:paraId="4EE0D241" w14:textId="3B1160A7" w:rsidR="004B67AB" w:rsidRDefault="004B67AB" w:rsidP="004B67AB">
      <w:pPr>
        <w:spacing w:after="240"/>
      </w:pPr>
      <w:r>
        <w:t xml:space="preserve">MSAC noted that the proposed clinical management algorithm was adapted from National Comprehensive Cancer Network (NCCN) guidelines. Although refractory disease </w:t>
      </w:r>
      <w:r w:rsidR="00A821ED">
        <w:t>wa</w:t>
      </w:r>
      <w:r>
        <w:t xml:space="preserve">s not </w:t>
      </w:r>
      <w:r w:rsidR="005933E9">
        <w:t>explicit</w:t>
      </w:r>
      <w:r w:rsidR="61FAECAB">
        <w:t>l</w:t>
      </w:r>
      <w:r w:rsidR="005933E9">
        <w:t xml:space="preserve">y </w:t>
      </w:r>
      <w:r>
        <w:t xml:space="preserve">included in the algorithm, MSAC noted that the use of DB for refractory disease </w:t>
      </w:r>
      <w:r w:rsidR="00222033">
        <w:t xml:space="preserve">was </w:t>
      </w:r>
      <w:r>
        <w:t>supported by the text in the guidelines.</w:t>
      </w:r>
    </w:p>
    <w:p w14:paraId="72D715C8" w14:textId="14F86BFE" w:rsidR="007468DE" w:rsidRDefault="004B67AB" w:rsidP="004B67AB">
      <w:pPr>
        <w:spacing w:after="240"/>
      </w:pPr>
      <w:r>
        <w:t xml:space="preserve">MSAC noted the clinical claim that DB + chemotherapy has superior effectiveness and inferior safety compared with chemotherapy (standard of care) alone. </w:t>
      </w:r>
      <w:r w:rsidR="007468DE">
        <w:t>MSAC considered the claim of inferior safety to be reasonable</w:t>
      </w:r>
      <w:r w:rsidR="00780CF5">
        <w:t xml:space="preserve">, noting that DB + chemotherapy is associated with higher rates of neurotoxicity, especially pain, compared with chemotherapy alone. </w:t>
      </w:r>
      <w:r w:rsidR="00BF08AF">
        <w:t xml:space="preserve">MSAC considered that this was expected, </w:t>
      </w:r>
      <w:r w:rsidR="00581CF3">
        <w:t xml:space="preserve">due to the mechanism of action of DB, which targets neuroblastoma cells and because adding other drugs to chemotherapy typically increases side effects. </w:t>
      </w:r>
      <w:r w:rsidR="00780CF5">
        <w:t xml:space="preserve">MSAC </w:t>
      </w:r>
      <w:r w:rsidR="00BF08AF">
        <w:t>noted that</w:t>
      </w:r>
      <w:r w:rsidR="00780CF5">
        <w:t xml:space="preserve"> pain is</w:t>
      </w:r>
      <w:r w:rsidR="00581CF3">
        <w:t xml:space="preserve"> typically considered</w:t>
      </w:r>
      <w:r w:rsidR="00780CF5">
        <w:t xml:space="preserve"> manageable with current prophylactic analgesia protocols (morphine, gabapentin, and paracetamol or ibuprofen). At the hearing, representatives of the applicant stated that long-term adverse events </w:t>
      </w:r>
      <w:r w:rsidR="00BF08AF">
        <w:t xml:space="preserve">do also occur and </w:t>
      </w:r>
      <w:r w:rsidR="00780CF5">
        <w:t>are</w:t>
      </w:r>
      <w:r w:rsidR="00BF08AF">
        <w:t xml:space="preserve"> typically</w:t>
      </w:r>
      <w:r w:rsidR="00780CF5">
        <w:t xml:space="preserve"> an aggregate</w:t>
      </w:r>
      <w:r w:rsidR="00BF08AF">
        <w:t xml:space="preserve"> effect</w:t>
      </w:r>
      <w:r w:rsidR="00780CF5">
        <w:t xml:space="preserve"> of the initial treatment, and subsequent salvage and relapse therapy.</w:t>
      </w:r>
    </w:p>
    <w:p w14:paraId="6E0197DF" w14:textId="6EA05D8B" w:rsidR="004B67AB" w:rsidRDefault="00C3226A" w:rsidP="004B67AB">
      <w:pPr>
        <w:spacing w:after="240"/>
      </w:pPr>
      <w:r>
        <w:t xml:space="preserve">Regarding the claim of superior effectiveness, </w:t>
      </w:r>
      <w:r w:rsidR="004B67AB">
        <w:t xml:space="preserve">MSAC agreed with ESC that clinical effectiveness was uncertain, but </w:t>
      </w:r>
      <w:r>
        <w:t xml:space="preserve">that the claim was </w:t>
      </w:r>
      <w:r w:rsidR="004B67AB">
        <w:t xml:space="preserve">likely supported by the evidence presented. The evidence was based on 2 </w:t>
      </w:r>
      <w:r w:rsidR="00D522F9">
        <w:t xml:space="preserve">randomised clinical </w:t>
      </w:r>
      <w:r w:rsidR="004B67AB">
        <w:t>trials</w:t>
      </w:r>
      <w:r w:rsidR="00D522F9">
        <w:t xml:space="preserve"> (RCTs)</w:t>
      </w:r>
      <w:r w:rsidR="004B67AB">
        <w:t xml:space="preserve"> (BEACON-</w:t>
      </w:r>
      <w:proofErr w:type="spellStart"/>
      <w:r w:rsidR="004B67AB">
        <w:t>Immuno</w:t>
      </w:r>
      <w:proofErr w:type="spellEnd"/>
      <w:r w:rsidR="00D522F9">
        <w:t>, which used</w:t>
      </w:r>
      <w:r w:rsidR="004B67AB">
        <w:t xml:space="preserve"> </w:t>
      </w:r>
      <w:r>
        <w:t>DB</w:t>
      </w:r>
      <w:r w:rsidR="004B67AB">
        <w:t xml:space="preserve"> [N = 65]; ANBL 1221</w:t>
      </w:r>
      <w:r w:rsidR="00D522F9">
        <w:t xml:space="preserve">, which used </w:t>
      </w:r>
      <w:r w:rsidR="008148AE">
        <w:t>DA [</w:t>
      </w:r>
      <w:r w:rsidR="004B67AB">
        <w:t xml:space="preserve">N = 35]) and one meta-analysis, with the main outcomes being overall response rate (ORR), progression-free survival (PFS) and overall survival (OS). </w:t>
      </w:r>
      <w:r w:rsidR="00BC4665">
        <w:t>MSAC noted that</w:t>
      </w:r>
      <w:r w:rsidR="00A9583E">
        <w:t xml:space="preserve"> there were a number of issues with the evidence, contributing to overall uncertainty:</w:t>
      </w:r>
      <w:r w:rsidR="00BC4665">
        <w:t xml:space="preserve"> sample sizes were small, due to the rarity of the disease</w:t>
      </w:r>
      <w:r w:rsidR="00A9583E">
        <w:t>; there was an assumption that DA and DB were therapeutically equivalent, and</w:t>
      </w:r>
      <w:r w:rsidR="00AE3B0E">
        <w:t xml:space="preserve"> the</w:t>
      </w:r>
      <w:r w:rsidR="00AE3B0E" w:rsidRPr="00AE3B0E">
        <w:t xml:space="preserve"> </w:t>
      </w:r>
      <w:r w:rsidR="00AE3B0E">
        <w:t>BEACON-</w:t>
      </w:r>
      <w:proofErr w:type="spellStart"/>
      <w:r w:rsidR="00AE3B0E">
        <w:t>Immuno</w:t>
      </w:r>
      <w:proofErr w:type="spellEnd"/>
      <w:r w:rsidR="00AE3B0E">
        <w:t xml:space="preserve"> trial was not designed or powered for testing differences in efficacy between DB + chemotherapy and chemotherapy alone, limiting the interpretation and internal validity of the results.</w:t>
      </w:r>
      <w:r w:rsidR="00BC4665">
        <w:t xml:space="preserve"> </w:t>
      </w:r>
      <w:r w:rsidR="00A9583E">
        <w:t>Despite these issues,</w:t>
      </w:r>
      <w:r w:rsidR="00670B04">
        <w:t xml:space="preserve"> based on the evidence presented,</w:t>
      </w:r>
      <w:r w:rsidR="00A9583E">
        <w:t xml:space="preserve"> </w:t>
      </w:r>
      <w:r w:rsidR="004B67AB">
        <w:t>MSAC noted that DB treatment result</w:t>
      </w:r>
      <w:r w:rsidR="00D522F9">
        <w:t>ed</w:t>
      </w:r>
      <w:r w:rsidR="004B67AB">
        <w:t xml:space="preserve"> in</w:t>
      </w:r>
      <w:r w:rsidR="00D522F9">
        <w:t xml:space="preserve"> a</w:t>
      </w:r>
      <w:r w:rsidR="004B67AB">
        <w:t xml:space="preserve"> higher ORR than the comparator</w:t>
      </w:r>
      <w:r w:rsidR="00670B04">
        <w:t xml:space="preserve">, with </w:t>
      </w:r>
      <w:r w:rsidR="00670B04">
        <w:lastRenderedPageBreak/>
        <w:t>r</w:t>
      </w:r>
      <w:r w:rsidR="004B67AB">
        <w:t>efractory patients appear</w:t>
      </w:r>
      <w:r w:rsidR="00670B04">
        <w:t>ing</w:t>
      </w:r>
      <w:r w:rsidR="004B67AB">
        <w:t xml:space="preserve"> to have a higher response than relapsed patients. MSAC noted that DB treatment also appear</w:t>
      </w:r>
      <w:r w:rsidR="00D522F9">
        <w:t>ed</w:t>
      </w:r>
      <w:r w:rsidR="004B67AB">
        <w:t xml:space="preserve"> to result in higher PFS compared to no DB, although </w:t>
      </w:r>
      <w:r w:rsidR="00670B04">
        <w:t xml:space="preserve">noted that </w:t>
      </w:r>
      <w:r w:rsidR="004B67AB">
        <w:t xml:space="preserve">this </w:t>
      </w:r>
      <w:r w:rsidR="00D522F9">
        <w:t>wa</w:t>
      </w:r>
      <w:r w:rsidR="004B67AB">
        <w:t>s based on very small numbers. Further, at the hearing, representatives of the applicant showed data from the ANBL 1221 trial that indicated that PFS was similar for relapsed and refractory patients. MSAC noted that the</w:t>
      </w:r>
      <w:r w:rsidR="00A0603B">
        <w:t xml:space="preserve"> OS</w:t>
      </w:r>
      <w:r w:rsidR="004B67AB">
        <w:t xml:space="preserve"> benefits from DB treatment were less convincing, but the Kaplan–Meier curve from the BEACON-</w:t>
      </w:r>
      <w:proofErr w:type="spellStart"/>
      <w:r w:rsidR="004B67AB">
        <w:t>Immuno</w:t>
      </w:r>
      <w:proofErr w:type="spellEnd"/>
      <w:r w:rsidR="004B67AB">
        <w:t xml:space="preserve"> trial was </w:t>
      </w:r>
      <w:r w:rsidR="00757C6D">
        <w:t xml:space="preserve">difficult to fully interpret </w:t>
      </w:r>
      <w:r w:rsidR="004B67AB">
        <w:t>due to 12 patients in the ‘no DB’ arm receiving crossover treatment.</w:t>
      </w:r>
      <w:r w:rsidR="00364D10">
        <w:t xml:space="preserve"> MSAC noted that the applicant </w:t>
      </w:r>
      <w:r w:rsidR="00446BC9">
        <w:t>representatives</w:t>
      </w:r>
      <w:r w:rsidR="00364D10">
        <w:t xml:space="preserve"> advised that DB and DA are </w:t>
      </w:r>
      <w:r w:rsidR="003B4357">
        <w:t xml:space="preserve">used interchangeably in clinical practice and </w:t>
      </w:r>
      <w:r w:rsidR="00446BC9">
        <w:t>are considered equivalent</w:t>
      </w:r>
      <w:r w:rsidR="00CA7FF7">
        <w:t>, which was aligned with advice from the Australian and New Zealand Children’s Haematology/Oncology Group (ANZCHOG) that clinicians consider the DA and DB to be similar and, in practice, will use whichever is readily available</w:t>
      </w:r>
      <w:r w:rsidR="00446BC9">
        <w:t>.</w:t>
      </w:r>
      <w:r w:rsidR="00670B04">
        <w:t xml:space="preserve"> Overall, MSAC considered that, based on the available data and noting that</w:t>
      </w:r>
      <w:r w:rsidR="009E2F2B">
        <w:t xml:space="preserve"> it was unlikely</w:t>
      </w:r>
      <w:r w:rsidR="00670B04">
        <w:t xml:space="preserve"> higher quality data</w:t>
      </w:r>
      <w:r w:rsidR="009E2F2B">
        <w:t xml:space="preserve"> would be available</w:t>
      </w:r>
      <w:r w:rsidR="00670B04">
        <w:t xml:space="preserve"> in future due to disease rarity, the claim of superior effectiveness appeared to be reasonable.</w:t>
      </w:r>
    </w:p>
    <w:p w14:paraId="4E2C29BE" w14:textId="5B3B19B4" w:rsidR="004B67AB" w:rsidRDefault="004B67AB" w:rsidP="004B67AB">
      <w:pPr>
        <w:spacing w:after="240"/>
      </w:pPr>
      <w:r>
        <w:t>MSAC noted ESC</w:t>
      </w:r>
      <w:r w:rsidR="00E755AB">
        <w:t xml:space="preserve"> had querie</w:t>
      </w:r>
      <w:r w:rsidR="000E3241">
        <w:t>d</w:t>
      </w:r>
      <w:r w:rsidR="00532AC1">
        <w:t xml:space="preserve"> whether the appropriate dosing schedule was clear, as they differed between </w:t>
      </w:r>
      <w:r>
        <w:t xml:space="preserve">the key trials </w:t>
      </w:r>
      <w:r w:rsidR="00532AC1">
        <w:t>a</w:t>
      </w:r>
      <w:r>
        <w:t>nd from the TGA-approved dosing schedule. At the hearing, representatives of the applicant advised that the standard dosing schedule was</w:t>
      </w:r>
      <w:r w:rsidR="00EA4CAA">
        <w:t xml:space="preserve"> a 21-day cycle for</w:t>
      </w:r>
      <w:r>
        <w:t xml:space="preserve"> DB + temozolomide + irinotecan (TEMIRI) or</w:t>
      </w:r>
      <w:r w:rsidR="00EA4CAA">
        <w:t xml:space="preserve"> a 28-day cycle for</w:t>
      </w:r>
      <w:r>
        <w:t xml:space="preserve"> DB + temozolomide + topotecan (TOTEM). The </w:t>
      </w:r>
      <w:r w:rsidR="00A87061">
        <w:t xml:space="preserve">applicant’s </w:t>
      </w:r>
      <w:r>
        <w:t xml:space="preserve">representatives stated that clinicians are very familiar with these dosing schedules. The pre-MSAC response </w:t>
      </w:r>
      <w:r w:rsidR="00A87061">
        <w:t>proposed</w:t>
      </w:r>
      <w:r>
        <w:t xml:space="preserve"> that these be made available via </w:t>
      </w:r>
      <w:proofErr w:type="spellStart"/>
      <w:r>
        <w:t>eviQ</w:t>
      </w:r>
      <w:proofErr w:type="spellEnd"/>
      <w:r>
        <w:t xml:space="preserve"> for easy access by </w:t>
      </w:r>
      <w:r w:rsidR="00B77B5C">
        <w:t xml:space="preserve">clinical </w:t>
      </w:r>
      <w:r>
        <w:t>staff.</w:t>
      </w:r>
    </w:p>
    <w:p w14:paraId="79A66295" w14:textId="1292EAC3" w:rsidR="004B67AB" w:rsidRDefault="004B67AB" w:rsidP="004B67AB">
      <w:pPr>
        <w:spacing w:after="240"/>
      </w:pPr>
      <w:r>
        <w:t xml:space="preserve">MSAC noted that the economic evaluation </w:t>
      </w:r>
      <w:r w:rsidR="00993A41">
        <w:t>included both</w:t>
      </w:r>
      <w:r w:rsidR="006E043D">
        <w:t xml:space="preserve"> </w:t>
      </w:r>
      <w:r>
        <w:t xml:space="preserve">a cost-effectiveness analysis and cost-utility analysis. MSAC </w:t>
      </w:r>
      <w:r w:rsidR="009447A5">
        <w:t xml:space="preserve">agreed with ESC and </w:t>
      </w:r>
      <w:r w:rsidR="00B964EC">
        <w:t xml:space="preserve">considered that the economic evaluation was </w:t>
      </w:r>
      <w:r>
        <w:t>highly uncertain</w:t>
      </w:r>
      <w:r w:rsidR="00E3303F">
        <w:t xml:space="preserve"> </w:t>
      </w:r>
      <w:r w:rsidR="004313CC">
        <w:t xml:space="preserve">due to </w:t>
      </w:r>
      <w:proofErr w:type="gramStart"/>
      <w:r w:rsidR="004313CC">
        <w:t>a number of</w:t>
      </w:r>
      <w:proofErr w:type="gramEnd"/>
      <w:r w:rsidR="004313CC">
        <w:t xml:space="preserve"> issues. </w:t>
      </w:r>
    </w:p>
    <w:p w14:paraId="20C0AB0C" w14:textId="2944FEF4" w:rsidR="00D07F19" w:rsidRDefault="00D07F19" w:rsidP="00D07F19">
      <w:pPr>
        <w:spacing w:after="240"/>
      </w:pPr>
      <w:r>
        <w:t xml:space="preserve">MSAC noted that the calculations did not include costs associated with hospitalisation or adverse events, which the applicant considered were driven by chemotherapy. MSAC considered that this did not align with the claim of inferior safety, with the potential for Grade 3–5 adverse events (including liver injury, metabolic disturbances and electrolyte abnormalities) as highlighted by state and territory feedback.  </w:t>
      </w:r>
    </w:p>
    <w:p w14:paraId="7F20E0D7" w14:textId="206F8E8B" w:rsidR="004B67AB" w:rsidRDefault="00B257CD" w:rsidP="004B67AB">
      <w:pPr>
        <w:spacing w:after="240"/>
      </w:pPr>
      <w:r>
        <w:t xml:space="preserve">MSAC </w:t>
      </w:r>
      <w:r w:rsidR="002A5573">
        <w:t>noted that the applicant stated in its pre-MSAC response that clinician</w:t>
      </w:r>
      <w:r w:rsidR="00242C5D">
        <w:t xml:space="preserve">s consider life expectancy of 10-20 years to be reasonable based on follow-up; however, MSAC </w:t>
      </w:r>
      <w:r>
        <w:t xml:space="preserve">considered that </w:t>
      </w:r>
      <w:r w:rsidR="004B67AB" w:rsidDel="00993A41">
        <w:t>t</w:t>
      </w:r>
      <w:r w:rsidR="004B67AB">
        <w:t xml:space="preserve">he time horizon of 20 years </w:t>
      </w:r>
      <w:r w:rsidR="00FB036E">
        <w:t xml:space="preserve">may </w:t>
      </w:r>
      <w:r w:rsidR="00242C5D">
        <w:t xml:space="preserve">still </w:t>
      </w:r>
      <w:r w:rsidR="00FB036E">
        <w:t>be</w:t>
      </w:r>
      <w:r w:rsidR="004B67AB">
        <w:t xml:space="preserve"> optimistic given the prognosis of RRHRNBL</w:t>
      </w:r>
      <w:r w:rsidR="00242C5D">
        <w:t>.</w:t>
      </w:r>
      <w:r w:rsidR="003364A6">
        <w:t xml:space="preserve"> MSAC noted tha</w:t>
      </w:r>
      <w:r w:rsidR="008A4389">
        <w:t xml:space="preserve">t sensitivity analyses were presented in the pre-MSAC response, demonstrating that the base case </w:t>
      </w:r>
      <w:r w:rsidR="000F3326">
        <w:t>incremental cost-</w:t>
      </w:r>
      <w:r w:rsidR="000F3326" w:rsidRPr="00DB16BC">
        <w:t>effectiveness ratio (</w:t>
      </w:r>
      <w:r w:rsidR="008A4389" w:rsidRPr="00DB16BC">
        <w:t>ICER</w:t>
      </w:r>
      <w:r w:rsidR="000F3326" w:rsidRPr="00DB16BC">
        <w:t>)</w:t>
      </w:r>
      <w:r w:rsidR="008A4389" w:rsidRPr="00DB16BC">
        <w:t xml:space="preserve"> increased </w:t>
      </w:r>
      <w:r w:rsidR="000F3326" w:rsidRPr="00DB16BC">
        <w:t>from $</w:t>
      </w:r>
      <w:r w:rsidR="004E27A4" w:rsidRPr="00DB16BC">
        <w:rPr>
          <w:b/>
          <w:bCs/>
        </w:rPr>
        <w:t>redacted</w:t>
      </w:r>
      <w:r w:rsidR="000F3326" w:rsidRPr="00DB16BC">
        <w:t xml:space="preserve"> per quality adjusted life year (</w:t>
      </w:r>
      <w:r w:rsidR="008A4389" w:rsidRPr="00DB16BC">
        <w:t>QALY</w:t>
      </w:r>
      <w:r w:rsidR="000F3326" w:rsidRPr="00DB16BC">
        <w:t>)</w:t>
      </w:r>
      <w:r w:rsidR="008A4389" w:rsidRPr="00DB16BC">
        <w:t xml:space="preserve"> </w:t>
      </w:r>
      <w:r w:rsidR="00ED42C8" w:rsidRPr="00DB16BC">
        <w:t>to $</w:t>
      </w:r>
      <w:r w:rsidR="004E27A4" w:rsidRPr="00DB16BC">
        <w:rPr>
          <w:b/>
          <w:bCs/>
        </w:rPr>
        <w:t>redacted</w:t>
      </w:r>
      <w:r w:rsidR="00ED42C8" w:rsidRPr="00DB16BC">
        <w:t>/QALY at</w:t>
      </w:r>
      <w:r w:rsidR="00B925F1" w:rsidRPr="00DB16BC">
        <w:t xml:space="preserve"> a time horizon of 10 years, and to $</w:t>
      </w:r>
      <w:r w:rsidR="004E27A4" w:rsidRPr="00DB16BC">
        <w:rPr>
          <w:b/>
          <w:bCs/>
        </w:rPr>
        <w:t>redacted</w:t>
      </w:r>
      <w:r w:rsidR="00B925F1" w:rsidRPr="00DB16BC">
        <w:t>/QALY at a time horizon of 5 years.</w:t>
      </w:r>
    </w:p>
    <w:p w14:paraId="2C188E72" w14:textId="15A41094" w:rsidR="00464853" w:rsidRDefault="00464853" w:rsidP="004B67AB">
      <w:pPr>
        <w:spacing w:after="240"/>
      </w:pPr>
      <w:r>
        <w:t>MSAC noted that ESC had considered that the base case specifications were not well justified, and that it may have been more appropriate to use the BEACON-</w:t>
      </w:r>
      <w:proofErr w:type="spellStart"/>
      <w:r>
        <w:t>Immuno</w:t>
      </w:r>
      <w:proofErr w:type="spellEnd"/>
      <w:r>
        <w:t xml:space="preserve"> data alone for PFS, and present other scenarios as sensitivity analyses. MSAC noted that the applicant argued in the pre-MSAC response that </w:t>
      </w:r>
      <w:r w:rsidR="00593141">
        <w:t>due to the high proportion of crossover in BEACON-</w:t>
      </w:r>
      <w:proofErr w:type="spellStart"/>
      <w:r w:rsidR="00593141">
        <w:t>Immuno</w:t>
      </w:r>
      <w:proofErr w:type="spellEnd"/>
      <w:r w:rsidR="00593141">
        <w:t>, this would have been inappropriate</w:t>
      </w:r>
      <w:r w:rsidR="00CD56BB">
        <w:t>.</w:t>
      </w:r>
    </w:p>
    <w:p w14:paraId="63E7E513" w14:textId="61E444AD" w:rsidR="009A0344" w:rsidRDefault="009A0344" w:rsidP="004B67AB">
      <w:pPr>
        <w:spacing w:after="240"/>
      </w:pPr>
      <w:r>
        <w:t>MSAC noted that because data w</w:t>
      </w:r>
      <w:r w:rsidR="20980C7C">
        <w:t>as</w:t>
      </w:r>
      <w:r>
        <w:t xml:space="preserve"> limited, data from different studies were used to model different outcomes (PFS and OS), resulting in health state probabilities exceeding 1 </w:t>
      </w:r>
      <w:r w:rsidR="00AF7228" w:rsidDel="009A0344">
        <w:t>(</w:t>
      </w:r>
      <w:r w:rsidR="00AF7228">
        <w:t>which was arithmetically corrected</w:t>
      </w:r>
      <w:r>
        <w:t>).</w:t>
      </w:r>
    </w:p>
    <w:p w14:paraId="678FDA3C" w14:textId="797C6612" w:rsidR="004B67AB" w:rsidRDefault="00C404C2" w:rsidP="004B67AB">
      <w:pPr>
        <w:spacing w:after="240"/>
      </w:pPr>
      <w:r>
        <w:t xml:space="preserve">MSAC noted that the base case ICER was high, albeit uncertain due to the issues </w:t>
      </w:r>
      <w:r w:rsidR="008D7B8F">
        <w:t xml:space="preserve">noted </w:t>
      </w:r>
      <w:r>
        <w:t xml:space="preserve">with the </w:t>
      </w:r>
      <w:proofErr w:type="gramStart"/>
      <w:r>
        <w:t>model, but</w:t>
      </w:r>
      <w:proofErr w:type="gramEnd"/>
      <w:r>
        <w:t xml:space="preserve"> overall considered it to be acceptable for a HST in this context. </w:t>
      </w:r>
      <w:r w:rsidR="004B67AB">
        <w:t xml:space="preserve">MSAC considered that </w:t>
      </w:r>
      <w:r w:rsidR="005C2F8A">
        <w:lastRenderedPageBreak/>
        <w:t xml:space="preserve">addressing </w:t>
      </w:r>
      <w:r w:rsidR="004B67AB">
        <w:t xml:space="preserve">these issues in sensitivity analyses </w:t>
      </w:r>
      <w:r w:rsidR="00993A41">
        <w:t xml:space="preserve">would likely </w:t>
      </w:r>
      <w:r w:rsidR="004B67AB">
        <w:t xml:space="preserve">not </w:t>
      </w:r>
      <w:r w:rsidR="00993A41">
        <w:t xml:space="preserve">significantly </w:t>
      </w:r>
      <w:r w:rsidR="00517F83">
        <w:t>improve</w:t>
      </w:r>
      <w:r w:rsidR="004B67AB">
        <w:t xml:space="preserve"> the cost-effectiveness of the treatment. </w:t>
      </w:r>
    </w:p>
    <w:p w14:paraId="2175C33F" w14:textId="55A69484" w:rsidR="001F16E6" w:rsidRPr="009A3778" w:rsidRDefault="004B67AB" w:rsidP="004B67AB">
      <w:pPr>
        <w:spacing w:after="240"/>
      </w:pPr>
      <w:r>
        <w:t xml:space="preserve">MSAC noted that </w:t>
      </w:r>
      <w:r w:rsidR="00A44EA8">
        <w:t xml:space="preserve">the eligible patient population </w:t>
      </w:r>
      <w:r>
        <w:t xml:space="preserve">was estimated </w:t>
      </w:r>
      <w:r w:rsidR="00A44EA8">
        <w:t>to be</w:t>
      </w:r>
      <w:r>
        <w:t xml:space="preserve"> </w:t>
      </w:r>
      <w:r w:rsidR="004E27A4" w:rsidRPr="00DB16BC">
        <w:rPr>
          <w:b/>
          <w:bCs/>
        </w:rPr>
        <w:t xml:space="preserve">redacted </w:t>
      </w:r>
      <w:r>
        <w:t xml:space="preserve">patients </w:t>
      </w:r>
      <w:r w:rsidR="00A44EA8">
        <w:t>per</w:t>
      </w:r>
      <w:r>
        <w:t xml:space="preserve"> year</w:t>
      </w:r>
      <w:r w:rsidR="007E3441">
        <w:t xml:space="preserve">, with uptake starting at </w:t>
      </w:r>
      <w:r w:rsidR="004E27A4" w:rsidRPr="00FD09FC">
        <w:rPr>
          <w:b/>
          <w:bCs/>
        </w:rPr>
        <w:t>redacted</w:t>
      </w:r>
      <w:r w:rsidR="006B09B1" w:rsidRPr="006B09B1">
        <w:t>%</w:t>
      </w:r>
      <w:r w:rsidR="007E3441">
        <w:t xml:space="preserve"> in Year 1 and increasing to </w:t>
      </w:r>
      <w:r w:rsidR="004E27A4" w:rsidRPr="00FD09FC">
        <w:rPr>
          <w:b/>
          <w:bCs/>
        </w:rPr>
        <w:t>redacted</w:t>
      </w:r>
      <w:r w:rsidR="006B09B1" w:rsidRPr="006B09B1">
        <w:t>%</w:t>
      </w:r>
      <w:r w:rsidR="004E27A4" w:rsidRPr="00FD09FC">
        <w:rPr>
          <w:b/>
          <w:bCs/>
        </w:rPr>
        <w:t xml:space="preserve"> </w:t>
      </w:r>
      <w:r w:rsidR="007E3441">
        <w:t>by Year 6,</w:t>
      </w:r>
      <w:r>
        <w:t xml:space="preserve"> which MSAC considered to be reasonable.</w:t>
      </w:r>
      <w:r w:rsidR="002F0D52">
        <w:t xml:space="preserve"> Each patient was estimated to receive </w:t>
      </w:r>
      <w:r w:rsidR="004E27A4" w:rsidRPr="00FD09FC">
        <w:rPr>
          <w:b/>
          <w:bCs/>
        </w:rPr>
        <w:t>redacted</w:t>
      </w:r>
      <w:r w:rsidR="00813671">
        <w:t xml:space="preserve"> vials</w:t>
      </w:r>
      <w:r w:rsidR="00264B73">
        <w:t>, resulting in an</w:t>
      </w:r>
      <w:r>
        <w:t xml:space="preserve"> estimated net financial impact to the NHRA HST program </w:t>
      </w:r>
      <w:r w:rsidR="00264B73">
        <w:t xml:space="preserve">of </w:t>
      </w:r>
      <w:r>
        <w:t>$</w:t>
      </w:r>
      <w:r w:rsidR="004E27A4" w:rsidRPr="00FD09FC">
        <w:rPr>
          <w:b/>
          <w:bCs/>
        </w:rPr>
        <w:t>redacted</w:t>
      </w:r>
      <w:r>
        <w:t xml:space="preserve"> (</w:t>
      </w:r>
      <w:r w:rsidR="004E27A4" w:rsidRPr="00FD09FC">
        <w:rPr>
          <w:b/>
          <w:bCs/>
        </w:rPr>
        <w:t xml:space="preserve">redacted </w:t>
      </w:r>
      <w:r>
        <w:t xml:space="preserve">vials) in </w:t>
      </w:r>
      <w:r w:rsidR="00264B73">
        <w:t>Y</w:t>
      </w:r>
      <w:r>
        <w:t>ear 1 to $</w:t>
      </w:r>
      <w:r w:rsidR="004E27A4" w:rsidRPr="00FD09FC">
        <w:rPr>
          <w:b/>
          <w:bCs/>
        </w:rPr>
        <w:t>redacted</w:t>
      </w:r>
      <w:r>
        <w:t xml:space="preserve"> million (</w:t>
      </w:r>
      <w:r w:rsidR="004E27A4" w:rsidRPr="00FD09FC">
        <w:rPr>
          <w:b/>
          <w:bCs/>
        </w:rPr>
        <w:t xml:space="preserve">redacted </w:t>
      </w:r>
      <w:r>
        <w:t xml:space="preserve">vials) in </w:t>
      </w:r>
      <w:r w:rsidR="00264B73">
        <w:t>each of Y</w:t>
      </w:r>
      <w:r>
        <w:t>ears 5 and 6.</w:t>
      </w:r>
      <w:r w:rsidR="00264B73">
        <w:t xml:space="preserve"> MSAC considered that the net financial impact was underestimated due to the absence of hospitalis</w:t>
      </w:r>
      <w:r w:rsidR="000237BB">
        <w:t>ation costs</w:t>
      </w:r>
      <w:r w:rsidR="00731028">
        <w:t>.</w:t>
      </w:r>
      <w:r>
        <w:t xml:space="preserve"> </w:t>
      </w:r>
      <w:bookmarkStart w:id="5" w:name="_Hlk198891326"/>
      <w:r>
        <w:t>MSAC noted that, with these assumptions, the application estimate</w:t>
      </w:r>
      <w:r w:rsidR="00D14CFF">
        <w:t>d that</w:t>
      </w:r>
      <w:r>
        <w:t xml:space="preserve"> </w:t>
      </w:r>
      <w:r w:rsidR="00D14CFF">
        <w:t>the total number of patients receiving DB would not exceed the caps set out in the</w:t>
      </w:r>
      <w:r>
        <w:t xml:space="preserve"> current </w:t>
      </w:r>
      <w:r w:rsidR="00040DF2">
        <w:t xml:space="preserve">deed of agreement between the Commonwealth and </w:t>
      </w:r>
      <w:r>
        <w:t>Sponsor for DB from March 2025 to February 2026.</w:t>
      </w:r>
      <w:r w:rsidR="000568B5">
        <w:t xml:space="preserve"> MSAC advised that </w:t>
      </w:r>
      <w:r>
        <w:t xml:space="preserve">a post-market evaluation </w:t>
      </w:r>
      <w:r w:rsidR="000568B5">
        <w:t>would be valuable</w:t>
      </w:r>
      <w:r>
        <w:t xml:space="preserve"> to obtain real-world data. </w:t>
      </w:r>
      <w:bookmarkEnd w:id="5"/>
    </w:p>
    <w:p w14:paraId="106E39D5" w14:textId="641B729E" w:rsidR="00B54C25" w:rsidRPr="009A3778" w:rsidRDefault="05DE3073" w:rsidP="00B54C25">
      <w:pPr>
        <w:spacing w:after="240"/>
      </w:pPr>
      <w:bookmarkStart w:id="6" w:name="_Toc69491416"/>
      <w:bookmarkEnd w:id="2"/>
      <w:r>
        <w:t xml:space="preserve">Overall, MSAC supported public funding of </w:t>
      </w:r>
      <w:r w:rsidRPr="149474C2">
        <w:rPr>
          <w:rFonts w:eastAsia="Franklin Gothic Book" w:cs="Franklin Gothic Book"/>
        </w:rPr>
        <w:t xml:space="preserve">DB for RRHRNBL as an HST through the NHRA </w:t>
      </w:r>
      <w:r w:rsidR="4364704C" w:rsidRPr="149474C2">
        <w:rPr>
          <w:rFonts w:eastAsia="Franklin Gothic Book" w:cs="Franklin Gothic Book"/>
        </w:rPr>
        <w:t>Addendum and</w:t>
      </w:r>
      <w:r>
        <w:t xml:space="preserve"> advised that it would be appropriate for the existing DB access criteria to be expanded </w:t>
      </w:r>
      <w:r w:rsidR="52DC4144">
        <w:t>consistent</w:t>
      </w:r>
      <w:r w:rsidR="5FB0BEB8">
        <w:t xml:space="preserve"> with the TGA indication</w:t>
      </w:r>
      <w:r>
        <w:t>.</w:t>
      </w:r>
    </w:p>
    <w:p w14:paraId="6710B69D" w14:textId="6D2C9DEB" w:rsidR="00772829" w:rsidRDefault="00772829" w:rsidP="00EE5979">
      <w:pPr>
        <w:pStyle w:val="Heading2"/>
        <w:numPr>
          <w:ilvl w:val="0"/>
          <w:numId w:val="22"/>
        </w:numPr>
        <w:ind w:hanging="720"/>
      </w:pPr>
      <w:r w:rsidRPr="00CE28E3">
        <w:t>Background</w:t>
      </w:r>
      <w:bookmarkEnd w:id="6"/>
    </w:p>
    <w:p w14:paraId="18DCBBE9" w14:textId="4388C501" w:rsidR="00C30AEF" w:rsidRDefault="00C30AEF" w:rsidP="00C30AEF">
      <w:r>
        <w:t>This is the first submission to MSAC for consideration of DB for RRHRNBL.</w:t>
      </w:r>
    </w:p>
    <w:p w14:paraId="59929330" w14:textId="46BC20A2" w:rsidR="00C30AEF" w:rsidRDefault="007D6B90" w:rsidP="00C30AEF">
      <w:r>
        <w:t>At the July 2020 meeting</w:t>
      </w:r>
      <w:r w:rsidR="3A80C703">
        <w:t>,</w:t>
      </w:r>
      <w:r>
        <w:t xml:space="preserve"> </w:t>
      </w:r>
      <w:r w:rsidR="00C30AEF">
        <w:t>MSAC previously considered and supported joint Commonwealth and State/Territory funding of DB for high-risk neuroblastoma (HRNBL) in patients who have previously received induction chemotherapy and achieved at least a partial response (MSAC application 1625), subject to the applicant agreeing a price reduction for DB (MSAC 1625 Public Summary Document (PSD), p1).</w:t>
      </w:r>
      <w:r w:rsidR="005C5CA1">
        <w:t xml:space="preserve"> MSAC considered access criteria for DB should be consistent with the TGA indication and noted use of DB </w:t>
      </w:r>
      <w:r w:rsidR="00220110">
        <w:t xml:space="preserve">that may be </w:t>
      </w:r>
      <w:r w:rsidR="005C5CA1">
        <w:t xml:space="preserve">outside of the access criteria (i.e. in patients with relapsed or refractory </w:t>
      </w:r>
      <w:r w:rsidR="0062271B">
        <w:t>HR</w:t>
      </w:r>
      <w:r w:rsidR="005C5CA1">
        <w:t>NBL) could appropriately be managed with a risk sharing arrangement.</w:t>
      </w:r>
    </w:p>
    <w:p w14:paraId="6D956D30" w14:textId="638D1CA5" w:rsidR="2580F487" w:rsidRDefault="2580F487" w:rsidP="0B0B71D6">
      <w:pPr>
        <w:rPr>
          <w:rFonts w:eastAsia="Franklin Gothic Book" w:cs="Franklin Gothic Book"/>
        </w:rPr>
      </w:pPr>
      <w:r w:rsidRPr="00DC0824">
        <w:rPr>
          <w:rFonts w:eastAsia="Franklin Gothic Book" w:cs="Franklin Gothic Book"/>
        </w:rPr>
        <w:t xml:space="preserve">In August 2024, the Joint Chairs (as defined in the </w:t>
      </w:r>
      <w:hyperlink r:id="rId12" w:history="1">
        <w:r w:rsidRPr="0B0B71D6">
          <w:rPr>
            <w:rFonts w:eastAsia="Franklin Gothic Book" w:cs="Franklin Gothic Book"/>
          </w:rPr>
          <w:t>Framework for the assessment, funding and implementation of high cost, highly specialised therapies</w:t>
        </w:r>
        <w:r w:rsidRPr="0B0B71D6">
          <w:rPr>
            <w:rStyle w:val="Hyperlink"/>
            <w:rFonts w:eastAsia="Franklin Gothic Book" w:cs="Franklin Gothic Book"/>
          </w:rPr>
          <w:t xml:space="preserve"> and services</w:t>
        </w:r>
      </w:hyperlink>
      <w:r w:rsidRPr="00DC0824">
        <w:rPr>
          <w:rFonts w:eastAsia="Franklin Gothic Book" w:cs="Franklin Gothic Book"/>
        </w:rPr>
        <w:t>) supported consideration of DB for relapsed or refractory HRNBL by MSAC as a HST</w:t>
      </w:r>
      <w:r w:rsidR="03A75411" w:rsidRPr="0B0B71D6">
        <w:rPr>
          <w:rFonts w:eastAsia="Franklin Gothic Book" w:cs="Franklin Gothic Book"/>
        </w:rPr>
        <w:t>.</w:t>
      </w:r>
    </w:p>
    <w:p w14:paraId="6F52500A" w14:textId="6854DB8E" w:rsidR="00772829" w:rsidRDefault="00772829" w:rsidP="00EE5979">
      <w:pPr>
        <w:pStyle w:val="Heading2"/>
        <w:numPr>
          <w:ilvl w:val="0"/>
          <w:numId w:val="22"/>
        </w:numPr>
        <w:ind w:hanging="720"/>
      </w:pPr>
      <w:bookmarkStart w:id="7" w:name="_Toc69491417"/>
      <w:r w:rsidRPr="00CE28E3">
        <w:t>Prerequisites to implementation of any funding advice</w:t>
      </w:r>
      <w:bookmarkEnd w:id="7"/>
    </w:p>
    <w:p w14:paraId="7E28B36B" w14:textId="156AEF89" w:rsidR="00C30AEF" w:rsidRDefault="00C30AEF" w:rsidP="00C30AEF">
      <w:r>
        <w:t>DB is not TGA approve</w:t>
      </w:r>
      <w:r w:rsidR="00AD20A5">
        <w:t>d</w:t>
      </w:r>
      <w:r w:rsidR="00970790">
        <w:t xml:space="preserve"> specifically for the RRHRNBL indication</w:t>
      </w:r>
      <w:r>
        <w:t xml:space="preserve">, </w:t>
      </w:r>
      <w:r w:rsidR="007D6B90">
        <w:t>and</w:t>
      </w:r>
      <w:r w:rsidR="00E9260B">
        <w:t xml:space="preserve"> the </w:t>
      </w:r>
      <w:r w:rsidR="00DB42FA">
        <w:t>sponsoring pharmaceutical company</w:t>
      </w:r>
      <w:r w:rsidR="00FA7DA5">
        <w:t xml:space="preserve"> (the Sponsor)</w:t>
      </w:r>
      <w:r w:rsidR="00DB42FA">
        <w:t xml:space="preserve"> </w:t>
      </w:r>
      <w:r w:rsidR="007D6B90">
        <w:t xml:space="preserve">has stated </w:t>
      </w:r>
      <w:r w:rsidR="009C4D95">
        <w:t xml:space="preserve">it </w:t>
      </w:r>
      <w:r w:rsidR="007D6B90">
        <w:t xml:space="preserve">will not </w:t>
      </w:r>
      <w:r w:rsidR="005C4FE4">
        <w:t>seek an extension to the current</w:t>
      </w:r>
      <w:r w:rsidR="00F40848">
        <w:t xml:space="preserve"> </w:t>
      </w:r>
      <w:r>
        <w:t>TGA approval</w:t>
      </w:r>
      <w:r w:rsidR="005C4FE4">
        <w:t xml:space="preserve"> for DB</w:t>
      </w:r>
      <w:r>
        <w:t xml:space="preserve">. </w:t>
      </w:r>
      <w:r w:rsidR="00AD20A5">
        <w:t xml:space="preserve">The ADAR explained there are several challenges in obtaining specific RRHRNBL registration. </w:t>
      </w:r>
      <w:r w:rsidR="005D2945">
        <w:t xml:space="preserve">The key challenge </w:t>
      </w:r>
      <w:r w:rsidR="00AD20A5">
        <w:t xml:space="preserve">is that it is unlikely that registration for the indication under consideration will occur in a timely manner, and the availability of a registration package is unpredictable. There are several reasons </w:t>
      </w:r>
      <w:r w:rsidR="005C4FE4">
        <w:t xml:space="preserve">claimed </w:t>
      </w:r>
      <w:r w:rsidR="00AD20A5">
        <w:t>for this</w:t>
      </w:r>
      <w:r w:rsidR="00882483">
        <w:t>,</w:t>
      </w:r>
      <w:r w:rsidR="00AD20A5">
        <w:t xml:space="preserve"> one of which is that the Sponsor does not have access to all the data to enable the production of a timely clinical study report </w:t>
      </w:r>
      <w:r w:rsidR="00666E81">
        <w:t xml:space="preserve">(CSR) </w:t>
      </w:r>
      <w:r w:rsidR="00AD20A5">
        <w:t>for submission to the TGA</w:t>
      </w:r>
      <w:r w:rsidR="00753F17">
        <w:t>,</w:t>
      </w:r>
      <w:r w:rsidR="00AD20A5">
        <w:t xml:space="preserve"> as the DB studies </w:t>
      </w:r>
      <w:r w:rsidR="005C4FE4">
        <w:t xml:space="preserve">were </w:t>
      </w:r>
      <w:r w:rsidR="00AD20A5">
        <w:t>designed and run by the International Society of Paediatric Oncology Europe Neuroblastoma Group (SIOPEN).</w:t>
      </w:r>
    </w:p>
    <w:p w14:paraId="07969CEB" w14:textId="6E9C8478" w:rsidR="004A0378" w:rsidRDefault="625643E4" w:rsidP="375F5CCE">
      <w:r>
        <w:t xml:space="preserve">DB </w:t>
      </w:r>
      <w:r w:rsidR="4705137F">
        <w:t xml:space="preserve">is currently TGA-approved for the treatment of high-risk neuroblastoma in patients who have previously received induction chemotherapy and achieved at least a partial response. </w:t>
      </w:r>
      <w:r w:rsidR="177C26DF">
        <w:t>The ADAR states that “[t]he MSAC Executive supported the consideration of an application by MSAC for the extension of public funding of DB for the treatment of patients with relapsed or refractory HRNBL, noting the current TGA indication appears to only explicitly exclude those with relapsed disease”</w:t>
      </w:r>
      <w:r w:rsidR="18D68EB8">
        <w:t>.</w:t>
      </w:r>
      <w:r w:rsidR="177C26DF">
        <w:t xml:space="preserve"> </w:t>
      </w:r>
      <w:r w:rsidR="18D68EB8">
        <w:lastRenderedPageBreak/>
        <w:t>T</w:t>
      </w:r>
      <w:r w:rsidR="177C26DF">
        <w:t>he commentary considered that</w:t>
      </w:r>
      <w:r w:rsidR="18D68EB8">
        <w:t>,</w:t>
      </w:r>
      <w:r w:rsidR="177C26DF">
        <w:t xml:space="preserve"> given patients are required to have at least a partial response to front-line therapy under the current indication, </w:t>
      </w:r>
      <w:proofErr w:type="gramStart"/>
      <w:r w:rsidR="177C26DF">
        <w:t>it would appear that the</w:t>
      </w:r>
      <w:proofErr w:type="gramEnd"/>
      <w:r w:rsidR="177C26DF">
        <w:t xml:space="preserve"> current TGA indication only explicitly excludes those with</w:t>
      </w:r>
      <w:r>
        <w:t xml:space="preserve"> </w:t>
      </w:r>
      <w:r w:rsidR="44E1CD60">
        <w:t>chemotherapy</w:t>
      </w:r>
      <w:r w:rsidR="177C26DF">
        <w:t xml:space="preserve"> refractory disease</w:t>
      </w:r>
      <w:r w:rsidR="29152BAD">
        <w:t xml:space="preserve">. </w:t>
      </w:r>
      <w:r w:rsidR="646762A2">
        <w:t>The</w:t>
      </w:r>
      <w:r w:rsidR="19DF5780">
        <w:t xml:space="preserve"> </w:t>
      </w:r>
      <w:r w:rsidR="363207C1">
        <w:t xml:space="preserve">current </w:t>
      </w:r>
      <w:r w:rsidR="646762A2">
        <w:t xml:space="preserve">TGA indication </w:t>
      </w:r>
      <w:r w:rsidR="443649C3">
        <w:t>for HRNBL</w:t>
      </w:r>
      <w:r w:rsidR="646762A2">
        <w:t xml:space="preserve"> </w:t>
      </w:r>
      <w:r w:rsidR="0CC438EA">
        <w:t xml:space="preserve">does not specifically mention </w:t>
      </w:r>
      <w:r w:rsidR="646762A2">
        <w:t>relapsed disease</w:t>
      </w:r>
      <w:r w:rsidR="200BD972">
        <w:t xml:space="preserve">. </w:t>
      </w:r>
      <w:r w:rsidR="62BE5E16">
        <w:t xml:space="preserve"> </w:t>
      </w:r>
    </w:p>
    <w:p w14:paraId="1E761DB1" w14:textId="21311323" w:rsidR="00AD20A5" w:rsidRDefault="00AD20A5" w:rsidP="00AD20A5">
      <w:r w:rsidRPr="375F5CCE">
        <w:t xml:space="preserve">The TGA-approved dose </w:t>
      </w:r>
      <w:r w:rsidR="00CE5C51">
        <w:t xml:space="preserve">regimen </w:t>
      </w:r>
      <w:r w:rsidRPr="375F5CCE">
        <w:t xml:space="preserve">for DB in HRNBL consists of </w:t>
      </w:r>
      <w:r w:rsidR="00E9260B" w:rsidRPr="375F5CCE">
        <w:t>five</w:t>
      </w:r>
      <w:r w:rsidRPr="375F5CCE">
        <w:t xml:space="preserve"> consecutive courses, each course comprising 35 days</w:t>
      </w:r>
      <w:r w:rsidR="00EE59B4" w:rsidRPr="375F5CCE">
        <w:t>:</w:t>
      </w:r>
    </w:p>
    <w:p w14:paraId="0EA3DFD6" w14:textId="308AA9F9" w:rsidR="00AD20A5" w:rsidRDefault="00AD20A5" w:rsidP="00EE5979">
      <w:pPr>
        <w:pStyle w:val="ListParagraph"/>
        <w:numPr>
          <w:ilvl w:val="0"/>
          <w:numId w:val="11"/>
        </w:numPr>
        <w:tabs>
          <w:tab w:val="left" w:pos="284"/>
        </w:tabs>
        <w:ind w:left="284" w:hanging="284"/>
      </w:pPr>
      <w:r w:rsidRPr="375F5CCE">
        <w:t>For patients weighing &gt;12 kg, the individual dose is determined based on the body surface area and should be a total of 100 mg/m</w:t>
      </w:r>
      <w:r w:rsidRPr="375F5CCE">
        <w:rPr>
          <w:vertAlign w:val="superscript"/>
        </w:rPr>
        <w:t>2</w:t>
      </w:r>
      <w:r w:rsidRPr="375F5CCE">
        <w:t xml:space="preserve"> per course.</w:t>
      </w:r>
    </w:p>
    <w:p w14:paraId="7AA780BA" w14:textId="6887C61C" w:rsidR="00AD20A5" w:rsidRDefault="00AD20A5" w:rsidP="00EE5979">
      <w:pPr>
        <w:pStyle w:val="ListParagraph"/>
        <w:numPr>
          <w:ilvl w:val="0"/>
          <w:numId w:val="11"/>
        </w:numPr>
        <w:tabs>
          <w:tab w:val="left" w:pos="284"/>
        </w:tabs>
        <w:ind w:left="284" w:hanging="284"/>
      </w:pPr>
      <w:r w:rsidRPr="375F5CCE">
        <w:t>For patients weighing &gt;5 kg and ≤12 kg, the individual dose is determined based on body weight and should be a total of 3.3 mg/kg per course.</w:t>
      </w:r>
    </w:p>
    <w:p w14:paraId="4282A1AB" w14:textId="77777777" w:rsidR="00AD20A5" w:rsidRDefault="00AD20A5" w:rsidP="00AD20A5">
      <w:r>
        <w:t>Two modes of administration are possible:</w:t>
      </w:r>
    </w:p>
    <w:p w14:paraId="2A501279" w14:textId="043E9B24" w:rsidR="00AD20A5" w:rsidRDefault="00EE59B4" w:rsidP="00EE5979">
      <w:pPr>
        <w:pStyle w:val="ListParagraph"/>
        <w:numPr>
          <w:ilvl w:val="0"/>
          <w:numId w:val="11"/>
        </w:numPr>
        <w:tabs>
          <w:tab w:val="left" w:pos="284"/>
        </w:tabs>
        <w:ind w:left="284" w:hanging="284"/>
      </w:pPr>
      <w:r>
        <w:t>A</w:t>
      </w:r>
      <w:r w:rsidR="00AD20A5">
        <w:t xml:space="preserve"> continuous infusion over the first 10 days of each course (a total of 240 hours) at the daily dose of 10 mg/m</w:t>
      </w:r>
      <w:r w:rsidR="00AD20A5" w:rsidRPr="00AD20A5">
        <w:rPr>
          <w:vertAlign w:val="superscript"/>
        </w:rPr>
        <w:t>2</w:t>
      </w:r>
      <w:r w:rsidR="00AD20A5">
        <w:t xml:space="preserve"> (for patients weighing &gt;12 kg) or 0.33 mg/kg (for patients weighing &gt;5 kg and ≤12 kg), or</w:t>
      </w:r>
    </w:p>
    <w:p w14:paraId="39A9E28C" w14:textId="34A1CA16" w:rsidR="00AD20A5" w:rsidRDefault="0051133D" w:rsidP="00EE5979">
      <w:pPr>
        <w:pStyle w:val="ListParagraph"/>
        <w:numPr>
          <w:ilvl w:val="0"/>
          <w:numId w:val="11"/>
        </w:numPr>
        <w:tabs>
          <w:tab w:val="left" w:pos="284"/>
        </w:tabs>
        <w:ind w:left="284" w:hanging="284"/>
      </w:pPr>
      <w:r>
        <w:t>F</w:t>
      </w:r>
      <w:r w:rsidR="00AD20A5">
        <w:t>ive daily infusions of 20 mg/m</w:t>
      </w:r>
      <w:r w:rsidR="00AD20A5" w:rsidRPr="00AD20A5">
        <w:rPr>
          <w:vertAlign w:val="superscript"/>
        </w:rPr>
        <w:t>2</w:t>
      </w:r>
      <w:r w:rsidR="00AD20A5">
        <w:t xml:space="preserve"> (for patients weighing &gt;12 kg) or 0.66 mg/kg (for patients weighing &gt;5 kg and ≤12 kg) administered over 8 hours, on the first 5 days of each course.</w:t>
      </w:r>
    </w:p>
    <w:p w14:paraId="2E3DE2EF" w14:textId="4891E413" w:rsidR="001A4C64" w:rsidRDefault="00666E81" w:rsidP="00666E81">
      <w:pPr>
        <w:tabs>
          <w:tab w:val="left" w:pos="284"/>
        </w:tabs>
      </w:pPr>
      <w:r w:rsidRPr="00F8744E">
        <w:t>Of the DB studies presented in the ADAR, none used th</w:t>
      </w:r>
      <w:r w:rsidR="00E9260B">
        <w:t>ese</w:t>
      </w:r>
      <w:r w:rsidRPr="00F8744E">
        <w:t xml:space="preserve"> dosage </w:t>
      </w:r>
      <w:r w:rsidR="00E9260B">
        <w:t xml:space="preserve">regimens </w:t>
      </w:r>
      <w:r w:rsidRPr="00F8744E">
        <w:t>for RRHRNBL. The dosage regimen</w:t>
      </w:r>
      <w:r w:rsidR="00F8744E" w:rsidRPr="00F8744E">
        <w:t>s</w:t>
      </w:r>
      <w:r w:rsidRPr="00F8744E">
        <w:t xml:space="preserve"> used </w:t>
      </w:r>
      <w:r w:rsidR="00E9260B">
        <w:t xml:space="preserve">in the DB studies </w:t>
      </w:r>
      <w:r w:rsidR="001A4C64">
        <w:t>are provided in</w:t>
      </w:r>
      <w:r w:rsidR="00212C68">
        <w:t xml:space="preserve"> </w:t>
      </w:r>
      <w:r w:rsidR="00212C68">
        <w:fldChar w:fldCharType="begin"/>
      </w:r>
      <w:r w:rsidR="00212C68">
        <w:instrText xml:space="preserve"> REF _Ref187179958 \h </w:instrText>
      </w:r>
      <w:r w:rsidR="00212C68">
        <w:fldChar w:fldCharType="separate"/>
      </w:r>
      <w:r w:rsidR="00C02A66" w:rsidRPr="001A4C64">
        <w:t xml:space="preserve">Table </w:t>
      </w:r>
      <w:r w:rsidR="00C02A66">
        <w:rPr>
          <w:noProof/>
        </w:rPr>
        <w:t>1</w:t>
      </w:r>
      <w:r w:rsidR="00212C68">
        <w:fldChar w:fldCharType="end"/>
      </w:r>
      <w:r w:rsidR="00212C68">
        <w:t>.</w:t>
      </w:r>
    </w:p>
    <w:p w14:paraId="3F43FF8E" w14:textId="081A171B" w:rsidR="001A4C64" w:rsidRPr="001A4C64" w:rsidRDefault="001A4C64" w:rsidP="001A4C64">
      <w:pPr>
        <w:pStyle w:val="Caption"/>
      </w:pPr>
      <w:bookmarkStart w:id="8" w:name="_Ref187179958"/>
      <w:r w:rsidRPr="001A4C64">
        <w:t xml:space="preserve">Table </w:t>
      </w:r>
      <w:r>
        <w:fldChar w:fldCharType="begin"/>
      </w:r>
      <w:r>
        <w:instrText>SEQ Table \* ARABIC</w:instrText>
      </w:r>
      <w:r>
        <w:fldChar w:fldCharType="separate"/>
      </w:r>
      <w:r w:rsidR="00C02A66">
        <w:rPr>
          <w:noProof/>
        </w:rPr>
        <w:t>1</w:t>
      </w:r>
      <w:r>
        <w:fldChar w:fldCharType="end"/>
      </w:r>
      <w:bookmarkEnd w:id="8"/>
      <w:r w:rsidRPr="001A4C64">
        <w:tab/>
        <w:t>Dosage regimens used in the DB RRHRNBL trial and studies</w:t>
      </w:r>
    </w:p>
    <w:tbl>
      <w:tblPr>
        <w:tblStyle w:val="TableGrid"/>
        <w:tblW w:w="5000" w:type="pct"/>
        <w:tblLook w:val="04A0" w:firstRow="1" w:lastRow="0" w:firstColumn="1" w:lastColumn="0" w:noHBand="0" w:noVBand="1"/>
      </w:tblPr>
      <w:tblGrid>
        <w:gridCol w:w="2288"/>
        <w:gridCol w:w="6728"/>
      </w:tblGrid>
      <w:tr w:rsidR="001A4C64" w:rsidRPr="001A4C64" w14:paraId="20AFAE5F" w14:textId="77777777" w:rsidTr="375F5CCE">
        <w:tc>
          <w:tcPr>
            <w:tcW w:w="2288" w:type="dxa"/>
          </w:tcPr>
          <w:p w14:paraId="7AD283B5" w14:textId="77777777" w:rsidR="001A4C64" w:rsidRPr="007B76AE" w:rsidRDefault="001A4C64">
            <w:pPr>
              <w:pStyle w:val="Tabletext0"/>
              <w:rPr>
                <w:b/>
                <w:bCs/>
              </w:rPr>
            </w:pPr>
            <w:r w:rsidRPr="007B76AE">
              <w:rPr>
                <w:b/>
                <w:bCs/>
              </w:rPr>
              <w:t>Study</w:t>
            </w:r>
          </w:p>
        </w:tc>
        <w:tc>
          <w:tcPr>
            <w:tcW w:w="6728" w:type="dxa"/>
          </w:tcPr>
          <w:p w14:paraId="04252957" w14:textId="4648A2D9" w:rsidR="001A4C64" w:rsidRPr="007B76AE" w:rsidRDefault="001A4C64">
            <w:pPr>
              <w:pStyle w:val="Tabletext0"/>
              <w:jc w:val="center"/>
              <w:rPr>
                <w:b/>
                <w:bCs/>
              </w:rPr>
            </w:pPr>
            <w:r w:rsidRPr="007B76AE">
              <w:rPr>
                <w:b/>
                <w:bCs/>
              </w:rPr>
              <w:t>DB regimen</w:t>
            </w:r>
          </w:p>
        </w:tc>
      </w:tr>
      <w:tr w:rsidR="001A4C64" w:rsidRPr="001A4C64" w14:paraId="5ADF05C7" w14:textId="77777777" w:rsidTr="375F5CCE">
        <w:tc>
          <w:tcPr>
            <w:tcW w:w="2288" w:type="dxa"/>
          </w:tcPr>
          <w:p w14:paraId="0EC13C18" w14:textId="3327622D" w:rsidR="001A4C64" w:rsidRPr="007B76AE" w:rsidRDefault="001A4C64" w:rsidP="00212C68">
            <w:pPr>
              <w:pStyle w:val="Tabletext0"/>
            </w:pPr>
            <w:r w:rsidRPr="375F5CCE">
              <w:t>BEACON-</w:t>
            </w:r>
            <w:proofErr w:type="spellStart"/>
            <w:r w:rsidRPr="375F5CCE">
              <w:t>Immuno</w:t>
            </w:r>
            <w:proofErr w:type="spellEnd"/>
            <w:r w:rsidR="00212C68" w:rsidRPr="375F5CCE">
              <w:t xml:space="preserve"> </w:t>
            </w:r>
            <w:r w:rsidRPr="375F5CCE">
              <w:t>(RCT)</w:t>
            </w:r>
            <w:r w:rsidR="006A2D43">
              <w:rPr>
                <w:rStyle w:val="FootnoteReference"/>
              </w:rPr>
              <w:footnoteReference w:id="3"/>
            </w:r>
          </w:p>
        </w:tc>
        <w:tc>
          <w:tcPr>
            <w:tcW w:w="6728" w:type="dxa"/>
          </w:tcPr>
          <w:p w14:paraId="7BC54B19" w14:textId="7D98B47F" w:rsidR="001A4C64" w:rsidRPr="007B76AE" w:rsidRDefault="001A4C64" w:rsidP="00212C68">
            <w:pPr>
              <w:pStyle w:val="Tabletext0"/>
              <w:jc w:val="left"/>
            </w:pPr>
            <w:r w:rsidRPr="375F5CCE">
              <w:t>10 mg/m</w:t>
            </w:r>
            <w:r w:rsidRPr="375F5CCE">
              <w:rPr>
                <w:vertAlign w:val="superscript"/>
              </w:rPr>
              <w:t>2</w:t>
            </w:r>
            <w:r w:rsidRPr="375F5CCE">
              <w:t xml:space="preserve">/day </w:t>
            </w:r>
            <w:r w:rsidR="00212C68" w:rsidRPr="375F5CCE">
              <w:t>per day</w:t>
            </w:r>
            <w:r w:rsidRPr="375F5CCE">
              <w:t xml:space="preserve"> IV on days 1-7</w:t>
            </w:r>
            <w:r w:rsidR="00212C68" w:rsidRPr="375F5CCE">
              <w:t xml:space="preserve"> of each </w:t>
            </w:r>
            <w:proofErr w:type="gramStart"/>
            <w:r w:rsidR="00212C68" w:rsidRPr="375F5CCE">
              <w:t>28 day</w:t>
            </w:r>
            <w:proofErr w:type="gramEnd"/>
            <w:r w:rsidR="00212C68" w:rsidRPr="375F5CCE">
              <w:t xml:space="preserve"> cycle for maximum of 6 cycles</w:t>
            </w:r>
          </w:p>
        </w:tc>
      </w:tr>
      <w:tr w:rsidR="001A4C64" w:rsidRPr="001A4C64" w14:paraId="550C5FDA" w14:textId="77777777" w:rsidTr="375F5CCE">
        <w:tc>
          <w:tcPr>
            <w:tcW w:w="2288" w:type="dxa"/>
          </w:tcPr>
          <w:p w14:paraId="3F52767F" w14:textId="36371699" w:rsidR="001A4C64" w:rsidRPr="007B76AE" w:rsidRDefault="001A4C64" w:rsidP="00212C68">
            <w:pPr>
              <w:pStyle w:val="Tabletext0"/>
            </w:pPr>
            <w:r w:rsidRPr="007B76AE">
              <w:t>Olgun 2022</w:t>
            </w:r>
            <w:r w:rsidR="006A2D43">
              <w:rPr>
                <w:rStyle w:val="FootnoteReference"/>
              </w:rPr>
              <w:footnoteReference w:id="4"/>
            </w:r>
            <w:r w:rsidR="00212C68">
              <w:t xml:space="preserve"> </w:t>
            </w:r>
            <w:r w:rsidRPr="007B76AE">
              <w:t>(single arm)</w:t>
            </w:r>
          </w:p>
        </w:tc>
        <w:tc>
          <w:tcPr>
            <w:tcW w:w="6728" w:type="dxa"/>
          </w:tcPr>
          <w:p w14:paraId="5998C6B8" w14:textId="4FBC86F2" w:rsidR="001A4C64" w:rsidRPr="007B76AE" w:rsidRDefault="001A4C64">
            <w:pPr>
              <w:pStyle w:val="Tabletext0"/>
            </w:pPr>
            <w:r w:rsidRPr="007B76AE">
              <w:t>10mg/m</w:t>
            </w:r>
            <w:r w:rsidRPr="007B76AE">
              <w:rPr>
                <w:vertAlign w:val="superscript"/>
              </w:rPr>
              <w:t xml:space="preserve">2 </w:t>
            </w:r>
            <w:r w:rsidRPr="007B76AE">
              <w:t xml:space="preserve">per day IV on days 1-10 </w:t>
            </w:r>
            <w:r w:rsidR="00212C68">
              <w:t>of each</w:t>
            </w:r>
            <w:r w:rsidRPr="007B76AE">
              <w:t xml:space="preserve"> 28-day cycle</w:t>
            </w:r>
            <w:r w:rsidR="00212C68">
              <w:t xml:space="preserve">, for 2-14 cycles </w:t>
            </w:r>
          </w:p>
        </w:tc>
      </w:tr>
      <w:tr w:rsidR="001A4C64" w:rsidRPr="001A4C64" w14:paraId="4138DDFE" w14:textId="77777777" w:rsidTr="375F5CCE">
        <w:tc>
          <w:tcPr>
            <w:tcW w:w="2288" w:type="dxa"/>
          </w:tcPr>
          <w:p w14:paraId="08067DBC" w14:textId="28E98E94" w:rsidR="001A4C64" w:rsidRPr="007B76AE" w:rsidRDefault="001A4C64" w:rsidP="00212C68">
            <w:pPr>
              <w:pStyle w:val="Tabletext0"/>
            </w:pPr>
            <w:r w:rsidRPr="007B76AE">
              <w:t>Wieczorek 2023</w:t>
            </w:r>
            <w:r w:rsidR="00FF4765">
              <w:rPr>
                <w:rStyle w:val="FootnoteReference"/>
              </w:rPr>
              <w:footnoteReference w:id="5"/>
            </w:r>
            <w:r w:rsidRPr="007B76AE">
              <w:t xml:space="preserve"> (single arm)</w:t>
            </w:r>
          </w:p>
        </w:tc>
        <w:tc>
          <w:tcPr>
            <w:tcW w:w="6728" w:type="dxa"/>
          </w:tcPr>
          <w:p w14:paraId="41E67590" w14:textId="27BB0C60" w:rsidR="001A4C64" w:rsidRPr="007B76AE" w:rsidRDefault="001A4C64">
            <w:pPr>
              <w:pStyle w:val="Tabletext0"/>
            </w:pPr>
            <w:r w:rsidRPr="007B76AE">
              <w:t>10 mg/m2/day IV on days 2–6 of each 21-day cycle</w:t>
            </w:r>
            <w:r w:rsidR="00212C68">
              <w:t xml:space="preserve"> for a maximum of 5 cycles (</w:t>
            </w:r>
            <w:r w:rsidR="00212C68" w:rsidRPr="00212C68">
              <w:t>although if well tolerated, at least two further treatment cycles were given to patients with complete response (CR) or stable disease (SD)</w:t>
            </w:r>
            <w:r w:rsidR="00212C68">
              <w:t>)</w:t>
            </w:r>
          </w:p>
        </w:tc>
      </w:tr>
      <w:tr w:rsidR="001A4C64" w:rsidRPr="001A4C64" w14:paraId="3EBA2689" w14:textId="77777777" w:rsidTr="375F5CCE">
        <w:tc>
          <w:tcPr>
            <w:tcW w:w="2288" w:type="dxa"/>
          </w:tcPr>
          <w:p w14:paraId="20346489" w14:textId="5E534B73" w:rsidR="001A4C64" w:rsidRPr="007B76AE" w:rsidRDefault="001A4C64" w:rsidP="00212C68">
            <w:pPr>
              <w:pStyle w:val="Tabletext0"/>
              <w:rPr>
                <w:i/>
                <w:iCs/>
              </w:rPr>
            </w:pPr>
            <w:r w:rsidRPr="007B76AE">
              <w:t>Raiser 2024</w:t>
            </w:r>
            <w:r w:rsidR="00FF4765">
              <w:rPr>
                <w:rStyle w:val="FootnoteReference"/>
              </w:rPr>
              <w:footnoteReference w:id="6"/>
            </w:r>
            <w:r w:rsidR="00212C68">
              <w:t xml:space="preserve"> </w:t>
            </w:r>
            <w:r w:rsidRPr="007B76AE">
              <w:t>(single arm)</w:t>
            </w:r>
          </w:p>
        </w:tc>
        <w:tc>
          <w:tcPr>
            <w:tcW w:w="6728" w:type="dxa"/>
          </w:tcPr>
          <w:p w14:paraId="7A879709" w14:textId="3FFA2871" w:rsidR="001A4C64" w:rsidRPr="007B76AE" w:rsidRDefault="001A4C64">
            <w:pPr>
              <w:pStyle w:val="Tabletext0"/>
            </w:pPr>
            <w:r w:rsidRPr="375F5CCE">
              <w:t>10mg/m</w:t>
            </w:r>
            <w:r w:rsidRPr="375F5CCE">
              <w:rPr>
                <w:vertAlign w:val="superscript"/>
              </w:rPr>
              <w:t>2</w:t>
            </w:r>
            <w:r w:rsidRPr="375F5CCE">
              <w:t xml:space="preserve">/day continuous IV on days 1-10 of each </w:t>
            </w:r>
            <w:proofErr w:type="gramStart"/>
            <w:r w:rsidRPr="375F5CCE">
              <w:t>28 day</w:t>
            </w:r>
            <w:proofErr w:type="gramEnd"/>
            <w:r w:rsidRPr="375F5CCE">
              <w:t xml:space="preserve"> cycle</w:t>
            </w:r>
            <w:r w:rsidR="00212C68" w:rsidRPr="375F5CCE">
              <w:t xml:space="preserve"> for maximum of 6 cycles</w:t>
            </w:r>
          </w:p>
        </w:tc>
      </w:tr>
    </w:tbl>
    <w:p w14:paraId="2DE3D763" w14:textId="1CE614EB" w:rsidR="007A62E2" w:rsidRDefault="00E9260B" w:rsidP="00575116">
      <w:pPr>
        <w:tabs>
          <w:tab w:val="left" w:pos="284"/>
        </w:tabs>
        <w:spacing w:before="240"/>
      </w:pPr>
      <w:r w:rsidRPr="375F5CCE">
        <w:t xml:space="preserve">Notably, the dosage regimens for DB differed between </w:t>
      </w:r>
      <w:r w:rsidR="00C6485E" w:rsidRPr="375F5CCE">
        <w:t>studies and it is not clear which regimen</w:t>
      </w:r>
      <w:r w:rsidR="00CE5C51">
        <w:t>(s)</w:t>
      </w:r>
      <w:r w:rsidR="00C6485E" w:rsidRPr="375F5CCE">
        <w:t xml:space="preserve"> will be used in Australian practice</w:t>
      </w:r>
      <w:r w:rsidR="00600BA1" w:rsidRPr="375F5CCE">
        <w:t>. The ADAR suggested that the dosing schedule would be a 7-day continuous infusion (10 mg/m</w:t>
      </w:r>
      <w:r w:rsidR="00600BA1" w:rsidRPr="375F5CCE">
        <w:rPr>
          <w:vertAlign w:val="superscript"/>
        </w:rPr>
        <w:t>2</w:t>
      </w:r>
      <w:r w:rsidR="00600BA1" w:rsidRPr="375F5CCE">
        <w:t>/</w:t>
      </w:r>
      <w:r w:rsidR="00FC07A3" w:rsidRPr="375F5CCE">
        <w:t>day</w:t>
      </w:r>
      <w:r w:rsidR="00600BA1" w:rsidRPr="375F5CCE">
        <w:t>), given in a 28-day cycle (with the cycle length determined by the relevant chemotherapy protocol)</w:t>
      </w:r>
      <w:r w:rsidR="00EC7601" w:rsidRPr="375F5CCE">
        <w:t>. T</w:t>
      </w:r>
      <w:r w:rsidR="00C6485E" w:rsidRPr="375F5CCE">
        <w:t xml:space="preserve">he applicant is requested to </w:t>
      </w:r>
      <w:r w:rsidR="00EC7601" w:rsidRPr="375F5CCE">
        <w:t>clarify</w:t>
      </w:r>
      <w:r w:rsidR="00C6485E" w:rsidRPr="375F5CCE">
        <w:t xml:space="preserve"> </w:t>
      </w:r>
      <w:r w:rsidR="00EC7601" w:rsidRPr="375F5CCE">
        <w:t>“cycle length determined by relevant chemotherapy protocol”</w:t>
      </w:r>
      <w:r w:rsidR="00C6485E" w:rsidRPr="375F5CCE">
        <w:t xml:space="preserve"> in its </w:t>
      </w:r>
      <w:r w:rsidR="009F1304" w:rsidRPr="375F5CCE">
        <w:t>p</w:t>
      </w:r>
      <w:r w:rsidR="00C6485E" w:rsidRPr="375F5CCE">
        <w:t>re-</w:t>
      </w:r>
      <w:r w:rsidR="009F1304" w:rsidRPr="375F5CCE">
        <w:t>p</w:t>
      </w:r>
      <w:r w:rsidR="003E0086" w:rsidRPr="375F5CCE">
        <w:t>re-</w:t>
      </w:r>
      <w:r w:rsidR="009E72ED">
        <w:t>MSAC</w:t>
      </w:r>
      <w:r w:rsidR="003E0086" w:rsidRPr="375F5CCE">
        <w:t xml:space="preserve"> </w:t>
      </w:r>
      <w:r w:rsidR="009F1304" w:rsidRPr="375F5CCE">
        <w:t>r</w:t>
      </w:r>
      <w:r w:rsidR="003E0086" w:rsidRPr="375F5CCE">
        <w:t>esponse</w:t>
      </w:r>
      <w:r w:rsidR="00EC7601" w:rsidRPr="375F5CCE">
        <w:t xml:space="preserve"> as the concomitant chemotherapies intended for use with DB are (</w:t>
      </w:r>
      <w:proofErr w:type="spellStart"/>
      <w:r w:rsidR="00EC7601" w:rsidRPr="375F5CCE">
        <w:t>i</w:t>
      </w:r>
      <w:proofErr w:type="spellEnd"/>
      <w:r w:rsidR="00EC7601" w:rsidRPr="375F5CCE">
        <w:t>) temozolomide + topotecan (TOTEM), which appears to consistently have a 28 day cycle in the studies or (ii) temozolomide and irinotecan (TEMIRI) which had either 21- or 28-day cycles in the studies</w:t>
      </w:r>
      <w:r w:rsidRPr="375F5CCE">
        <w:t xml:space="preserve">. </w:t>
      </w:r>
    </w:p>
    <w:p w14:paraId="6A0A8CF0" w14:textId="2D83CA39" w:rsidR="00C6485E" w:rsidRDefault="00B538D4" w:rsidP="00666E81">
      <w:pPr>
        <w:tabs>
          <w:tab w:val="left" w:pos="284"/>
        </w:tabs>
      </w:pPr>
      <w:r w:rsidRPr="002A141D">
        <w:lastRenderedPageBreak/>
        <w:t xml:space="preserve">As DB is intended to be funded </w:t>
      </w:r>
      <w:r w:rsidRPr="002A141D">
        <w:rPr>
          <w:iCs/>
        </w:rPr>
        <w:t xml:space="preserve">through the NHRA HST program and </w:t>
      </w:r>
      <w:r w:rsidR="009E72ED">
        <w:rPr>
          <w:iCs/>
        </w:rPr>
        <w:t>its use is likely to be limited to</w:t>
      </w:r>
      <w:r w:rsidRPr="002A141D">
        <w:rPr>
          <w:iCs/>
        </w:rPr>
        <w:t xml:space="preserve"> the eight specialist treatment centres </w:t>
      </w:r>
      <w:r w:rsidR="0086584C" w:rsidRPr="002A141D">
        <w:rPr>
          <w:iCs/>
        </w:rPr>
        <w:t xml:space="preserve">that currently administer </w:t>
      </w:r>
      <w:proofErr w:type="spellStart"/>
      <w:r w:rsidR="001309B0">
        <w:rPr>
          <w:iCs/>
        </w:rPr>
        <w:t>dinutuximab</w:t>
      </w:r>
      <w:proofErr w:type="spellEnd"/>
      <w:r w:rsidR="001309B0">
        <w:rPr>
          <w:iCs/>
        </w:rPr>
        <w:t xml:space="preserve"> therapies</w:t>
      </w:r>
      <w:r w:rsidR="0086584C" w:rsidRPr="002A141D">
        <w:rPr>
          <w:iCs/>
        </w:rPr>
        <w:t xml:space="preserve"> for HRNBL </w:t>
      </w:r>
      <w:r w:rsidR="00600BA1" w:rsidRPr="002A141D">
        <w:rPr>
          <w:iCs/>
        </w:rPr>
        <w:t xml:space="preserve">(three in NSW, two in Victoria and one each in Queensland, South Australia and Western Australia), consideration </w:t>
      </w:r>
      <w:r w:rsidR="009E72ED" w:rsidRPr="002A141D">
        <w:rPr>
          <w:iCs/>
        </w:rPr>
        <w:t xml:space="preserve">is required </w:t>
      </w:r>
      <w:r w:rsidR="00600BA1" w:rsidRPr="002A141D">
        <w:rPr>
          <w:iCs/>
        </w:rPr>
        <w:t>of whether coordination of dosing regimens may be possible without a specific TGA approved dosing schedule</w:t>
      </w:r>
      <w:r w:rsidR="00BC4C2B">
        <w:rPr>
          <w:iCs/>
        </w:rPr>
        <w:t>.</w:t>
      </w:r>
    </w:p>
    <w:p w14:paraId="7DA39531" w14:textId="4423C252" w:rsidR="00E9260B" w:rsidRPr="00C30AEF" w:rsidRDefault="00E9260B" w:rsidP="00666E81">
      <w:pPr>
        <w:tabs>
          <w:tab w:val="left" w:pos="284"/>
        </w:tabs>
      </w:pPr>
      <w:r w:rsidRPr="375F5CCE">
        <w:t xml:space="preserve">The ADAR, in its economic evaluation, assumed a dose </w:t>
      </w:r>
      <w:r w:rsidR="00087427" w:rsidRPr="375F5CCE">
        <w:t>of</w:t>
      </w:r>
      <w:r w:rsidRPr="375F5CCE">
        <w:t xml:space="preserve"> 10 mg/m</w:t>
      </w:r>
      <w:r w:rsidRPr="375F5CCE">
        <w:rPr>
          <w:vertAlign w:val="superscript"/>
        </w:rPr>
        <w:t>2</w:t>
      </w:r>
      <w:r w:rsidRPr="375F5CCE">
        <w:t xml:space="preserve">/day for </w:t>
      </w:r>
      <w:r w:rsidR="00600BA1" w:rsidRPr="375F5CCE">
        <w:t>seven</w:t>
      </w:r>
      <w:r w:rsidRPr="375F5CCE">
        <w:t xml:space="preserve"> days in each cycle to the maximum of six cycles, estimating an average usage of </w:t>
      </w:r>
      <w:proofErr w:type="spellStart"/>
      <w:r w:rsidR="004E27A4" w:rsidRPr="00FD09FC">
        <w:rPr>
          <w:b/>
          <w:bCs/>
        </w:rPr>
        <w:t>redacted</w:t>
      </w:r>
      <w:r w:rsidR="00184947" w:rsidRPr="00184947">
        <w:t>mg</w:t>
      </w:r>
      <w:proofErr w:type="spellEnd"/>
      <w:r w:rsidRPr="375F5CCE">
        <w:t xml:space="preserve"> equating to a mean of </w:t>
      </w:r>
      <w:r w:rsidR="004E27A4" w:rsidRPr="00FD09FC">
        <w:rPr>
          <w:b/>
          <w:bCs/>
        </w:rPr>
        <w:t>redacted</w:t>
      </w:r>
      <w:r w:rsidRPr="375F5CCE">
        <w:t xml:space="preserve"> </w:t>
      </w:r>
      <w:r w:rsidR="00800E4E" w:rsidRPr="375F5CCE">
        <w:t xml:space="preserve">(undiscounted) or </w:t>
      </w:r>
      <w:r w:rsidR="004E27A4" w:rsidRPr="00FD09FC">
        <w:rPr>
          <w:b/>
          <w:bCs/>
        </w:rPr>
        <w:t>redacted</w:t>
      </w:r>
      <w:r w:rsidR="00800E4E" w:rsidRPr="375F5CCE">
        <w:t xml:space="preserve"> (discounted) </w:t>
      </w:r>
      <w:r w:rsidRPr="375F5CCE">
        <w:t>vials per patient</w:t>
      </w:r>
      <w:r w:rsidR="00EC7601" w:rsidRPr="375F5CCE">
        <w:t xml:space="preserve"> based on usage data </w:t>
      </w:r>
      <w:r w:rsidR="00BC4C2B">
        <w:t>from</w:t>
      </w:r>
      <w:r w:rsidR="00EC7601" w:rsidRPr="375F5CCE">
        <w:t xml:space="preserve"> 42</w:t>
      </w:r>
      <w:r w:rsidR="0060555E" w:rsidRPr="375F5CCE">
        <w:t> </w:t>
      </w:r>
      <w:r w:rsidR="00EC7601" w:rsidRPr="375F5CCE">
        <w:t xml:space="preserve">patients in </w:t>
      </w:r>
      <w:r w:rsidR="00595228" w:rsidRPr="375F5CCE">
        <w:t xml:space="preserve">the </w:t>
      </w:r>
      <w:r w:rsidR="00C510FD" w:rsidRPr="375F5CCE">
        <w:t>BEACON-</w:t>
      </w:r>
      <w:proofErr w:type="spellStart"/>
      <w:r w:rsidR="00C510FD" w:rsidRPr="375F5CCE">
        <w:t>Immuno</w:t>
      </w:r>
      <w:proofErr w:type="spellEnd"/>
      <w:r w:rsidR="00595228" w:rsidRPr="375F5CCE">
        <w:t xml:space="preserve"> trial</w:t>
      </w:r>
      <w:r w:rsidR="008A7F91" w:rsidRPr="375F5CCE">
        <w:t>, adjusting for PFS. The base case of the modelled economic evaluation and</w:t>
      </w:r>
      <w:r w:rsidRPr="375F5CCE">
        <w:t xml:space="preserve"> </w:t>
      </w:r>
      <w:r w:rsidR="005A7226" w:rsidRPr="375F5CCE">
        <w:t>t</w:t>
      </w:r>
      <w:r w:rsidR="002E3BEB" w:rsidRPr="375F5CCE">
        <w:t xml:space="preserve">he financial </w:t>
      </w:r>
      <w:r w:rsidR="00C6485E" w:rsidRPr="375F5CCE">
        <w:t xml:space="preserve">estimates </w:t>
      </w:r>
      <w:r w:rsidR="002E3BEB" w:rsidRPr="375F5CCE">
        <w:t xml:space="preserve">assumed </w:t>
      </w:r>
      <w:r w:rsidR="004E27A4" w:rsidRPr="00FD09FC">
        <w:rPr>
          <w:b/>
          <w:bCs/>
        </w:rPr>
        <w:t>redacted</w:t>
      </w:r>
      <w:r w:rsidR="002E3BEB" w:rsidRPr="375F5CCE">
        <w:t xml:space="preserve"> vials per patient</w:t>
      </w:r>
      <w:r w:rsidR="00C6485E" w:rsidRPr="375F5CCE">
        <w:t>.</w:t>
      </w:r>
    </w:p>
    <w:p w14:paraId="63289CFD" w14:textId="76F4FC70" w:rsidR="009D67E3" w:rsidRPr="00C07246" w:rsidRDefault="083FAD7B" w:rsidP="375F5CCE">
      <w:pPr>
        <w:pStyle w:val="3-BodyText"/>
        <w:numPr>
          <w:ilvl w:val="0"/>
          <w:numId w:val="0"/>
        </w:numPr>
        <w:jc w:val="left"/>
        <w:rPr>
          <w:rFonts w:ascii="Franklin Gothic Book" w:eastAsia="Franklin Gothic Book" w:hAnsi="Franklin Gothic Book"/>
          <w:sz w:val="22"/>
          <w:szCs w:val="22"/>
        </w:rPr>
      </w:pPr>
      <w:r w:rsidRPr="375F5CCE">
        <w:rPr>
          <w:rFonts w:ascii="Franklin Gothic Book" w:hAnsi="Franklin Gothic Book"/>
          <w:sz w:val="22"/>
          <w:szCs w:val="22"/>
        </w:rPr>
        <w:t xml:space="preserve">The application requests public funding </w:t>
      </w:r>
      <w:r w:rsidR="63F7968C" w:rsidRPr="375F5CCE">
        <w:rPr>
          <w:rFonts w:ascii="Franklin Gothic Book" w:hAnsi="Franklin Gothic Book"/>
          <w:sz w:val="22"/>
          <w:szCs w:val="22"/>
        </w:rPr>
        <w:t xml:space="preserve">of DB for primary RRHRNBL </w:t>
      </w:r>
      <w:r w:rsidRPr="375F5CCE">
        <w:rPr>
          <w:rFonts w:ascii="Franklin Gothic Book" w:hAnsi="Franklin Gothic Book"/>
          <w:sz w:val="22"/>
          <w:szCs w:val="22"/>
        </w:rPr>
        <w:t xml:space="preserve">through the NHRA </w:t>
      </w:r>
      <w:r w:rsidR="71599FF8" w:rsidRPr="375F5CCE">
        <w:rPr>
          <w:rFonts w:ascii="Franklin Gothic Book" w:hAnsi="Franklin Gothic Book"/>
          <w:sz w:val="22"/>
          <w:szCs w:val="22"/>
        </w:rPr>
        <w:t>H</w:t>
      </w:r>
      <w:r w:rsidRPr="375F5CCE">
        <w:rPr>
          <w:rFonts w:ascii="Franklin Gothic Book" w:hAnsi="Franklin Gothic Book"/>
          <w:sz w:val="22"/>
          <w:szCs w:val="22"/>
        </w:rPr>
        <w:t>ST program</w:t>
      </w:r>
      <w:r w:rsidR="6DE015C5" w:rsidRPr="375F5CCE">
        <w:rPr>
          <w:rFonts w:ascii="Franklin Gothic Book" w:hAnsi="Franklin Gothic Book"/>
          <w:sz w:val="22"/>
          <w:szCs w:val="22"/>
        </w:rPr>
        <w:t>. The NHRA define</w:t>
      </w:r>
      <w:r w:rsidR="75C06FDF" w:rsidRPr="375F5CCE">
        <w:rPr>
          <w:rFonts w:ascii="Franklin Gothic Book" w:hAnsi="Franklin Gothic Book"/>
          <w:sz w:val="22"/>
          <w:szCs w:val="22"/>
        </w:rPr>
        <w:t>s</w:t>
      </w:r>
      <w:r w:rsidR="6DE015C5" w:rsidRPr="375F5CCE">
        <w:rPr>
          <w:rFonts w:ascii="Franklin Gothic Book" w:hAnsi="Franklin Gothic Book"/>
          <w:sz w:val="22"/>
          <w:szCs w:val="22"/>
        </w:rPr>
        <w:t xml:space="preserve"> HST</w:t>
      </w:r>
      <w:r w:rsidR="3BE2651E" w:rsidRPr="375F5CCE">
        <w:rPr>
          <w:rFonts w:ascii="Franklin Gothic Book" w:hAnsi="Franklin Gothic Book"/>
          <w:sz w:val="22"/>
          <w:szCs w:val="22"/>
        </w:rPr>
        <w:t>s</w:t>
      </w:r>
      <w:r w:rsidR="6DE015C5" w:rsidRPr="375F5CCE">
        <w:rPr>
          <w:rFonts w:ascii="Franklin Gothic Book" w:hAnsi="Franklin Gothic Book"/>
          <w:sz w:val="22"/>
          <w:szCs w:val="22"/>
        </w:rPr>
        <w:t xml:space="preserve"> as “</w:t>
      </w:r>
      <w:r w:rsidR="6DE015C5" w:rsidRPr="375F5CCE">
        <w:rPr>
          <w:rFonts w:ascii="Franklin Gothic Book" w:eastAsia="Franklin Gothic Book" w:hAnsi="Franklin Gothic Book"/>
          <w:sz w:val="22"/>
          <w:szCs w:val="22"/>
        </w:rPr>
        <w:t>TGA approved medicines and biologicals delivered in public hospitals where the therapy and its conditions of use are recommended by MSAC or PBAC; and the average annual treatment cost at the commencement of funding exceeds $200,000 per patient (including ancillary services) as determined by the MSAC or PBAC with input from the IHACPA; and where the therapy is not otherwise funded through a</w:t>
      </w:r>
      <w:r w:rsidR="00A1283F" w:rsidRPr="375F5CCE">
        <w:rPr>
          <w:rFonts w:ascii="Franklin Gothic Book" w:eastAsia="Franklin Gothic Book" w:hAnsi="Franklin Gothic Book"/>
          <w:sz w:val="22"/>
          <w:szCs w:val="22"/>
        </w:rPr>
        <w:t>n</w:t>
      </w:r>
      <w:r w:rsidR="6DE015C5" w:rsidRPr="375F5CCE">
        <w:rPr>
          <w:rFonts w:ascii="Franklin Gothic Book" w:eastAsia="Franklin Gothic Book" w:hAnsi="Franklin Gothic Book"/>
          <w:sz w:val="22"/>
          <w:szCs w:val="22"/>
        </w:rPr>
        <w:t xml:space="preserve"> Australian Government program or the costs of the therapy would be appropriately funded through a component of an existing pricing classification”. </w:t>
      </w:r>
      <w:r w:rsidR="00AA74E0">
        <w:rPr>
          <w:rFonts w:ascii="Franklin Gothic Book" w:eastAsia="Franklin Gothic Book" w:hAnsi="Franklin Gothic Book"/>
          <w:sz w:val="22"/>
          <w:szCs w:val="22"/>
        </w:rPr>
        <w:t>T</w:t>
      </w:r>
      <w:r w:rsidR="00BC5ECC" w:rsidRPr="375F5CCE">
        <w:rPr>
          <w:rFonts w:ascii="Franklin Gothic Book" w:eastAsia="Franklin Gothic Book" w:hAnsi="Franklin Gothic Book"/>
          <w:sz w:val="22"/>
          <w:szCs w:val="22"/>
        </w:rPr>
        <w:t xml:space="preserve">he </w:t>
      </w:r>
      <w:r w:rsidR="0010044A">
        <w:rPr>
          <w:rFonts w:ascii="Franklin Gothic Book" w:eastAsia="Franklin Gothic Book" w:hAnsi="Franklin Gothic Book"/>
          <w:sz w:val="22"/>
          <w:szCs w:val="22"/>
        </w:rPr>
        <w:t>c</w:t>
      </w:r>
      <w:r w:rsidR="00FB6B3B" w:rsidRPr="375F5CCE">
        <w:rPr>
          <w:rFonts w:ascii="Franklin Gothic Book" w:eastAsia="Franklin Gothic Book" w:hAnsi="Franklin Gothic Book"/>
          <w:sz w:val="22"/>
          <w:szCs w:val="22"/>
        </w:rPr>
        <w:t xml:space="preserve">ommentary estimated that the </w:t>
      </w:r>
      <w:r w:rsidR="00BC5ECC" w:rsidRPr="375F5CCE">
        <w:rPr>
          <w:rFonts w:ascii="Franklin Gothic Book" w:eastAsia="Franklin Gothic Book" w:hAnsi="Franklin Gothic Book"/>
          <w:sz w:val="22"/>
          <w:szCs w:val="22"/>
        </w:rPr>
        <w:t xml:space="preserve">total cost of treatment per patient </w:t>
      </w:r>
      <w:r w:rsidR="00840A23" w:rsidRPr="375F5CCE">
        <w:rPr>
          <w:rFonts w:ascii="Franklin Gothic Book" w:eastAsia="Franklin Gothic Book" w:hAnsi="Franklin Gothic Book"/>
          <w:sz w:val="22"/>
          <w:szCs w:val="22"/>
        </w:rPr>
        <w:t>was $</w:t>
      </w:r>
      <w:r w:rsidR="004E27A4" w:rsidRPr="00FD09FC">
        <w:rPr>
          <w:rFonts w:ascii="Franklin Gothic Book" w:eastAsia="Franklin Gothic Book" w:hAnsi="Franklin Gothic Book"/>
          <w:b/>
          <w:bCs/>
          <w:sz w:val="22"/>
          <w:szCs w:val="22"/>
        </w:rPr>
        <w:t>redacted</w:t>
      </w:r>
      <w:r w:rsidR="00BC5ECC" w:rsidRPr="375F5CCE">
        <w:rPr>
          <w:rFonts w:ascii="Franklin Gothic Book" w:eastAsia="Franklin Gothic Book" w:hAnsi="Franklin Gothic Book"/>
          <w:sz w:val="22"/>
          <w:szCs w:val="22"/>
        </w:rPr>
        <w:t xml:space="preserve"> </w:t>
      </w:r>
      <w:r w:rsidR="002302C0" w:rsidRPr="375F5CCE">
        <w:rPr>
          <w:rFonts w:ascii="Franklin Gothic Book" w:eastAsia="Franklin Gothic Book" w:hAnsi="Franklin Gothic Book"/>
          <w:sz w:val="22"/>
          <w:szCs w:val="22"/>
        </w:rPr>
        <w:t xml:space="preserve">including all DB-associated costs </w:t>
      </w:r>
      <w:r w:rsidR="00AA74E0">
        <w:rPr>
          <w:rFonts w:ascii="Franklin Gothic Book" w:eastAsia="Franklin Gothic Book" w:hAnsi="Franklin Gothic Book"/>
          <w:sz w:val="22"/>
          <w:szCs w:val="22"/>
        </w:rPr>
        <w:t>but excluding</w:t>
      </w:r>
      <w:r w:rsidR="00BC5ECC" w:rsidRPr="375F5CCE">
        <w:rPr>
          <w:rFonts w:ascii="Franklin Gothic Book" w:eastAsia="Franklin Gothic Book" w:hAnsi="Franklin Gothic Book"/>
          <w:sz w:val="22"/>
          <w:szCs w:val="22"/>
        </w:rPr>
        <w:t xml:space="preserve"> </w:t>
      </w:r>
      <w:r w:rsidR="00E7515F" w:rsidRPr="375F5CCE">
        <w:rPr>
          <w:rFonts w:ascii="Franklin Gothic Book" w:eastAsia="Franklin Gothic Book" w:hAnsi="Franklin Gothic Book"/>
          <w:sz w:val="22"/>
          <w:szCs w:val="22"/>
        </w:rPr>
        <w:t xml:space="preserve">drug </w:t>
      </w:r>
      <w:r w:rsidR="00BC5ECC" w:rsidRPr="375F5CCE">
        <w:rPr>
          <w:rFonts w:ascii="Franklin Gothic Book" w:eastAsia="Franklin Gothic Book" w:hAnsi="Franklin Gothic Book"/>
          <w:sz w:val="22"/>
          <w:szCs w:val="22"/>
        </w:rPr>
        <w:t xml:space="preserve">administration costs </w:t>
      </w:r>
      <w:bookmarkStart w:id="9" w:name="_Toc69491418"/>
    </w:p>
    <w:p w14:paraId="44C3B242" w14:textId="14D765F6" w:rsidR="00772829" w:rsidRPr="003B0667" w:rsidRDefault="00772829" w:rsidP="00EE5979">
      <w:pPr>
        <w:pStyle w:val="Heading2"/>
        <w:numPr>
          <w:ilvl w:val="0"/>
          <w:numId w:val="22"/>
        </w:numPr>
        <w:ind w:hanging="720"/>
      </w:pPr>
      <w:r>
        <w:t>Proposal for public funding</w:t>
      </w:r>
      <w:bookmarkEnd w:id="9"/>
    </w:p>
    <w:p w14:paraId="04863615" w14:textId="65CDAB32" w:rsidR="00600BA1" w:rsidRDefault="00600BA1" w:rsidP="00600BA1">
      <w:r>
        <w:t>The proposed eligibility criteria for treatment of RRHRNBL with DB</w:t>
      </w:r>
      <w:r w:rsidR="00A10BAB">
        <w:t xml:space="preserve"> are:</w:t>
      </w:r>
      <w:r>
        <w:t xml:space="preserve"> </w:t>
      </w:r>
    </w:p>
    <w:p w14:paraId="06DDA379" w14:textId="77777777" w:rsidR="00EC7601" w:rsidRDefault="00EC7601" w:rsidP="00EE5979">
      <w:pPr>
        <w:pStyle w:val="ListParagraph"/>
        <w:numPr>
          <w:ilvl w:val="0"/>
          <w:numId w:val="13"/>
        </w:numPr>
        <w:ind w:left="284" w:hanging="284"/>
      </w:pPr>
      <w:r w:rsidRPr="375F5CCE">
        <w:t xml:space="preserve">Patient must have high risk neuroblastoma, AND </w:t>
      </w:r>
    </w:p>
    <w:p w14:paraId="7FD4FABF" w14:textId="2066DCED" w:rsidR="00EC7601" w:rsidRDefault="00EC7601" w:rsidP="00EE5979">
      <w:pPr>
        <w:pStyle w:val="ListParagraph"/>
        <w:numPr>
          <w:ilvl w:val="0"/>
          <w:numId w:val="13"/>
        </w:numPr>
        <w:ind w:left="284" w:hanging="284"/>
      </w:pPr>
      <w:r>
        <w:t>Patient must have primary relapsed disease, OR</w:t>
      </w:r>
    </w:p>
    <w:p w14:paraId="1DEC1B97" w14:textId="28A46E85" w:rsidR="00EC7601" w:rsidRDefault="00EC7601" w:rsidP="00EE5979">
      <w:pPr>
        <w:pStyle w:val="ListParagraph"/>
        <w:numPr>
          <w:ilvl w:val="0"/>
          <w:numId w:val="13"/>
        </w:numPr>
        <w:ind w:left="284" w:hanging="284"/>
      </w:pPr>
      <w:r>
        <w:t>Patient must have disease refractory to standard treatment.</w:t>
      </w:r>
    </w:p>
    <w:p w14:paraId="1BE6DFAA" w14:textId="46D771D5" w:rsidR="00EC7601" w:rsidRDefault="00EC7601" w:rsidP="00EC7601">
      <w:r w:rsidRPr="375F5CCE">
        <w:t>The ADAR also suggest</w:t>
      </w:r>
      <w:r w:rsidR="00B74197" w:rsidRPr="375F5CCE">
        <w:t>ed</w:t>
      </w:r>
      <w:r w:rsidRPr="375F5CCE">
        <w:t xml:space="preserve"> that</w:t>
      </w:r>
      <w:r w:rsidR="00B74197" w:rsidRPr="375F5CCE">
        <w:t>,</w:t>
      </w:r>
      <w:r w:rsidRPr="375F5CCE">
        <w:t xml:space="preserve"> according to the TGA approved product information</w:t>
      </w:r>
      <w:r w:rsidR="00F952C5">
        <w:rPr>
          <w:rStyle w:val="FootnoteReference"/>
        </w:rPr>
        <w:footnoteReference w:id="7"/>
      </w:r>
      <w:r w:rsidRPr="375F5CCE">
        <w:t>, DB must be administered under the direction of a physician experienced in the use of oncological therapies. The infusion must be initiated by a healthcare professional prepared to manage severe allergic reactions</w:t>
      </w:r>
      <w:r w:rsidR="00531DBF">
        <w:t>,</w:t>
      </w:r>
      <w:r w:rsidRPr="375F5CCE">
        <w:t xml:space="preserve"> including anaphylaxis</w:t>
      </w:r>
      <w:r w:rsidR="00531DBF">
        <w:t>,</w:t>
      </w:r>
      <w:r w:rsidRPr="375F5CCE">
        <w:t xml:space="preserve"> in an environment where full resuscitation services are immediately available.</w:t>
      </w:r>
    </w:p>
    <w:p w14:paraId="031F4CC9" w14:textId="77777777" w:rsidR="00EC7601" w:rsidRDefault="00EC7601" w:rsidP="00EC7601">
      <w:r>
        <w:t xml:space="preserve">The solution should be administered via a peripheral or central intravenous line. Other intravenously co-administered agents should be delivered via a separate infusion line. </w:t>
      </w:r>
    </w:p>
    <w:p w14:paraId="62D16E32" w14:textId="77777777" w:rsidR="00EC7601" w:rsidRDefault="00EC7601" w:rsidP="00EC7601">
      <w:r>
        <w:t xml:space="preserve">For continuous infusions, the solution is administered at a rate of 2 mL per hour (48 mL per day) using an infusion pump. </w:t>
      </w:r>
    </w:p>
    <w:p w14:paraId="177D5055" w14:textId="77777777" w:rsidR="00EC7601" w:rsidRDefault="00EC7601" w:rsidP="00EC7601">
      <w:r>
        <w:t xml:space="preserve">For 8-hour daily infusions (i.e. dis-continuous), the solution is administered at a rate of approximately 13 mL per hour. </w:t>
      </w:r>
    </w:p>
    <w:p w14:paraId="42A9DA39" w14:textId="3D7F8108" w:rsidR="00EC7601" w:rsidRDefault="00EC7601" w:rsidP="00EC7601">
      <w:r>
        <w:t>Pre-medication should always be considered before starting each infusion.</w:t>
      </w:r>
    </w:p>
    <w:p w14:paraId="7BC0ED89" w14:textId="77777777" w:rsidR="00EC7601" w:rsidRDefault="00EC7601" w:rsidP="00EC7601">
      <w:r w:rsidRPr="375F5CCE">
        <w:t xml:space="preserve">Prior to starting each treatment course, pulse oximetry, bone marrow function, liver function and renal function should be measured, and treatment delayed until adequate function is demonstrated (refer to Product Information for details). </w:t>
      </w:r>
    </w:p>
    <w:p w14:paraId="4C924286" w14:textId="67A16C55" w:rsidR="00EC7601" w:rsidRPr="00600BA1" w:rsidRDefault="00EC7601" w:rsidP="00EC7601">
      <w:r>
        <w:lastRenderedPageBreak/>
        <w:t>Patients should receive concomitant treatment with morphine, gabapentin and paracetamol/ ibuprofen for pain management</w:t>
      </w:r>
      <w:r w:rsidR="00060978">
        <w:t>,</w:t>
      </w:r>
      <w:r>
        <w:t xml:space="preserve"> and antihistamine to prevent hypersensitivity reactions.</w:t>
      </w:r>
    </w:p>
    <w:p w14:paraId="3099F6DE" w14:textId="266F3A21" w:rsidR="00CC1744" w:rsidRPr="00896C0D" w:rsidRDefault="00CC1744" w:rsidP="375F5CCE">
      <w:pPr>
        <w:rPr>
          <w:rFonts w:eastAsia="Times New Roman" w:cs="Times New Roman"/>
        </w:rPr>
      </w:pPr>
      <w:r w:rsidRPr="375F5CCE">
        <w:rPr>
          <w:rFonts w:eastAsia="Times New Roman" w:cs="Times New Roman"/>
        </w:rPr>
        <w:t xml:space="preserve">In the meeting (of April 2024) at which the MSAC Executive </w:t>
      </w:r>
      <w:r w:rsidRPr="375F5CCE">
        <w:t>supported the consideration of an application by MSAC for the extension of public funding of DB for the treatment of patients with relapsed or refractory HRNBL, it</w:t>
      </w:r>
      <w:r w:rsidRPr="375F5CCE">
        <w:rPr>
          <w:rFonts w:eastAsia="Times New Roman" w:cs="Times New Roman"/>
        </w:rPr>
        <w:t xml:space="preserve"> noted from a letter from the Australian and New Zealand Children’s Haematology/Oncology Group (ANZCHOG) that anti-GD2 immunotherapy (which includes DB) can have several clinical uses including as a bridging therapy for consolidation, </w:t>
      </w:r>
      <w:r w:rsidR="00531DBF">
        <w:rPr>
          <w:rFonts w:eastAsia="Times New Roman" w:cs="Times New Roman"/>
        </w:rPr>
        <w:t xml:space="preserve">as </w:t>
      </w:r>
      <w:r w:rsidRPr="375F5CCE">
        <w:rPr>
          <w:rFonts w:eastAsia="Times New Roman" w:cs="Times New Roman"/>
        </w:rPr>
        <w:t xml:space="preserve">a maintenance therapy, and </w:t>
      </w:r>
      <w:r w:rsidR="00531DBF">
        <w:rPr>
          <w:rFonts w:eastAsia="Times New Roman" w:cs="Times New Roman"/>
        </w:rPr>
        <w:t xml:space="preserve">as </w:t>
      </w:r>
      <w:r w:rsidRPr="375F5CCE">
        <w:rPr>
          <w:rFonts w:eastAsia="Times New Roman" w:cs="Times New Roman"/>
        </w:rPr>
        <w:t xml:space="preserve">a consolidation therapy after the initial chemotherapy. The MSAC Executive advised that if DB treatment </w:t>
      </w:r>
      <w:r w:rsidR="00531DBF">
        <w:rPr>
          <w:rFonts w:eastAsia="Times New Roman" w:cs="Times New Roman"/>
        </w:rPr>
        <w:t>was</w:t>
      </w:r>
      <w:r w:rsidR="00531DBF" w:rsidRPr="375F5CCE">
        <w:rPr>
          <w:rFonts w:eastAsia="Times New Roman" w:cs="Times New Roman"/>
        </w:rPr>
        <w:t xml:space="preserve"> </w:t>
      </w:r>
      <w:r w:rsidRPr="375F5CCE">
        <w:rPr>
          <w:rFonts w:eastAsia="Times New Roman" w:cs="Times New Roman"/>
        </w:rPr>
        <w:t>only extended to the relapse</w:t>
      </w:r>
      <w:r w:rsidR="00531DBF">
        <w:rPr>
          <w:rFonts w:eastAsia="Times New Roman" w:cs="Times New Roman"/>
        </w:rPr>
        <w:t>d</w:t>
      </w:r>
      <w:r w:rsidRPr="375F5CCE">
        <w:rPr>
          <w:rFonts w:eastAsia="Times New Roman" w:cs="Times New Roman"/>
        </w:rPr>
        <w:t xml:space="preserve"> and refractory HRNBL population, PASC consideration would not be required</w:t>
      </w:r>
      <w:r w:rsidR="00531DBF">
        <w:rPr>
          <w:rFonts w:eastAsia="Times New Roman" w:cs="Times New Roman"/>
        </w:rPr>
        <w:t>,</w:t>
      </w:r>
      <w:r w:rsidRPr="375F5CCE">
        <w:rPr>
          <w:rFonts w:eastAsia="Times New Roman" w:cs="Times New Roman"/>
        </w:rPr>
        <w:t xml:space="preserve"> but if the sponsor </w:t>
      </w:r>
      <w:r w:rsidR="00411ABE">
        <w:rPr>
          <w:rFonts w:eastAsia="Times New Roman" w:cs="Times New Roman"/>
        </w:rPr>
        <w:t>wanted to</w:t>
      </w:r>
      <w:r w:rsidR="00411ABE" w:rsidRPr="375F5CCE">
        <w:rPr>
          <w:rFonts w:eastAsia="Times New Roman" w:cs="Times New Roman"/>
        </w:rPr>
        <w:t xml:space="preserve"> </w:t>
      </w:r>
      <w:r w:rsidRPr="375F5CCE">
        <w:rPr>
          <w:rFonts w:eastAsia="Times New Roman" w:cs="Times New Roman"/>
        </w:rPr>
        <w:t xml:space="preserve">seek a broader listing which might raise multiple treatment pathways, PASC consideration would be required. </w:t>
      </w:r>
    </w:p>
    <w:p w14:paraId="13793EF7" w14:textId="1415BA77" w:rsidR="00CC1744" w:rsidRPr="00600BA1" w:rsidRDefault="00CC1744" w:rsidP="00EC7601">
      <w:pPr>
        <w:rPr>
          <w:rFonts w:cs="Arial"/>
          <w:i/>
        </w:rPr>
      </w:pPr>
      <w:r w:rsidRPr="375F5CCE">
        <w:rPr>
          <w:rFonts w:eastAsia="Times New Roman" w:cs="Times New Roman"/>
        </w:rPr>
        <w:t xml:space="preserve">Per the ADAR the applicant accepted the conditions for </w:t>
      </w:r>
      <w:r w:rsidR="00411ABE">
        <w:rPr>
          <w:rFonts w:eastAsia="Times New Roman" w:cs="Times New Roman"/>
        </w:rPr>
        <w:t xml:space="preserve">bypassing </w:t>
      </w:r>
      <w:r w:rsidRPr="375F5CCE">
        <w:rPr>
          <w:rFonts w:eastAsia="Times New Roman" w:cs="Times New Roman"/>
        </w:rPr>
        <w:t>PASC but a question which arises is whether the proposed funding conditions are specific enough to extend only to the relapse and refractory HRNBL population and avoids raising other treatment pathways. The wording of the relevant condition line “</w:t>
      </w:r>
      <w:r w:rsidRPr="375F5CCE">
        <w:rPr>
          <w:rFonts w:cs="Arial"/>
          <w:i/>
          <w:iCs/>
        </w:rPr>
        <w:t xml:space="preserve">Patient must have disease refractory to standard treatment” </w:t>
      </w:r>
      <w:r w:rsidRPr="375F5CCE">
        <w:rPr>
          <w:rFonts w:cs="Arial"/>
        </w:rPr>
        <w:t xml:space="preserve">may not be specific enough to patients with primary refractory HRNBL </w:t>
      </w:r>
      <w:r w:rsidRPr="375F5CCE">
        <w:rPr>
          <w:rFonts w:cs="Arial"/>
          <w:i/>
          <w:iCs/>
        </w:rPr>
        <w:t>as</w:t>
      </w:r>
      <w:r w:rsidRPr="375F5CCE">
        <w:rPr>
          <w:rFonts w:cs="Arial"/>
        </w:rPr>
        <w:t xml:space="preserve"> within the scope and intent of the ADAR. This lack of specificity should also be considered in relation to the interaction of this proposal with the existing TGA indication</w:t>
      </w:r>
      <w:r w:rsidR="00500CDA" w:rsidRPr="375F5CCE">
        <w:rPr>
          <w:rFonts w:cs="Arial"/>
        </w:rPr>
        <w:t xml:space="preserve"> and </w:t>
      </w:r>
      <w:r w:rsidR="00952E1A" w:rsidRPr="375F5CCE">
        <w:rPr>
          <w:rFonts w:cs="Arial"/>
        </w:rPr>
        <w:t>current</w:t>
      </w:r>
      <w:r w:rsidR="00500CDA" w:rsidRPr="375F5CCE">
        <w:rPr>
          <w:rFonts w:cs="Arial"/>
        </w:rPr>
        <w:t xml:space="preserve"> NHRA funding</w:t>
      </w:r>
      <w:r w:rsidRPr="375F5CCE">
        <w:rPr>
          <w:rFonts w:cs="Arial"/>
        </w:rPr>
        <w:t xml:space="preserve"> for maintenance DB</w:t>
      </w:r>
      <w:r w:rsidR="00D474FE">
        <w:rPr>
          <w:rFonts w:cs="Arial"/>
        </w:rPr>
        <w:t xml:space="preserve"> (as discus</w:t>
      </w:r>
      <w:r w:rsidR="005F269D">
        <w:rPr>
          <w:rFonts w:cs="Arial"/>
        </w:rPr>
        <w:t>sed above)</w:t>
      </w:r>
      <w:r w:rsidRPr="375F5CCE">
        <w:rPr>
          <w:rFonts w:cs="Arial"/>
          <w:i/>
          <w:iCs/>
        </w:rPr>
        <w:t>.</w:t>
      </w:r>
    </w:p>
    <w:p w14:paraId="34E0B08F" w14:textId="02BBB8E6" w:rsidR="00772829" w:rsidRDefault="00772829" w:rsidP="00EE5979">
      <w:pPr>
        <w:pStyle w:val="Heading2"/>
        <w:numPr>
          <w:ilvl w:val="0"/>
          <w:numId w:val="22"/>
        </w:numPr>
        <w:ind w:hanging="720"/>
      </w:pPr>
      <w:bookmarkStart w:id="10" w:name="_Toc69491419"/>
      <w:r w:rsidRPr="00CE28E3">
        <w:t>Population</w:t>
      </w:r>
      <w:bookmarkEnd w:id="10"/>
      <w:r w:rsidRPr="00CE28E3">
        <w:t xml:space="preserve"> </w:t>
      </w:r>
    </w:p>
    <w:p w14:paraId="0C942F06" w14:textId="7941F8FD" w:rsidR="00D634F8" w:rsidRDefault="007A62E2" w:rsidP="00D634F8">
      <w:r w:rsidRPr="375F5CCE">
        <w:t>Neuroblastoma (</w:t>
      </w:r>
      <w:r w:rsidR="00D634F8" w:rsidRPr="375F5CCE">
        <w:t>NBL</w:t>
      </w:r>
      <w:r w:rsidRPr="375F5CCE">
        <w:t>)</w:t>
      </w:r>
      <w:r w:rsidR="00D634F8" w:rsidRPr="375F5CCE">
        <w:t xml:space="preserve"> is an embryonal tumour of the autonomic nervous system. It usually occurs in very young children. The tumours are found in sympathetic nervous system tissues, typically in the adrenal medulla or paraspinal ganglia</w:t>
      </w:r>
      <w:r w:rsidR="00C4540B" w:rsidRPr="375F5CCE">
        <w:t>,</w:t>
      </w:r>
      <w:r w:rsidR="00D634F8" w:rsidRPr="375F5CCE">
        <w:t xml:space="preserve"> and can present as mass lesions in the neck, chest, abdomen, or pelvis.</w:t>
      </w:r>
    </w:p>
    <w:p w14:paraId="4E05D0F7" w14:textId="164740B2" w:rsidR="00595228" w:rsidRDefault="00D634F8" w:rsidP="00D634F8">
      <w:r w:rsidRPr="375F5CCE">
        <w:t>Current practice for the staging and risk classification of NBL is through the International Neuroblastoma Risk Group (INRG) staging system. The INRG categorises tumours as very low risk, low risk, intermediate risk or high risk based on the following prognostic factors: age at diagnosis (two cut-offs: 12 and 18 months), INRG tumour stage (</w:t>
      </w:r>
      <w:r w:rsidR="0029747E" w:rsidRPr="375F5CCE">
        <w:t>two stages of localised disease, L1 and L2, and two stages of metastatic disease, M and MS</w:t>
      </w:r>
      <w:r w:rsidRPr="375F5CCE">
        <w:t>), histologic category, grade of tumour differentiation, DNA ploidy (</w:t>
      </w:r>
      <w:proofErr w:type="spellStart"/>
      <w:r w:rsidRPr="375F5CCE">
        <w:t>hyperploidy</w:t>
      </w:r>
      <w:proofErr w:type="spellEnd"/>
      <w:r w:rsidRPr="375F5CCE">
        <w:t>/diploidy), v-</w:t>
      </w:r>
      <w:proofErr w:type="spellStart"/>
      <w:r w:rsidRPr="375F5CCE">
        <w:t>myc</w:t>
      </w:r>
      <w:proofErr w:type="spellEnd"/>
      <w:r w:rsidRPr="375F5CCE">
        <w:t xml:space="preserve"> </w:t>
      </w:r>
      <w:proofErr w:type="spellStart"/>
      <w:r w:rsidRPr="375F5CCE">
        <w:t>myelocytomatosis</w:t>
      </w:r>
      <w:proofErr w:type="spellEnd"/>
      <w:r w:rsidRPr="375F5CCE">
        <w:t xml:space="preserve"> viral related oncogene (MYCN) oncogene status (amplified or not), and aberrations at chromosome 11q (presence/absence).</w:t>
      </w:r>
    </w:p>
    <w:p w14:paraId="38472AFC" w14:textId="2C52CE8A" w:rsidR="00D634F8" w:rsidRDefault="000C29F8" w:rsidP="00D634F8">
      <w:r w:rsidRPr="375F5CCE">
        <w:t>NBL has</w:t>
      </w:r>
      <w:r w:rsidR="00D634F8" w:rsidRPr="375F5CCE">
        <w:t xml:space="preserve"> an incidence of 10.6 children per million (Cancer Council Queensland 2014</w:t>
      </w:r>
      <w:r w:rsidR="003849D3">
        <w:rPr>
          <w:rStyle w:val="FootnoteReference"/>
        </w:rPr>
        <w:footnoteReference w:id="8"/>
      </w:r>
      <w:r w:rsidR="00D634F8" w:rsidRPr="375F5CCE">
        <w:t xml:space="preserve">), based on 46 new cases per annum reported on average between 2000-2014 and </w:t>
      </w:r>
      <w:r w:rsidR="00E35A59" w:rsidRPr="375F5CCE">
        <w:t xml:space="preserve">as </w:t>
      </w:r>
      <w:r w:rsidR="00076038" w:rsidRPr="375F5CCE">
        <w:t>stated</w:t>
      </w:r>
      <w:r w:rsidR="00E35A59" w:rsidRPr="375F5CCE">
        <w:t xml:space="preserve"> </w:t>
      </w:r>
      <w:r w:rsidR="00D634F8" w:rsidRPr="375F5CCE">
        <w:t xml:space="preserve">in the </w:t>
      </w:r>
      <w:r w:rsidR="00076038" w:rsidRPr="375F5CCE">
        <w:t>ADAR for</w:t>
      </w:r>
      <w:r w:rsidR="00D634F8" w:rsidRPr="375F5CCE">
        <w:t xml:space="preserve"> previous MSAC </w:t>
      </w:r>
      <w:r w:rsidR="00076038" w:rsidRPr="375F5CCE">
        <w:t xml:space="preserve">application </w:t>
      </w:r>
      <w:r w:rsidR="00D634F8" w:rsidRPr="375F5CCE">
        <w:t>1625</w:t>
      </w:r>
      <w:r w:rsidR="00076038" w:rsidRPr="375F5CCE">
        <w:t>.</w:t>
      </w:r>
      <w:r w:rsidR="00D634F8" w:rsidRPr="375F5CCE">
        <w:t xml:space="preserve"> </w:t>
      </w:r>
      <w:r w:rsidR="00076038" w:rsidRPr="375F5CCE">
        <w:t xml:space="preserve">This </w:t>
      </w:r>
      <w:r w:rsidR="00F65C89" w:rsidRPr="375F5CCE">
        <w:t xml:space="preserve">incidence </w:t>
      </w:r>
      <w:r w:rsidR="001F2359" w:rsidRPr="375F5CCE">
        <w:t xml:space="preserve">was considered reasonable, given it is </w:t>
      </w:r>
      <w:r w:rsidR="00D634F8" w:rsidRPr="375F5CCE">
        <w:t xml:space="preserve">within the range of </w:t>
      </w:r>
      <w:r w:rsidR="001F2359" w:rsidRPr="375F5CCE">
        <w:t>estimated incidences in the literature (i.e.</w:t>
      </w:r>
      <w:r w:rsidR="00D634F8" w:rsidRPr="375F5CCE">
        <w:t xml:space="preserve"> 9.</w:t>
      </w:r>
      <w:r w:rsidR="006D34ED" w:rsidRPr="375F5CCE">
        <w:t xml:space="preserve">5 </w:t>
      </w:r>
      <w:r w:rsidR="00F65C89" w:rsidRPr="375F5CCE">
        <w:t>per million</w:t>
      </w:r>
      <w:r w:rsidR="00D634F8" w:rsidRPr="375F5CCE">
        <w:t xml:space="preserve"> (</w:t>
      </w:r>
      <w:r w:rsidR="00F65C89" w:rsidRPr="375F5CCE">
        <w:t xml:space="preserve">reported by </w:t>
      </w:r>
      <w:proofErr w:type="spellStart"/>
      <w:r w:rsidR="00D634F8" w:rsidRPr="375F5CCE">
        <w:t>Youlden</w:t>
      </w:r>
      <w:proofErr w:type="spellEnd"/>
      <w:r w:rsidR="00D634F8" w:rsidRPr="375F5CCE">
        <w:t xml:space="preserve"> 2020</w:t>
      </w:r>
      <w:r w:rsidR="003849D3">
        <w:rPr>
          <w:rStyle w:val="FootnoteReference"/>
        </w:rPr>
        <w:footnoteReference w:id="9"/>
      </w:r>
      <w:r w:rsidR="00D634F8" w:rsidRPr="375F5CCE">
        <w:t xml:space="preserve">) and 11.6 </w:t>
      </w:r>
      <w:r w:rsidR="00F65C89" w:rsidRPr="375F5CCE">
        <w:t>per million</w:t>
      </w:r>
      <w:r w:rsidR="00D634F8" w:rsidRPr="375F5CCE">
        <w:t xml:space="preserve"> (+10.5</w:t>
      </w:r>
      <w:r w:rsidR="001D41E8" w:rsidRPr="375F5CCE">
        <w:t>% incidence difference from 10.5 cases/million children</w:t>
      </w:r>
      <w:r w:rsidR="00D634F8" w:rsidRPr="375F5CCE">
        <w:t xml:space="preserve">) </w:t>
      </w:r>
      <w:r w:rsidR="00D634F8" w:rsidRPr="375F5CCE">
        <w:lastRenderedPageBreak/>
        <w:t>(</w:t>
      </w:r>
      <w:r w:rsidR="00F65C89" w:rsidRPr="375F5CCE">
        <w:t xml:space="preserve">reported by </w:t>
      </w:r>
      <w:r w:rsidR="00D634F8" w:rsidRPr="375F5CCE">
        <w:t>Heerden 2021</w:t>
      </w:r>
      <w:r w:rsidR="000B0AFE">
        <w:rPr>
          <w:rStyle w:val="FootnoteReference"/>
        </w:rPr>
        <w:footnoteReference w:id="10"/>
      </w:r>
      <w:r w:rsidR="00D634F8" w:rsidRPr="375F5CCE">
        <w:t xml:space="preserve">), </w:t>
      </w:r>
      <w:r w:rsidR="0066641E" w:rsidRPr="375F5CCE">
        <w:t>and suggests that</w:t>
      </w:r>
      <w:r w:rsidR="00D634F8" w:rsidRPr="375F5CCE">
        <w:t xml:space="preserve"> there are approximately 55 children diagnosed with NBL in Australia annually. Of these, about half have HRNBL (DuBois 2022, Krystal 2023)</w:t>
      </w:r>
      <w:r w:rsidR="002422A1" w:rsidRPr="375F5CCE">
        <w:t>;</w:t>
      </w:r>
      <w:r w:rsidR="00D634F8" w:rsidRPr="375F5CCE">
        <w:t xml:space="preserve"> these results are </w:t>
      </w:r>
      <w:r w:rsidR="002422A1" w:rsidRPr="375F5CCE">
        <w:t>in line with</w:t>
      </w:r>
      <w:r w:rsidR="00D634F8" w:rsidRPr="375F5CCE">
        <w:t xml:space="preserve"> those reported in the Australian Childhood Cancer Registry, where 51% of children are diagnosed as stage 4 (</w:t>
      </w:r>
      <w:proofErr w:type="spellStart"/>
      <w:r w:rsidR="00D634F8" w:rsidRPr="375F5CCE">
        <w:t>Youlden</w:t>
      </w:r>
      <w:proofErr w:type="spellEnd"/>
      <w:r w:rsidR="00D634F8" w:rsidRPr="375F5CCE">
        <w:t xml:space="preserve"> 2019</w:t>
      </w:r>
      <w:r w:rsidR="001E0CA0">
        <w:rPr>
          <w:rStyle w:val="FootnoteReference"/>
        </w:rPr>
        <w:footnoteReference w:id="11"/>
      </w:r>
      <w:r w:rsidR="00D634F8" w:rsidRPr="375F5CCE">
        <w:t>).</w:t>
      </w:r>
    </w:p>
    <w:p w14:paraId="4731A536" w14:textId="67124567" w:rsidR="007A62E2" w:rsidRPr="00595228" w:rsidRDefault="007A62E2" w:rsidP="00D634F8">
      <w:r w:rsidRPr="375F5CCE">
        <w:t>Of HRNBL patients, approximately half are expected to relapse within 5 years of diagnosis. Those who are refractory to initial induction therapy, or experience a first relapse, are the group of interest in this application. A distribution of 1/3 of RRHRNBL being refractory and 2/3 relapsed is supported in the literature.</w:t>
      </w:r>
    </w:p>
    <w:p w14:paraId="66BDFCC1" w14:textId="04D11F0C" w:rsidR="00772829" w:rsidRDefault="00772829" w:rsidP="00EE5979">
      <w:pPr>
        <w:pStyle w:val="Heading2"/>
        <w:numPr>
          <w:ilvl w:val="0"/>
          <w:numId w:val="22"/>
        </w:numPr>
        <w:ind w:hanging="720"/>
      </w:pPr>
      <w:bookmarkStart w:id="11" w:name="_Toc69491420"/>
      <w:r w:rsidRPr="00CE28E3">
        <w:t>Comparator</w:t>
      </w:r>
      <w:bookmarkEnd w:id="11"/>
    </w:p>
    <w:p w14:paraId="7167CB07" w14:textId="4FA61269" w:rsidR="007A62E2" w:rsidRDefault="007A62E2" w:rsidP="007A62E2">
      <w:r w:rsidRPr="007A62E2">
        <w:t>The proposed comparator for primary RRHRNBL patients is chemotherapy that includes topotecan or irinotecan in addition to temozolomide (TOTEM or TEMIRI</w:t>
      </w:r>
      <w:r w:rsidR="001B6413">
        <w:t>, respectively</w:t>
      </w:r>
      <w:r w:rsidRPr="007A62E2">
        <w:t>).</w:t>
      </w:r>
    </w:p>
    <w:p w14:paraId="37A13A4C" w14:textId="75210BC3" w:rsidR="007A62E2" w:rsidRDefault="007A62E2" w:rsidP="007A62E2">
      <w:r w:rsidRPr="375F5CCE">
        <w:t xml:space="preserve">The ADAR provided results of a clinician survey </w:t>
      </w:r>
      <w:r w:rsidR="001B6413">
        <w:t>of</w:t>
      </w:r>
      <w:r w:rsidRPr="375F5CCE">
        <w:t xml:space="preserve"> treatment options for patients with refractory or relapsing disease in the absence of chemoimmunotherapy (i</w:t>
      </w:r>
      <w:r w:rsidR="00BA25AB">
        <w:t>.</w:t>
      </w:r>
      <w:r w:rsidRPr="375F5CCE">
        <w:t>e</w:t>
      </w:r>
      <w:r w:rsidR="00BA25AB">
        <w:t>.</w:t>
      </w:r>
      <w:r w:rsidRPr="375F5CCE">
        <w:t>, DB + chemotherapy). The survey included six respondents, one from each of the single treatment centres in Queensland, Western Australia and South Australia; one from one of the two treatment centres in Victoria</w:t>
      </w:r>
      <w:r w:rsidR="00876D7A" w:rsidRPr="375F5CCE">
        <w:t>;</w:t>
      </w:r>
      <w:r w:rsidRPr="375F5CCE">
        <w:t xml:space="preserve"> and two from the three treatment centres in New South Wales (NSW). For the NSW responses, it is not clear whether this represents one respondent from two centres or multiple responses from a single centre (although it is assumed to be the former as eight clinicians were approached</w:t>
      </w:r>
      <w:r w:rsidR="00C83FFC" w:rsidRPr="375F5CCE">
        <w:t xml:space="preserve">, </w:t>
      </w:r>
      <w:r w:rsidRPr="375F5CCE">
        <w:t>likely one from each centre).</w:t>
      </w:r>
    </w:p>
    <w:p w14:paraId="740A4DCE" w14:textId="44E861C9" w:rsidR="007A62E2" w:rsidRDefault="007A62E2" w:rsidP="007A62E2">
      <w:r w:rsidRPr="375F5CCE">
        <w:t xml:space="preserve">The clinician survey </w:t>
      </w:r>
      <w:r w:rsidR="00C83FFC" w:rsidRPr="375F5CCE">
        <w:t xml:space="preserve">results </w:t>
      </w:r>
      <w:r w:rsidRPr="375F5CCE">
        <w:t xml:space="preserve">support the contention that TOTEM and TEMIRI are the </w:t>
      </w:r>
      <w:proofErr w:type="gramStart"/>
      <w:r w:rsidRPr="375F5CCE">
        <w:t>most commonly used</w:t>
      </w:r>
      <w:proofErr w:type="gramEnd"/>
      <w:r w:rsidRPr="375F5CCE">
        <w:t xml:space="preserve"> regimens in Australia, and that the topotecan + cyclophosphamide (</w:t>
      </w:r>
      <w:proofErr w:type="spellStart"/>
      <w:r w:rsidRPr="375F5CCE">
        <w:t>TopoCyclo</w:t>
      </w:r>
      <w:proofErr w:type="spellEnd"/>
      <w:r w:rsidRPr="375F5CCE">
        <w:t>) regimen is less commonly used</w:t>
      </w:r>
      <w:r w:rsidR="00D70397" w:rsidRPr="375F5CCE">
        <w:t>,</w:t>
      </w:r>
      <w:r w:rsidRPr="375F5CCE">
        <w:t xml:space="preserve"> with one of six clinicians reporting use of the </w:t>
      </w:r>
      <w:proofErr w:type="spellStart"/>
      <w:r w:rsidRPr="375F5CCE">
        <w:t>TopoCyclo</w:t>
      </w:r>
      <w:proofErr w:type="spellEnd"/>
      <w:r w:rsidRPr="375F5CCE">
        <w:t xml:space="preserve"> combination 90% of the time while another respondent reported its use 45% of the time for refractory, induction, consolidation, maintenance or post-maintenance treatment.</w:t>
      </w:r>
    </w:p>
    <w:p w14:paraId="6E87B828" w14:textId="77777777" w:rsidR="001F16E6" w:rsidRPr="00D155C0" w:rsidRDefault="001F16E6" w:rsidP="00EE5979">
      <w:pPr>
        <w:pStyle w:val="Heading2"/>
        <w:numPr>
          <w:ilvl w:val="0"/>
          <w:numId w:val="22"/>
        </w:numPr>
        <w:ind w:hanging="720"/>
      </w:pPr>
      <w:bookmarkStart w:id="12" w:name="_Toc69491421"/>
      <w:bookmarkStart w:id="13" w:name="_Hlk193982804"/>
      <w:r w:rsidRPr="003A793E">
        <w:t>Summary of public consultation input</w:t>
      </w:r>
      <w:bookmarkEnd w:id="12"/>
    </w:p>
    <w:bookmarkEnd w:id="13"/>
    <w:p w14:paraId="17357AF6" w14:textId="77777777" w:rsidR="001F16E6" w:rsidRPr="001F16E6" w:rsidRDefault="001F16E6" w:rsidP="001F16E6">
      <w:r w:rsidRPr="001F16E6">
        <w:t xml:space="preserve">Consultation input was received from 3 consumer organisations, 2 individual health professionals (paediatric oncologists) and 9 individual parents who cared for children with the health condition that this health technology is for. The organisations that provided input were: </w:t>
      </w:r>
    </w:p>
    <w:p w14:paraId="79BADDD2" w14:textId="77777777" w:rsidR="001F16E6" w:rsidRPr="001F16E6" w:rsidRDefault="001F16E6" w:rsidP="00EE5979">
      <w:pPr>
        <w:pStyle w:val="ListParagraph"/>
        <w:numPr>
          <w:ilvl w:val="0"/>
          <w:numId w:val="24"/>
        </w:numPr>
        <w:spacing w:before="0"/>
      </w:pPr>
      <w:r w:rsidRPr="001F16E6">
        <w:t>Neuroblastoma Australia</w:t>
      </w:r>
    </w:p>
    <w:p w14:paraId="10DCC12D" w14:textId="77777777" w:rsidR="001F16E6" w:rsidRPr="001F16E6" w:rsidRDefault="001F16E6" w:rsidP="00EE5979">
      <w:pPr>
        <w:pStyle w:val="ListParagraph"/>
        <w:numPr>
          <w:ilvl w:val="0"/>
          <w:numId w:val="24"/>
        </w:numPr>
        <w:spacing w:before="0" w:after="0" w:line="240" w:lineRule="auto"/>
      </w:pPr>
      <w:r w:rsidRPr="001F16E6">
        <w:t>Rare Cancers Australia (RCA)</w:t>
      </w:r>
    </w:p>
    <w:p w14:paraId="7FEB9903" w14:textId="2189B4CC" w:rsidR="001F16E6" w:rsidRPr="001F16E6" w:rsidRDefault="001F16E6" w:rsidP="00EE5979">
      <w:pPr>
        <w:pStyle w:val="ListParagraph"/>
        <w:numPr>
          <w:ilvl w:val="0"/>
          <w:numId w:val="24"/>
        </w:numPr>
        <w:spacing w:before="0"/>
      </w:pPr>
      <w:r w:rsidRPr="001F16E6">
        <w:t>National Paediatric Medicines Forum (NPMF)</w:t>
      </w:r>
      <w:r>
        <w:t>.</w:t>
      </w:r>
    </w:p>
    <w:p w14:paraId="0C59F4BD" w14:textId="77777777" w:rsidR="001F16E6" w:rsidRDefault="001F16E6" w:rsidP="001F16E6">
      <w:pPr>
        <w:rPr>
          <w:color w:val="FF0000"/>
          <w:sz w:val="24"/>
          <w:szCs w:val="24"/>
        </w:rPr>
      </w:pPr>
      <w:r w:rsidRPr="00E34499">
        <w:rPr>
          <w:b/>
          <w:bCs/>
          <w:sz w:val="24"/>
          <w:szCs w:val="24"/>
        </w:rPr>
        <w:t>Level of support for public funding</w:t>
      </w:r>
      <w:r>
        <w:rPr>
          <w:b/>
          <w:bCs/>
          <w:sz w:val="24"/>
          <w:szCs w:val="24"/>
        </w:rPr>
        <w:t xml:space="preserve"> </w:t>
      </w:r>
    </w:p>
    <w:p w14:paraId="720EB8D2" w14:textId="77777777" w:rsidR="001F16E6" w:rsidRPr="001F16E6" w:rsidRDefault="001F16E6" w:rsidP="001F16E6">
      <w:r w:rsidRPr="001F16E6">
        <w:t>All organisations and individuals were supportive of public funding.</w:t>
      </w:r>
    </w:p>
    <w:p w14:paraId="39D5390A" w14:textId="77777777" w:rsidR="001F16E6" w:rsidRPr="00EB0EC8" w:rsidRDefault="001F16E6" w:rsidP="001F16E6">
      <w:pPr>
        <w:rPr>
          <w:sz w:val="24"/>
          <w:szCs w:val="24"/>
        </w:rPr>
      </w:pPr>
      <w:r>
        <w:rPr>
          <w:b/>
          <w:bCs/>
          <w:sz w:val="24"/>
          <w:szCs w:val="24"/>
        </w:rPr>
        <w:t xml:space="preserve">Perceived Advantages </w:t>
      </w:r>
    </w:p>
    <w:p w14:paraId="43FA0C13" w14:textId="77777777" w:rsidR="001F16E6" w:rsidRPr="001F16E6" w:rsidRDefault="001F16E6" w:rsidP="001F16E6">
      <w:r w:rsidRPr="001F16E6">
        <w:t>Advantages of the service noted in the input included:</w:t>
      </w:r>
    </w:p>
    <w:p w14:paraId="6AAE0DC4" w14:textId="77777777" w:rsidR="001F16E6" w:rsidRPr="001F16E6" w:rsidRDefault="001F16E6" w:rsidP="00EE5979">
      <w:pPr>
        <w:pStyle w:val="ListParagraph"/>
        <w:numPr>
          <w:ilvl w:val="0"/>
          <w:numId w:val="25"/>
        </w:numPr>
        <w:spacing w:before="0"/>
      </w:pPr>
      <w:r w:rsidRPr="001F16E6">
        <w:lastRenderedPageBreak/>
        <w:t>A superior response and survival rate for immuno-chemotherapy treatments compared to pure chemotherapy combinations, based on clinical trials that have occurred to date.</w:t>
      </w:r>
    </w:p>
    <w:p w14:paraId="32530261" w14:textId="77777777" w:rsidR="001F16E6" w:rsidRPr="001F16E6" w:rsidRDefault="001F16E6" w:rsidP="00EE5979">
      <w:pPr>
        <w:pStyle w:val="ListParagraph"/>
        <w:numPr>
          <w:ilvl w:val="0"/>
          <w:numId w:val="25"/>
        </w:numPr>
        <w:spacing w:before="0"/>
      </w:pPr>
      <w:r w:rsidRPr="001F16E6">
        <w:t>Often this treatment option enables a patient to get into remission, which can provide time to access a clinical trial specifically for relapsed neuroblastoma if this is required (e.g. CAR-T, Vaccine trial USA). Access to these clinical trials may increase prospects to potentially also help maintain remission and improve chances of survival.</w:t>
      </w:r>
    </w:p>
    <w:p w14:paraId="358F057A" w14:textId="77777777" w:rsidR="001F16E6" w:rsidRPr="001F16E6" w:rsidRDefault="001F16E6" w:rsidP="00EE5979">
      <w:pPr>
        <w:pStyle w:val="ListParagraph"/>
        <w:numPr>
          <w:ilvl w:val="0"/>
          <w:numId w:val="25"/>
        </w:numPr>
        <w:spacing w:before="0"/>
      </w:pPr>
      <w:r w:rsidRPr="001F16E6">
        <w:t xml:space="preserve">Improved outcomes, quality and quantity of life for patients. </w:t>
      </w:r>
    </w:p>
    <w:p w14:paraId="4AD1E2AD" w14:textId="77777777" w:rsidR="001F16E6" w:rsidRPr="001F16E6" w:rsidRDefault="001F16E6" w:rsidP="00EE5979">
      <w:pPr>
        <w:pStyle w:val="ListParagraph"/>
        <w:numPr>
          <w:ilvl w:val="0"/>
          <w:numId w:val="25"/>
        </w:numPr>
        <w:spacing w:before="0"/>
      </w:pPr>
      <w:r w:rsidRPr="001F16E6">
        <w:t>A manageable side effect profile compared to some existing treatments, potentially improving the patient’s quality of life during treatment.</w:t>
      </w:r>
    </w:p>
    <w:p w14:paraId="70F1DA04" w14:textId="77777777" w:rsidR="001F16E6" w:rsidRPr="001F16E6" w:rsidRDefault="001F16E6" w:rsidP="00EE5979">
      <w:pPr>
        <w:pStyle w:val="ListParagraph"/>
        <w:numPr>
          <w:ilvl w:val="0"/>
          <w:numId w:val="25"/>
        </w:numPr>
        <w:spacing w:before="0"/>
      </w:pPr>
      <w:r w:rsidRPr="001F16E6">
        <w:t>Improved equity of access as there is potential for the treatment to be given outside of hospital, which could be helpful to parents and families, especially from rural and remote locations, noting this would be dependent on there being suitably qualified staff and support.</w:t>
      </w:r>
    </w:p>
    <w:p w14:paraId="0945BD1F" w14:textId="77777777" w:rsidR="001F16E6" w:rsidRPr="001F16E6" w:rsidRDefault="001F16E6" w:rsidP="00EE5979">
      <w:pPr>
        <w:pStyle w:val="ListParagraph"/>
        <w:numPr>
          <w:ilvl w:val="0"/>
          <w:numId w:val="25"/>
        </w:numPr>
        <w:spacing w:before="0"/>
      </w:pPr>
      <w:r w:rsidRPr="001F16E6">
        <w:t>Potential for reduced care-related trauma and anxiety, for both children and their families or carers.</w:t>
      </w:r>
    </w:p>
    <w:p w14:paraId="537516DE" w14:textId="77777777" w:rsidR="001F16E6" w:rsidRPr="001F16E6" w:rsidRDefault="001F16E6" w:rsidP="00EE5979">
      <w:pPr>
        <w:pStyle w:val="ListParagraph"/>
        <w:numPr>
          <w:ilvl w:val="0"/>
          <w:numId w:val="25"/>
        </w:numPr>
        <w:spacing w:before="0"/>
      </w:pPr>
      <w:r w:rsidRPr="001F16E6">
        <w:t xml:space="preserve">Reduced financial stress for patients and families, which can be significant and is further increased by the need for long periods of travel and accommodation, as extended hospital stays are currently typically required. </w:t>
      </w:r>
    </w:p>
    <w:p w14:paraId="4DFB1CDD" w14:textId="77777777" w:rsidR="001F16E6" w:rsidRPr="001F16E6" w:rsidRDefault="001F16E6" w:rsidP="00EE5979">
      <w:pPr>
        <w:pStyle w:val="ListParagraph"/>
        <w:numPr>
          <w:ilvl w:val="0"/>
          <w:numId w:val="25"/>
        </w:numPr>
        <w:spacing w:before="0"/>
      </w:pPr>
      <w:r w:rsidRPr="001F16E6">
        <w:t>Availability of this treatment within Australia would reduce the need for overseas travel, decreasing the overall financial burden on families.</w:t>
      </w:r>
    </w:p>
    <w:p w14:paraId="358F1870" w14:textId="77777777" w:rsidR="001F16E6" w:rsidRPr="00B01D6C" w:rsidRDefault="001F16E6" w:rsidP="001F16E6">
      <w:pPr>
        <w:rPr>
          <w:sz w:val="24"/>
          <w:szCs w:val="24"/>
        </w:rPr>
      </w:pPr>
      <w:r>
        <w:rPr>
          <w:b/>
          <w:bCs/>
          <w:sz w:val="24"/>
          <w:szCs w:val="24"/>
        </w:rPr>
        <w:t xml:space="preserve">Perceived Disadvantages </w:t>
      </w:r>
    </w:p>
    <w:p w14:paraId="4DA94579" w14:textId="77777777" w:rsidR="001F16E6" w:rsidRPr="001F16E6" w:rsidRDefault="001F16E6" w:rsidP="001F16E6">
      <w:r w:rsidRPr="001F16E6">
        <w:t>Disadvantages of the service noted in the input included:</w:t>
      </w:r>
    </w:p>
    <w:p w14:paraId="71DB030D" w14:textId="77777777" w:rsidR="001F16E6" w:rsidRPr="001F16E6" w:rsidRDefault="001F16E6" w:rsidP="00EE5979">
      <w:pPr>
        <w:pStyle w:val="ListParagraph"/>
        <w:numPr>
          <w:ilvl w:val="0"/>
          <w:numId w:val="26"/>
        </w:numPr>
        <w:spacing w:before="0" w:after="0"/>
      </w:pPr>
      <w:r w:rsidRPr="001F16E6">
        <w:t xml:space="preserve">While the side effect profile is manageable, adverse effects include pain. While the negative impacts of side effects </w:t>
      </w:r>
      <w:proofErr w:type="gramStart"/>
      <w:r w:rsidRPr="001F16E6">
        <w:t>are considered to be</w:t>
      </w:r>
      <w:proofErr w:type="gramEnd"/>
      <w:r w:rsidRPr="001F16E6">
        <w:t xml:space="preserve"> outweighed by the improvements in survival and reduced likelihood of disease recurrence, careful management of side effects and regular monitoring through follow-up care are required.</w:t>
      </w:r>
    </w:p>
    <w:p w14:paraId="7BB66F42" w14:textId="459A6037" w:rsidR="001F16E6" w:rsidRPr="001F16E6" w:rsidRDefault="001F16E6" w:rsidP="00EE5979">
      <w:pPr>
        <w:pStyle w:val="ListParagraph"/>
        <w:numPr>
          <w:ilvl w:val="0"/>
          <w:numId w:val="26"/>
        </w:numPr>
        <w:spacing w:before="0" w:after="0"/>
      </w:pPr>
      <w:r w:rsidRPr="001F16E6">
        <w:t>Barriers include geographic access challenges for rural and remote populations and the need for specialised training for healthcare providers.</w:t>
      </w:r>
    </w:p>
    <w:p w14:paraId="20D7214D" w14:textId="77777777" w:rsidR="001F16E6" w:rsidRPr="00D47FD2" w:rsidRDefault="001F16E6" w:rsidP="001F16E6">
      <w:pPr>
        <w:keepNext/>
        <w:keepLines/>
        <w:rPr>
          <w:b/>
          <w:bCs/>
          <w:sz w:val="24"/>
          <w:szCs w:val="24"/>
        </w:rPr>
      </w:pPr>
      <w:r>
        <w:rPr>
          <w:b/>
          <w:bCs/>
          <w:sz w:val="24"/>
          <w:szCs w:val="24"/>
        </w:rPr>
        <w:t xml:space="preserve">Support for Implementation /issues </w:t>
      </w:r>
    </w:p>
    <w:p w14:paraId="78255738" w14:textId="77777777" w:rsidR="001F16E6" w:rsidRPr="001F16E6" w:rsidRDefault="001F16E6" w:rsidP="00EE5979">
      <w:pPr>
        <w:pStyle w:val="ListParagraph"/>
        <w:keepNext/>
        <w:keepLines/>
        <w:numPr>
          <w:ilvl w:val="0"/>
          <w:numId w:val="23"/>
        </w:numPr>
        <w:spacing w:before="0"/>
        <w:ind w:left="709"/>
      </w:pPr>
      <w:r w:rsidRPr="001F16E6">
        <w:t xml:space="preserve">Health professional respondents were positive that their places of practice can accommodate delivery of this service to patients, if implemented for public funding. </w:t>
      </w:r>
    </w:p>
    <w:p w14:paraId="4B8FEDCA" w14:textId="77777777" w:rsidR="001F16E6" w:rsidRPr="001F16E6" w:rsidRDefault="001F16E6" w:rsidP="00EE5979">
      <w:pPr>
        <w:pStyle w:val="ListParagraph"/>
        <w:keepNext/>
        <w:keepLines/>
        <w:numPr>
          <w:ilvl w:val="0"/>
          <w:numId w:val="23"/>
        </w:numPr>
        <w:spacing w:before="0"/>
        <w:ind w:left="709"/>
      </w:pPr>
      <w:r w:rsidRPr="001F16E6">
        <w:t>There should be clear guidelines and qualified support in place. Decisions around treatment approach should be made in consultation with the parents to ensure they feel comfortable (e.g. if a continuous infusion pump used).</w:t>
      </w:r>
    </w:p>
    <w:p w14:paraId="6BA22E54" w14:textId="77777777" w:rsidR="001F16E6" w:rsidRPr="001F16E6" w:rsidRDefault="001F16E6" w:rsidP="00EE5979">
      <w:pPr>
        <w:pStyle w:val="ListParagraph"/>
        <w:keepNext/>
        <w:keepLines/>
        <w:numPr>
          <w:ilvl w:val="0"/>
          <w:numId w:val="23"/>
        </w:numPr>
        <w:spacing w:before="0"/>
        <w:ind w:left="709"/>
      </w:pPr>
      <w:r w:rsidRPr="001F16E6">
        <w:t xml:space="preserve">The proposed delivery approach needs to ensure equitable access across Australia, including rural and remote areas. </w:t>
      </w:r>
    </w:p>
    <w:p w14:paraId="47D84573" w14:textId="77777777" w:rsidR="001F16E6" w:rsidRPr="001F16E6" w:rsidRDefault="001F16E6" w:rsidP="00EE5979">
      <w:pPr>
        <w:pStyle w:val="ListParagraph"/>
        <w:keepNext/>
        <w:keepLines/>
        <w:numPr>
          <w:ilvl w:val="0"/>
          <w:numId w:val="23"/>
        </w:numPr>
        <w:spacing w:before="0"/>
        <w:ind w:left="709"/>
      </w:pPr>
      <w:r w:rsidRPr="001F16E6">
        <w:t>Treatment delivery should be integrated with existing paediatric oncology services and local pathology services.</w:t>
      </w:r>
    </w:p>
    <w:p w14:paraId="6A5C35C5" w14:textId="582FFA87" w:rsidR="001F16E6" w:rsidRPr="001F16E6" w:rsidRDefault="001F16E6" w:rsidP="00EE5979">
      <w:pPr>
        <w:pStyle w:val="ListParagraph"/>
        <w:keepNext/>
        <w:keepLines/>
        <w:numPr>
          <w:ilvl w:val="0"/>
          <w:numId w:val="23"/>
        </w:numPr>
        <w:spacing w:before="0"/>
        <w:ind w:left="709"/>
      </w:pPr>
      <w:r w:rsidRPr="001F16E6">
        <w:t>Additional support services including comprehensive pain management, psychological support, nutritional guidance, and regular monitoring should be readily available and integrated into the treatment protocol to address the complex needs of patients.</w:t>
      </w:r>
    </w:p>
    <w:p w14:paraId="03C7A1F1" w14:textId="3C013CD1" w:rsidR="00772829" w:rsidRDefault="00772829" w:rsidP="00EE5979">
      <w:pPr>
        <w:pStyle w:val="Heading2"/>
        <w:numPr>
          <w:ilvl w:val="0"/>
          <w:numId w:val="22"/>
        </w:numPr>
        <w:ind w:hanging="720"/>
      </w:pPr>
      <w:bookmarkStart w:id="14" w:name="_Toc69491422"/>
      <w:r w:rsidRPr="00CE28E3">
        <w:t>Characteristics of the evidence base</w:t>
      </w:r>
      <w:bookmarkEnd w:id="14"/>
    </w:p>
    <w:p w14:paraId="3AAA3793" w14:textId="0E2F50EF" w:rsidR="005144E8" w:rsidRDefault="005144E8" w:rsidP="005144E8">
      <w:r w:rsidRPr="375F5CCE">
        <w:t xml:space="preserve">Although the ADAR is specifically seeking extension of the listing for DB (as DB + chemotherapy), the literature search was broader and included </w:t>
      </w:r>
      <w:proofErr w:type="spellStart"/>
      <w:r w:rsidRPr="375F5CCE">
        <w:t>dinutuximab</w:t>
      </w:r>
      <w:proofErr w:type="spellEnd"/>
      <w:r w:rsidRPr="375F5CCE">
        <w:t xml:space="preserve"> alpha (DA) (specifically studies assessing DB +</w:t>
      </w:r>
      <w:r w:rsidR="00E348F4" w:rsidRPr="375F5CCE">
        <w:t xml:space="preserve"> </w:t>
      </w:r>
      <w:r w:rsidRPr="375F5CCE">
        <w:t xml:space="preserve">chemotherapy or DA + chemotherapy). The ADAR has assumed that DB and DA </w:t>
      </w:r>
      <w:r w:rsidRPr="375F5CCE">
        <w:lastRenderedPageBreak/>
        <w:t>are interchangeable for the purpose of evaluating treatment efficacy, without demonstrating at least non-inferiority of DB to DA and despite noting the differences between the two therapies.</w:t>
      </w:r>
    </w:p>
    <w:p w14:paraId="159A8D3E" w14:textId="77777777" w:rsidR="005144E8" w:rsidRDefault="005144E8" w:rsidP="005144E8">
      <w:r w:rsidRPr="005144E8">
        <w:t xml:space="preserve">The ADAR included a total of 11 studies: </w:t>
      </w:r>
    </w:p>
    <w:p w14:paraId="5DA520E7" w14:textId="4D5487B8" w:rsidR="005144E8" w:rsidRDefault="00632A11" w:rsidP="00EE5979">
      <w:pPr>
        <w:pStyle w:val="ListParagraph"/>
        <w:numPr>
          <w:ilvl w:val="0"/>
          <w:numId w:val="14"/>
        </w:numPr>
        <w:ind w:left="284" w:hanging="284"/>
      </w:pPr>
      <w:r w:rsidRPr="375F5CCE">
        <w:t>F</w:t>
      </w:r>
      <w:r w:rsidR="005144E8" w:rsidRPr="375F5CCE">
        <w:t xml:space="preserve">our </w:t>
      </w:r>
      <w:r w:rsidRPr="375F5CCE">
        <w:t>DB</w:t>
      </w:r>
      <w:r w:rsidR="005144E8" w:rsidRPr="375F5CCE">
        <w:t xml:space="preserve"> studies</w:t>
      </w:r>
      <w:r w:rsidRPr="375F5CCE">
        <w:t>:</w:t>
      </w:r>
      <w:r w:rsidR="005144E8" w:rsidRPr="375F5CCE">
        <w:t xml:space="preserve"> one </w:t>
      </w:r>
      <w:r w:rsidR="0023059C" w:rsidRPr="375F5CCE">
        <w:t>randomised controlled trial (</w:t>
      </w:r>
      <w:r w:rsidR="005144E8" w:rsidRPr="375F5CCE">
        <w:t>RCT</w:t>
      </w:r>
      <w:r w:rsidR="008E6C49" w:rsidRPr="375F5CCE">
        <w:t xml:space="preserve">; </w:t>
      </w:r>
      <w:r w:rsidR="00C510FD" w:rsidRPr="375F5CCE">
        <w:t>BEACON-</w:t>
      </w:r>
      <w:proofErr w:type="spellStart"/>
      <w:r w:rsidR="00C510FD" w:rsidRPr="375F5CCE">
        <w:t>Immuno</w:t>
      </w:r>
      <w:proofErr w:type="spellEnd"/>
      <w:r w:rsidR="005144E8" w:rsidRPr="375F5CCE">
        <w:t>) and three single arm studies (Olgun 2022, Raiser 2024, Wieczorek 2023</w:t>
      </w:r>
      <w:proofErr w:type="gramStart"/>
      <w:r w:rsidR="005144E8" w:rsidRPr="375F5CCE">
        <w:t>);</w:t>
      </w:r>
      <w:proofErr w:type="gramEnd"/>
    </w:p>
    <w:p w14:paraId="0AF9F703" w14:textId="3B37AF93" w:rsidR="005144E8" w:rsidRDefault="00632A11" w:rsidP="00EE5979">
      <w:pPr>
        <w:pStyle w:val="ListParagraph"/>
        <w:numPr>
          <w:ilvl w:val="0"/>
          <w:numId w:val="14"/>
        </w:numPr>
        <w:ind w:left="284" w:hanging="284"/>
      </w:pPr>
      <w:r>
        <w:t>T</w:t>
      </w:r>
      <w:r w:rsidR="005144E8" w:rsidRPr="005144E8">
        <w:t>hree DA studies</w:t>
      </w:r>
      <w:r>
        <w:t>:</w:t>
      </w:r>
      <w:r w:rsidR="005144E8" w:rsidRPr="005144E8">
        <w:t xml:space="preserve"> one RCT and </w:t>
      </w:r>
      <w:r w:rsidR="005144E8">
        <w:t>its</w:t>
      </w:r>
      <w:r w:rsidR="005144E8" w:rsidRPr="005144E8">
        <w:t xml:space="preserve"> extension study </w:t>
      </w:r>
      <w:r w:rsidR="005144E8">
        <w:t>(ANBL 12</w:t>
      </w:r>
      <w:r w:rsidR="00E17E66">
        <w:t>2</w:t>
      </w:r>
      <w:r w:rsidR="005144E8">
        <w:t>1</w:t>
      </w:r>
      <w:r w:rsidR="000D6443">
        <w:rPr>
          <w:rStyle w:val="FootnoteReference"/>
        </w:rPr>
        <w:footnoteReference w:id="12"/>
      </w:r>
      <w:r w:rsidR="005144E8">
        <w:t>), one comparative cohort study (Sydney Children’s Hospital [SCH] 2024</w:t>
      </w:r>
      <w:r w:rsidR="003543DD">
        <w:rPr>
          <w:rStyle w:val="FootnoteReference"/>
        </w:rPr>
        <w:footnoteReference w:id="13"/>
      </w:r>
      <w:r w:rsidR="005144E8">
        <w:t xml:space="preserve">) </w:t>
      </w:r>
      <w:r w:rsidR="005144E8" w:rsidRPr="005144E8">
        <w:t xml:space="preserve">and </w:t>
      </w:r>
      <w:r w:rsidR="005144E8">
        <w:t>one</w:t>
      </w:r>
      <w:r w:rsidR="005144E8" w:rsidRPr="005144E8">
        <w:t xml:space="preserve"> single arm stud</w:t>
      </w:r>
      <w:r w:rsidR="005144E8">
        <w:t>y (Lerman 2023</w:t>
      </w:r>
      <w:r w:rsidR="002B38DC">
        <w:rPr>
          <w:rStyle w:val="FootnoteReference"/>
        </w:rPr>
        <w:footnoteReference w:id="14"/>
      </w:r>
      <w:r w:rsidR="005144E8" w:rsidRPr="005144E8">
        <w:t>)</w:t>
      </w:r>
      <w:r w:rsidR="005144E8">
        <w:t>;</w:t>
      </w:r>
      <w:r w:rsidR="005144E8" w:rsidRPr="005144E8">
        <w:t xml:space="preserve"> and </w:t>
      </w:r>
    </w:p>
    <w:p w14:paraId="34E5ED2F" w14:textId="1FE54E16" w:rsidR="005144E8" w:rsidRDefault="004B0679" w:rsidP="00EE5979">
      <w:pPr>
        <w:pStyle w:val="ListParagraph"/>
        <w:numPr>
          <w:ilvl w:val="0"/>
          <w:numId w:val="14"/>
        </w:numPr>
        <w:ind w:left="284" w:hanging="284"/>
      </w:pPr>
      <w:r w:rsidRPr="375F5CCE">
        <w:t>F</w:t>
      </w:r>
      <w:r w:rsidR="005144E8" w:rsidRPr="375F5CCE">
        <w:t>our chemotherapy alone studies</w:t>
      </w:r>
      <w:r w:rsidRPr="375F5CCE">
        <w:t>:</w:t>
      </w:r>
      <w:r w:rsidR="005144E8" w:rsidRPr="375F5CCE">
        <w:t xml:space="preserve"> one RCT (BEACON-1) and three single arm studies (</w:t>
      </w:r>
      <w:proofErr w:type="spellStart"/>
      <w:r w:rsidR="0020240C" w:rsidRPr="375F5CCE">
        <w:t>Bagatell</w:t>
      </w:r>
      <w:proofErr w:type="spellEnd"/>
      <w:r w:rsidR="005144E8" w:rsidRPr="375F5CCE">
        <w:t xml:space="preserve"> 2011</w:t>
      </w:r>
      <w:r w:rsidR="00B71DC1">
        <w:rPr>
          <w:rStyle w:val="FootnoteReference"/>
        </w:rPr>
        <w:footnoteReference w:id="15"/>
      </w:r>
      <w:r w:rsidR="005144E8" w:rsidRPr="375F5CCE">
        <w:t xml:space="preserve">, </w:t>
      </w:r>
      <w:proofErr w:type="spellStart"/>
      <w:r w:rsidR="005144E8" w:rsidRPr="375F5CCE">
        <w:t>DiGiannatale</w:t>
      </w:r>
      <w:proofErr w:type="spellEnd"/>
      <w:r w:rsidR="005144E8" w:rsidRPr="375F5CCE">
        <w:t xml:space="preserve"> 2014</w:t>
      </w:r>
      <w:r w:rsidR="00B71DC1">
        <w:rPr>
          <w:rStyle w:val="FootnoteReference"/>
        </w:rPr>
        <w:footnoteReference w:id="16"/>
      </w:r>
      <w:r w:rsidR="005144E8" w:rsidRPr="375F5CCE">
        <w:t>, DuBois 2018</w:t>
      </w:r>
      <w:r w:rsidR="00BE0603">
        <w:rPr>
          <w:rStyle w:val="FootnoteReference"/>
        </w:rPr>
        <w:footnoteReference w:id="17"/>
      </w:r>
      <w:r w:rsidR="005144E8" w:rsidRPr="375F5CCE">
        <w:t>).</w:t>
      </w:r>
    </w:p>
    <w:p w14:paraId="5B057527" w14:textId="7BAD9CEC" w:rsidR="00651191" w:rsidRDefault="00651191" w:rsidP="00651191">
      <w:r>
        <w:t>Details of the</w:t>
      </w:r>
      <w:r w:rsidR="00A12183">
        <w:t xml:space="preserve"> included</w:t>
      </w:r>
      <w:r>
        <w:t xml:space="preserve"> trials and studies are provided in </w:t>
      </w:r>
      <w:r w:rsidR="00A12183">
        <w:fldChar w:fldCharType="begin"/>
      </w:r>
      <w:r w:rsidR="00A12183">
        <w:instrText xml:space="preserve"> REF _Ref184233596 \h </w:instrText>
      </w:r>
      <w:r w:rsidR="00A12183">
        <w:fldChar w:fldCharType="separate"/>
      </w:r>
      <w:r w:rsidR="00C02A66">
        <w:t xml:space="preserve">Table </w:t>
      </w:r>
      <w:r w:rsidR="00C02A66">
        <w:rPr>
          <w:noProof/>
        </w:rPr>
        <w:t>2</w:t>
      </w:r>
      <w:r w:rsidR="00A12183">
        <w:fldChar w:fldCharType="end"/>
      </w:r>
      <w:r w:rsidR="00A12183">
        <w:t>.</w:t>
      </w:r>
    </w:p>
    <w:p w14:paraId="2A3B09E0" w14:textId="4E69F747" w:rsidR="00651191" w:rsidRDefault="00651191" w:rsidP="00854C94">
      <w:pPr>
        <w:pStyle w:val="Caption"/>
      </w:pPr>
      <w:bookmarkStart w:id="15" w:name="_Ref184233596"/>
      <w:r>
        <w:lastRenderedPageBreak/>
        <w:t xml:space="preserve">Table </w:t>
      </w:r>
      <w:r>
        <w:fldChar w:fldCharType="begin"/>
      </w:r>
      <w:r>
        <w:instrText>SEQ Table \* ARABIC</w:instrText>
      </w:r>
      <w:r>
        <w:fldChar w:fldCharType="separate"/>
      </w:r>
      <w:r w:rsidR="00C02A66">
        <w:rPr>
          <w:noProof/>
        </w:rPr>
        <w:t>2</w:t>
      </w:r>
      <w:r>
        <w:fldChar w:fldCharType="end"/>
      </w:r>
      <w:bookmarkEnd w:id="15"/>
      <w:r>
        <w:tab/>
      </w:r>
      <w:r w:rsidR="00F20975">
        <w:t>Summary of trial and study characteristics</w:t>
      </w:r>
    </w:p>
    <w:tbl>
      <w:tblPr>
        <w:tblStyle w:val="TableGrid"/>
        <w:tblW w:w="0" w:type="auto"/>
        <w:tblCellMar>
          <w:left w:w="28" w:type="dxa"/>
          <w:right w:w="28" w:type="dxa"/>
        </w:tblCellMar>
        <w:tblLook w:val="04A0" w:firstRow="1" w:lastRow="0" w:firstColumn="1" w:lastColumn="0" w:noHBand="0" w:noVBand="1"/>
      </w:tblPr>
      <w:tblGrid>
        <w:gridCol w:w="1830"/>
        <w:gridCol w:w="433"/>
        <w:gridCol w:w="888"/>
        <w:gridCol w:w="2373"/>
        <w:gridCol w:w="1701"/>
        <w:gridCol w:w="1417"/>
      </w:tblGrid>
      <w:tr w:rsidR="00E012DE" w:rsidRPr="00F20975" w14:paraId="6EDC6DE4" w14:textId="77777777" w:rsidTr="375F5CCE">
        <w:trPr>
          <w:tblHeader/>
        </w:trPr>
        <w:tc>
          <w:tcPr>
            <w:tcW w:w="1830" w:type="dxa"/>
          </w:tcPr>
          <w:p w14:paraId="689FAFF0" w14:textId="77777777" w:rsidR="00E012DE" w:rsidRPr="00F20975" w:rsidRDefault="00E012DE" w:rsidP="00854C94">
            <w:pPr>
              <w:keepNext/>
              <w:spacing w:before="40" w:after="40"/>
              <w:rPr>
                <w:rFonts w:ascii="Arial Narrow" w:hAnsi="Arial Narrow"/>
                <w:sz w:val="20"/>
                <w:szCs w:val="20"/>
              </w:rPr>
            </w:pPr>
            <w:bookmarkStart w:id="16" w:name="_Hlk198907349"/>
          </w:p>
        </w:tc>
        <w:tc>
          <w:tcPr>
            <w:tcW w:w="433" w:type="dxa"/>
            <w:vAlign w:val="center"/>
          </w:tcPr>
          <w:p w14:paraId="512D7BC7" w14:textId="55924D94" w:rsidR="00E012DE" w:rsidRPr="00F20975" w:rsidRDefault="00E012DE" w:rsidP="00854C94">
            <w:pPr>
              <w:keepNext/>
              <w:spacing w:before="40" w:after="40"/>
              <w:jc w:val="center"/>
              <w:rPr>
                <w:rFonts w:ascii="Arial Narrow" w:hAnsi="Arial Narrow"/>
                <w:b/>
                <w:bCs/>
                <w:sz w:val="20"/>
                <w:szCs w:val="20"/>
              </w:rPr>
            </w:pPr>
            <w:r w:rsidRPr="00F20975">
              <w:rPr>
                <w:rFonts w:ascii="Arial Narrow" w:hAnsi="Arial Narrow"/>
                <w:b/>
                <w:bCs/>
                <w:sz w:val="20"/>
                <w:szCs w:val="20"/>
              </w:rPr>
              <w:t>N</w:t>
            </w:r>
          </w:p>
        </w:tc>
        <w:tc>
          <w:tcPr>
            <w:tcW w:w="888" w:type="dxa"/>
            <w:vAlign w:val="center"/>
          </w:tcPr>
          <w:p w14:paraId="58F26938" w14:textId="179FA74D" w:rsidR="00E012DE" w:rsidRPr="00F20975" w:rsidRDefault="00E012DE" w:rsidP="00854C94">
            <w:pPr>
              <w:keepNext/>
              <w:spacing w:before="40" w:after="40"/>
              <w:jc w:val="center"/>
              <w:rPr>
                <w:rFonts w:ascii="Arial Narrow" w:hAnsi="Arial Narrow"/>
                <w:b/>
                <w:bCs/>
                <w:sz w:val="20"/>
                <w:szCs w:val="20"/>
              </w:rPr>
            </w:pPr>
            <w:r>
              <w:rPr>
                <w:rFonts w:ascii="Arial Narrow" w:hAnsi="Arial Narrow"/>
                <w:b/>
                <w:bCs/>
                <w:sz w:val="20"/>
                <w:szCs w:val="20"/>
              </w:rPr>
              <w:t>Design</w:t>
            </w:r>
          </w:p>
        </w:tc>
        <w:tc>
          <w:tcPr>
            <w:tcW w:w="2373" w:type="dxa"/>
            <w:vAlign w:val="center"/>
          </w:tcPr>
          <w:p w14:paraId="66BB60B5" w14:textId="7A90091E" w:rsidR="00E012DE" w:rsidRPr="00F20975" w:rsidRDefault="00E012DE" w:rsidP="00854C94">
            <w:pPr>
              <w:keepNext/>
              <w:spacing w:before="40" w:after="40"/>
              <w:jc w:val="center"/>
              <w:rPr>
                <w:rFonts w:ascii="Arial Narrow" w:hAnsi="Arial Narrow"/>
                <w:b/>
                <w:bCs/>
                <w:sz w:val="20"/>
                <w:szCs w:val="20"/>
              </w:rPr>
            </w:pPr>
            <w:r w:rsidRPr="00F20975">
              <w:rPr>
                <w:rFonts w:ascii="Arial Narrow" w:hAnsi="Arial Narrow"/>
                <w:b/>
                <w:bCs/>
                <w:sz w:val="20"/>
                <w:szCs w:val="20"/>
              </w:rPr>
              <w:t>Intervention (n)</w:t>
            </w:r>
          </w:p>
        </w:tc>
        <w:tc>
          <w:tcPr>
            <w:tcW w:w="1701" w:type="dxa"/>
            <w:vAlign w:val="center"/>
          </w:tcPr>
          <w:p w14:paraId="3D79F804" w14:textId="02BACAEC" w:rsidR="00E012DE" w:rsidRPr="00F20975" w:rsidRDefault="00E012DE" w:rsidP="00854C94">
            <w:pPr>
              <w:keepNext/>
              <w:spacing w:before="40" w:after="40"/>
              <w:jc w:val="center"/>
              <w:rPr>
                <w:rFonts w:ascii="Arial Narrow" w:hAnsi="Arial Narrow"/>
                <w:b/>
                <w:bCs/>
                <w:sz w:val="20"/>
                <w:szCs w:val="20"/>
              </w:rPr>
            </w:pPr>
            <w:r w:rsidRPr="00F20975">
              <w:rPr>
                <w:rFonts w:ascii="Arial Narrow" w:hAnsi="Arial Narrow"/>
                <w:b/>
                <w:bCs/>
                <w:sz w:val="20"/>
                <w:szCs w:val="20"/>
              </w:rPr>
              <w:t>Comparator (n)</w:t>
            </w:r>
          </w:p>
        </w:tc>
        <w:tc>
          <w:tcPr>
            <w:tcW w:w="1417" w:type="dxa"/>
            <w:vAlign w:val="center"/>
          </w:tcPr>
          <w:p w14:paraId="0B2C7963" w14:textId="1D067F8A" w:rsidR="00E012DE" w:rsidRPr="00F20975" w:rsidRDefault="00E012DE" w:rsidP="00854C94">
            <w:pPr>
              <w:keepNext/>
              <w:spacing w:before="40" w:after="40"/>
              <w:jc w:val="center"/>
              <w:rPr>
                <w:rFonts w:ascii="Arial Narrow" w:hAnsi="Arial Narrow"/>
                <w:b/>
                <w:bCs/>
                <w:sz w:val="20"/>
                <w:szCs w:val="20"/>
              </w:rPr>
            </w:pPr>
            <w:r>
              <w:rPr>
                <w:rFonts w:ascii="Arial Narrow" w:hAnsi="Arial Narrow"/>
                <w:b/>
                <w:bCs/>
                <w:sz w:val="20"/>
                <w:szCs w:val="20"/>
              </w:rPr>
              <w:t>Relapsed: Refractory (%)</w:t>
            </w:r>
          </w:p>
        </w:tc>
      </w:tr>
      <w:bookmarkEnd w:id="16"/>
      <w:tr w:rsidR="00E012DE" w:rsidRPr="00F20975" w14:paraId="106D9856" w14:textId="77777777" w:rsidTr="375F5CCE">
        <w:tc>
          <w:tcPr>
            <w:tcW w:w="1830" w:type="dxa"/>
            <w:tcBorders>
              <w:right w:val="nil"/>
            </w:tcBorders>
          </w:tcPr>
          <w:p w14:paraId="42082023" w14:textId="0C76B166" w:rsidR="00E012DE" w:rsidRPr="00F20975" w:rsidRDefault="00E012DE" w:rsidP="00854C94">
            <w:pPr>
              <w:keepNext/>
              <w:spacing w:before="40" w:after="40"/>
              <w:rPr>
                <w:rFonts w:ascii="Arial Narrow" w:hAnsi="Arial Narrow"/>
                <w:b/>
                <w:bCs/>
                <w:sz w:val="20"/>
                <w:szCs w:val="20"/>
              </w:rPr>
            </w:pPr>
            <w:r w:rsidRPr="00F20975">
              <w:rPr>
                <w:rFonts w:ascii="Arial Narrow" w:hAnsi="Arial Narrow"/>
                <w:b/>
                <w:bCs/>
                <w:sz w:val="20"/>
                <w:szCs w:val="20"/>
              </w:rPr>
              <w:t>DB studies</w:t>
            </w:r>
          </w:p>
        </w:tc>
        <w:tc>
          <w:tcPr>
            <w:tcW w:w="433" w:type="dxa"/>
            <w:tcBorders>
              <w:left w:val="nil"/>
              <w:right w:val="nil"/>
            </w:tcBorders>
            <w:vAlign w:val="center"/>
          </w:tcPr>
          <w:p w14:paraId="4CC5ADFD" w14:textId="77777777" w:rsidR="00E012DE" w:rsidRDefault="00E012DE" w:rsidP="00854C94">
            <w:pPr>
              <w:keepNext/>
              <w:spacing w:before="40" w:after="40"/>
              <w:jc w:val="center"/>
              <w:rPr>
                <w:rFonts w:ascii="Arial Narrow" w:hAnsi="Arial Narrow"/>
                <w:sz w:val="20"/>
                <w:szCs w:val="20"/>
              </w:rPr>
            </w:pPr>
          </w:p>
        </w:tc>
        <w:tc>
          <w:tcPr>
            <w:tcW w:w="888" w:type="dxa"/>
            <w:tcBorders>
              <w:left w:val="nil"/>
              <w:right w:val="nil"/>
            </w:tcBorders>
            <w:vAlign w:val="center"/>
          </w:tcPr>
          <w:p w14:paraId="56B0A37E" w14:textId="77777777" w:rsidR="00E012DE" w:rsidRDefault="00E012DE" w:rsidP="00854C94">
            <w:pPr>
              <w:keepNext/>
              <w:spacing w:before="40" w:after="40"/>
              <w:jc w:val="center"/>
              <w:rPr>
                <w:rFonts w:ascii="Arial Narrow" w:hAnsi="Arial Narrow"/>
                <w:sz w:val="20"/>
                <w:szCs w:val="20"/>
              </w:rPr>
            </w:pPr>
          </w:p>
        </w:tc>
        <w:tc>
          <w:tcPr>
            <w:tcW w:w="2373" w:type="dxa"/>
            <w:tcBorders>
              <w:left w:val="nil"/>
              <w:right w:val="nil"/>
            </w:tcBorders>
          </w:tcPr>
          <w:p w14:paraId="517CF7C8" w14:textId="77777777" w:rsidR="00E012DE" w:rsidRDefault="00E012DE" w:rsidP="00854C94">
            <w:pPr>
              <w:keepNext/>
              <w:spacing w:before="40" w:after="40"/>
              <w:rPr>
                <w:rFonts w:ascii="Arial Narrow" w:hAnsi="Arial Narrow"/>
                <w:sz w:val="20"/>
                <w:szCs w:val="20"/>
              </w:rPr>
            </w:pPr>
          </w:p>
        </w:tc>
        <w:tc>
          <w:tcPr>
            <w:tcW w:w="1701" w:type="dxa"/>
            <w:tcBorders>
              <w:left w:val="nil"/>
              <w:right w:val="nil"/>
            </w:tcBorders>
          </w:tcPr>
          <w:p w14:paraId="423A99C9" w14:textId="77777777" w:rsidR="00E012DE" w:rsidRPr="00F20975" w:rsidRDefault="00E012DE" w:rsidP="00854C94">
            <w:pPr>
              <w:keepNext/>
              <w:spacing w:before="40" w:after="40"/>
              <w:rPr>
                <w:rFonts w:ascii="Arial Narrow" w:hAnsi="Arial Narrow"/>
                <w:sz w:val="20"/>
                <w:szCs w:val="20"/>
              </w:rPr>
            </w:pPr>
          </w:p>
        </w:tc>
        <w:tc>
          <w:tcPr>
            <w:tcW w:w="1417" w:type="dxa"/>
            <w:tcBorders>
              <w:left w:val="nil"/>
              <w:right w:val="single" w:sz="4" w:space="0" w:color="auto"/>
            </w:tcBorders>
            <w:vAlign w:val="center"/>
          </w:tcPr>
          <w:p w14:paraId="5D2A7D99" w14:textId="77777777" w:rsidR="00E012DE" w:rsidRPr="00F20975" w:rsidRDefault="00E012DE" w:rsidP="00854C94">
            <w:pPr>
              <w:keepNext/>
              <w:spacing w:before="40" w:after="40"/>
              <w:jc w:val="center"/>
              <w:rPr>
                <w:rFonts w:ascii="Arial Narrow" w:hAnsi="Arial Narrow"/>
                <w:sz w:val="20"/>
                <w:szCs w:val="20"/>
              </w:rPr>
            </w:pPr>
          </w:p>
        </w:tc>
      </w:tr>
      <w:tr w:rsidR="00E012DE" w:rsidRPr="00F20975" w14:paraId="6DCD4548" w14:textId="77777777" w:rsidTr="375F5CCE">
        <w:tc>
          <w:tcPr>
            <w:tcW w:w="1830" w:type="dxa"/>
            <w:vAlign w:val="center"/>
          </w:tcPr>
          <w:p w14:paraId="1970AB9B" w14:textId="7A723A78" w:rsidR="00E012DE" w:rsidRPr="00F20975" w:rsidRDefault="00C510FD" w:rsidP="375F5CCE">
            <w:pPr>
              <w:keepNext/>
              <w:spacing w:before="40" w:after="40"/>
              <w:rPr>
                <w:rFonts w:ascii="Arial Narrow" w:hAnsi="Arial Narrow"/>
                <w:sz w:val="20"/>
                <w:szCs w:val="20"/>
              </w:rPr>
            </w:pPr>
            <w:r w:rsidRPr="375F5CCE">
              <w:rPr>
                <w:rFonts w:ascii="Arial Narrow" w:hAnsi="Arial Narrow"/>
                <w:sz w:val="20"/>
                <w:szCs w:val="20"/>
              </w:rPr>
              <w:t>BEACON-</w:t>
            </w:r>
            <w:proofErr w:type="spellStart"/>
            <w:r w:rsidRPr="375F5CCE">
              <w:rPr>
                <w:rFonts w:ascii="Arial Narrow" w:hAnsi="Arial Narrow"/>
                <w:sz w:val="20"/>
                <w:szCs w:val="20"/>
              </w:rPr>
              <w:t>Immuno</w:t>
            </w:r>
            <w:proofErr w:type="spellEnd"/>
          </w:p>
        </w:tc>
        <w:tc>
          <w:tcPr>
            <w:tcW w:w="433" w:type="dxa"/>
            <w:vAlign w:val="center"/>
          </w:tcPr>
          <w:p w14:paraId="127422D1" w14:textId="17835020"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65</w:t>
            </w:r>
          </w:p>
        </w:tc>
        <w:tc>
          <w:tcPr>
            <w:tcW w:w="888" w:type="dxa"/>
            <w:vAlign w:val="center"/>
          </w:tcPr>
          <w:p w14:paraId="0C6866AC" w14:textId="1840C118"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RCT, OL</w:t>
            </w:r>
          </w:p>
        </w:tc>
        <w:tc>
          <w:tcPr>
            <w:tcW w:w="2373" w:type="dxa"/>
            <w:vAlign w:val="center"/>
          </w:tcPr>
          <w:p w14:paraId="1C37978C" w14:textId="53077F7F"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DB + TOTEM (43)</w:t>
            </w:r>
          </w:p>
        </w:tc>
        <w:tc>
          <w:tcPr>
            <w:tcW w:w="1701" w:type="dxa"/>
            <w:vAlign w:val="center"/>
          </w:tcPr>
          <w:p w14:paraId="1BBD9F24" w14:textId="61B31B15"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TOTEM (22)</w:t>
            </w:r>
          </w:p>
        </w:tc>
        <w:tc>
          <w:tcPr>
            <w:tcW w:w="1417" w:type="dxa"/>
            <w:vAlign w:val="center"/>
          </w:tcPr>
          <w:p w14:paraId="548EF447" w14:textId="236B3D19"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55:45</w:t>
            </w:r>
          </w:p>
        </w:tc>
      </w:tr>
      <w:tr w:rsidR="00E012DE" w:rsidRPr="00F20975" w14:paraId="4AB3A152" w14:textId="77777777" w:rsidTr="375F5CCE">
        <w:tc>
          <w:tcPr>
            <w:tcW w:w="1830" w:type="dxa"/>
            <w:vAlign w:val="center"/>
          </w:tcPr>
          <w:p w14:paraId="76E7D849" w14:textId="7E0C3323" w:rsidR="00E012DE" w:rsidRPr="00F20975" w:rsidRDefault="00E012DE" w:rsidP="00854C94">
            <w:pPr>
              <w:keepNext/>
              <w:spacing w:before="40" w:after="40"/>
              <w:rPr>
                <w:rFonts w:ascii="Arial Narrow" w:hAnsi="Arial Narrow"/>
                <w:sz w:val="20"/>
                <w:szCs w:val="20"/>
              </w:rPr>
            </w:pPr>
            <w:r>
              <w:rPr>
                <w:rFonts w:ascii="Arial Narrow" w:hAnsi="Arial Narrow"/>
                <w:sz w:val="20"/>
                <w:szCs w:val="20"/>
              </w:rPr>
              <w:t>Olgun 2022</w:t>
            </w:r>
          </w:p>
        </w:tc>
        <w:tc>
          <w:tcPr>
            <w:tcW w:w="433" w:type="dxa"/>
            <w:vAlign w:val="center"/>
          </w:tcPr>
          <w:p w14:paraId="37614F8C" w14:textId="2ADB2A28"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19</w:t>
            </w:r>
          </w:p>
        </w:tc>
        <w:tc>
          <w:tcPr>
            <w:tcW w:w="888" w:type="dxa"/>
            <w:vAlign w:val="center"/>
          </w:tcPr>
          <w:p w14:paraId="2B357E69" w14:textId="042B41F1"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3E3F3FBC" w14:textId="0A05B1E1"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DB + TEMIRI (most common, although other chemotherapy regimens allowed)</w:t>
            </w:r>
          </w:p>
        </w:tc>
        <w:tc>
          <w:tcPr>
            <w:tcW w:w="1701" w:type="dxa"/>
            <w:vAlign w:val="center"/>
          </w:tcPr>
          <w:p w14:paraId="1B7CF4FA" w14:textId="1785B1EC"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417" w:type="dxa"/>
            <w:vAlign w:val="center"/>
          </w:tcPr>
          <w:p w14:paraId="23CEE0F5" w14:textId="581E6A42"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47:53</w:t>
            </w:r>
          </w:p>
        </w:tc>
      </w:tr>
      <w:tr w:rsidR="00E012DE" w:rsidRPr="00F20975" w14:paraId="4C599E8A" w14:textId="77777777" w:rsidTr="375F5CCE">
        <w:tc>
          <w:tcPr>
            <w:tcW w:w="1830" w:type="dxa"/>
            <w:vAlign w:val="center"/>
          </w:tcPr>
          <w:p w14:paraId="6840A592" w14:textId="16DE4F73" w:rsidR="00E012DE" w:rsidRPr="00F20975" w:rsidRDefault="00E012DE" w:rsidP="00854C94">
            <w:pPr>
              <w:keepNext/>
              <w:spacing w:before="40" w:after="40"/>
              <w:rPr>
                <w:rFonts w:ascii="Arial Narrow" w:hAnsi="Arial Narrow"/>
                <w:sz w:val="20"/>
                <w:szCs w:val="20"/>
              </w:rPr>
            </w:pPr>
            <w:r>
              <w:rPr>
                <w:rFonts w:ascii="Arial Narrow" w:hAnsi="Arial Narrow"/>
                <w:sz w:val="20"/>
                <w:szCs w:val="20"/>
              </w:rPr>
              <w:t>Raiser 2024</w:t>
            </w:r>
          </w:p>
        </w:tc>
        <w:tc>
          <w:tcPr>
            <w:tcW w:w="433" w:type="dxa"/>
            <w:vAlign w:val="center"/>
          </w:tcPr>
          <w:p w14:paraId="131CC9A1" w14:textId="6F0FA999"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39</w:t>
            </w:r>
          </w:p>
        </w:tc>
        <w:tc>
          <w:tcPr>
            <w:tcW w:w="888" w:type="dxa"/>
            <w:vAlign w:val="center"/>
          </w:tcPr>
          <w:p w14:paraId="526FD511" w14:textId="2490F0B3"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274DD421" w14:textId="616C0211" w:rsidR="00E012DE" w:rsidRPr="00F20975" w:rsidRDefault="00E012DE" w:rsidP="375F5CCE">
            <w:pPr>
              <w:keepNext/>
              <w:spacing w:before="40" w:after="40"/>
              <w:jc w:val="center"/>
              <w:rPr>
                <w:rFonts w:ascii="Arial Narrow" w:hAnsi="Arial Narrow"/>
                <w:sz w:val="20"/>
                <w:szCs w:val="20"/>
              </w:rPr>
            </w:pPr>
            <w:r w:rsidRPr="375F5CCE">
              <w:rPr>
                <w:rFonts w:ascii="Arial Narrow" w:hAnsi="Arial Narrow"/>
                <w:sz w:val="20"/>
                <w:szCs w:val="20"/>
              </w:rPr>
              <w:t>DB + TOTEM/TEMIRI (15)/</w:t>
            </w:r>
            <w:r>
              <w:br/>
            </w:r>
            <w:r w:rsidRPr="375F5CCE">
              <w:rPr>
                <w:rFonts w:ascii="Arial Narrow" w:hAnsi="Arial Narrow"/>
                <w:sz w:val="20"/>
                <w:szCs w:val="20"/>
              </w:rPr>
              <w:t xml:space="preserve">DB + </w:t>
            </w:r>
            <w:proofErr w:type="spellStart"/>
            <w:r w:rsidRPr="375F5CCE">
              <w:rPr>
                <w:rFonts w:ascii="Arial Narrow" w:hAnsi="Arial Narrow"/>
                <w:sz w:val="20"/>
                <w:szCs w:val="20"/>
              </w:rPr>
              <w:t>topo</w:t>
            </w:r>
            <w:proofErr w:type="spellEnd"/>
            <w:r w:rsidRPr="375F5CCE">
              <w:rPr>
                <w:rFonts w:ascii="Arial Narrow" w:hAnsi="Arial Narrow"/>
                <w:sz w:val="20"/>
                <w:szCs w:val="20"/>
              </w:rPr>
              <w:t xml:space="preserve"> + </w:t>
            </w:r>
            <w:proofErr w:type="spellStart"/>
            <w:r w:rsidRPr="375F5CCE">
              <w:rPr>
                <w:rFonts w:ascii="Arial Narrow" w:hAnsi="Arial Narrow"/>
                <w:sz w:val="20"/>
                <w:szCs w:val="20"/>
              </w:rPr>
              <w:t>cyclo</w:t>
            </w:r>
            <w:proofErr w:type="spellEnd"/>
            <w:r w:rsidRPr="375F5CCE">
              <w:rPr>
                <w:rFonts w:ascii="Arial Narrow" w:hAnsi="Arial Narrow"/>
                <w:sz w:val="20"/>
                <w:szCs w:val="20"/>
              </w:rPr>
              <w:t xml:space="preserve"> (24)</w:t>
            </w:r>
          </w:p>
        </w:tc>
        <w:tc>
          <w:tcPr>
            <w:tcW w:w="1701" w:type="dxa"/>
            <w:vAlign w:val="center"/>
          </w:tcPr>
          <w:p w14:paraId="6FCFBF7E" w14:textId="2DCF259C"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417" w:type="dxa"/>
            <w:vAlign w:val="center"/>
          </w:tcPr>
          <w:p w14:paraId="0FF225E2" w14:textId="4A5C05AE"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100:0</w:t>
            </w:r>
          </w:p>
        </w:tc>
      </w:tr>
      <w:tr w:rsidR="00E012DE" w:rsidRPr="00F20975" w14:paraId="034E7133" w14:textId="77777777" w:rsidTr="375F5CCE">
        <w:tc>
          <w:tcPr>
            <w:tcW w:w="1830" w:type="dxa"/>
          </w:tcPr>
          <w:p w14:paraId="2523E056" w14:textId="75757642" w:rsidR="00E012DE" w:rsidRPr="00F20975" w:rsidRDefault="00E012DE" w:rsidP="00854C94">
            <w:pPr>
              <w:keepNext/>
              <w:spacing w:before="40" w:after="40"/>
              <w:rPr>
                <w:rFonts w:ascii="Arial Narrow" w:hAnsi="Arial Narrow"/>
                <w:sz w:val="20"/>
                <w:szCs w:val="20"/>
              </w:rPr>
            </w:pPr>
            <w:r>
              <w:rPr>
                <w:rFonts w:ascii="Arial Narrow" w:hAnsi="Arial Narrow"/>
                <w:sz w:val="20"/>
                <w:szCs w:val="20"/>
              </w:rPr>
              <w:t>Wieczorek 2023</w:t>
            </w:r>
          </w:p>
        </w:tc>
        <w:tc>
          <w:tcPr>
            <w:tcW w:w="433" w:type="dxa"/>
            <w:vAlign w:val="center"/>
          </w:tcPr>
          <w:p w14:paraId="6C6212AA" w14:textId="50ABB1E1"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25</w:t>
            </w:r>
          </w:p>
        </w:tc>
        <w:tc>
          <w:tcPr>
            <w:tcW w:w="888" w:type="dxa"/>
            <w:vAlign w:val="center"/>
          </w:tcPr>
          <w:p w14:paraId="0972F248" w14:textId="669E328E"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19C564A3" w14:textId="6A4D2D48"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DB + TEMIRI</w:t>
            </w:r>
          </w:p>
        </w:tc>
        <w:tc>
          <w:tcPr>
            <w:tcW w:w="1701" w:type="dxa"/>
            <w:vAlign w:val="center"/>
          </w:tcPr>
          <w:p w14:paraId="44B288B2" w14:textId="7EE28E36"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417" w:type="dxa"/>
            <w:vAlign w:val="center"/>
          </w:tcPr>
          <w:p w14:paraId="1032F972" w14:textId="286A4D1B"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80:20</w:t>
            </w:r>
          </w:p>
        </w:tc>
      </w:tr>
      <w:tr w:rsidR="00E012DE" w:rsidRPr="00F20975" w14:paraId="166BDF16" w14:textId="77777777" w:rsidTr="375F5CCE">
        <w:tc>
          <w:tcPr>
            <w:tcW w:w="1830" w:type="dxa"/>
            <w:tcBorders>
              <w:right w:val="nil"/>
            </w:tcBorders>
          </w:tcPr>
          <w:p w14:paraId="4420F0F7" w14:textId="67001443" w:rsidR="00E012DE" w:rsidRPr="00F20975" w:rsidRDefault="00E012DE" w:rsidP="00854C94">
            <w:pPr>
              <w:keepNext/>
              <w:spacing w:before="40" w:after="40"/>
              <w:rPr>
                <w:rFonts w:ascii="Arial Narrow" w:hAnsi="Arial Narrow"/>
                <w:b/>
                <w:bCs/>
                <w:sz w:val="20"/>
                <w:szCs w:val="20"/>
              </w:rPr>
            </w:pPr>
            <w:r>
              <w:rPr>
                <w:rFonts w:ascii="Arial Narrow" w:hAnsi="Arial Narrow"/>
                <w:b/>
                <w:bCs/>
                <w:sz w:val="20"/>
                <w:szCs w:val="20"/>
              </w:rPr>
              <w:t>DA studies</w:t>
            </w:r>
          </w:p>
        </w:tc>
        <w:tc>
          <w:tcPr>
            <w:tcW w:w="433" w:type="dxa"/>
            <w:tcBorders>
              <w:left w:val="nil"/>
              <w:right w:val="nil"/>
            </w:tcBorders>
            <w:vAlign w:val="center"/>
          </w:tcPr>
          <w:p w14:paraId="3EC8FFC8" w14:textId="77777777" w:rsidR="00E012DE" w:rsidRDefault="00E012DE" w:rsidP="00854C94">
            <w:pPr>
              <w:keepNext/>
              <w:spacing w:before="40" w:after="40"/>
              <w:jc w:val="center"/>
              <w:rPr>
                <w:rFonts w:ascii="Arial Narrow" w:hAnsi="Arial Narrow"/>
                <w:sz w:val="20"/>
                <w:szCs w:val="20"/>
              </w:rPr>
            </w:pPr>
          </w:p>
        </w:tc>
        <w:tc>
          <w:tcPr>
            <w:tcW w:w="888" w:type="dxa"/>
            <w:tcBorders>
              <w:left w:val="nil"/>
              <w:right w:val="nil"/>
            </w:tcBorders>
            <w:vAlign w:val="center"/>
          </w:tcPr>
          <w:p w14:paraId="40098382" w14:textId="77777777" w:rsidR="00E012DE" w:rsidRDefault="00E012DE" w:rsidP="00854C94">
            <w:pPr>
              <w:keepNext/>
              <w:spacing w:before="40" w:after="40"/>
              <w:jc w:val="center"/>
              <w:rPr>
                <w:rFonts w:ascii="Arial Narrow" w:hAnsi="Arial Narrow"/>
                <w:sz w:val="20"/>
                <w:szCs w:val="20"/>
              </w:rPr>
            </w:pPr>
          </w:p>
        </w:tc>
        <w:tc>
          <w:tcPr>
            <w:tcW w:w="2373" w:type="dxa"/>
            <w:tcBorders>
              <w:left w:val="nil"/>
              <w:right w:val="nil"/>
            </w:tcBorders>
            <w:vAlign w:val="center"/>
          </w:tcPr>
          <w:p w14:paraId="4806E2A0" w14:textId="77777777" w:rsidR="00E012DE" w:rsidRDefault="00E012DE" w:rsidP="00854C94">
            <w:pPr>
              <w:keepNext/>
              <w:spacing w:before="40" w:after="40"/>
              <w:jc w:val="center"/>
              <w:rPr>
                <w:rFonts w:ascii="Arial Narrow" w:hAnsi="Arial Narrow"/>
                <w:sz w:val="20"/>
                <w:szCs w:val="20"/>
              </w:rPr>
            </w:pPr>
          </w:p>
        </w:tc>
        <w:tc>
          <w:tcPr>
            <w:tcW w:w="1701" w:type="dxa"/>
            <w:tcBorders>
              <w:left w:val="nil"/>
              <w:right w:val="nil"/>
            </w:tcBorders>
            <w:vAlign w:val="center"/>
          </w:tcPr>
          <w:p w14:paraId="4B30EA24" w14:textId="77777777" w:rsidR="00E012DE" w:rsidRDefault="00E012DE" w:rsidP="00854C94">
            <w:pPr>
              <w:keepNext/>
              <w:spacing w:before="40" w:after="40"/>
              <w:jc w:val="center"/>
              <w:rPr>
                <w:rFonts w:ascii="Arial Narrow" w:hAnsi="Arial Narrow"/>
                <w:sz w:val="20"/>
                <w:szCs w:val="20"/>
              </w:rPr>
            </w:pPr>
          </w:p>
        </w:tc>
        <w:tc>
          <w:tcPr>
            <w:tcW w:w="1417" w:type="dxa"/>
            <w:tcBorders>
              <w:left w:val="nil"/>
              <w:right w:val="single" w:sz="4" w:space="0" w:color="auto"/>
            </w:tcBorders>
            <w:vAlign w:val="center"/>
          </w:tcPr>
          <w:p w14:paraId="2E935500" w14:textId="77777777" w:rsidR="00E012DE" w:rsidRPr="00F20975" w:rsidRDefault="00E012DE" w:rsidP="00854C94">
            <w:pPr>
              <w:keepNext/>
              <w:spacing w:before="40" w:after="40"/>
              <w:jc w:val="center"/>
              <w:rPr>
                <w:rFonts w:ascii="Arial Narrow" w:hAnsi="Arial Narrow"/>
                <w:sz w:val="20"/>
                <w:szCs w:val="20"/>
              </w:rPr>
            </w:pPr>
          </w:p>
        </w:tc>
      </w:tr>
      <w:tr w:rsidR="00E012DE" w:rsidRPr="00F20975" w14:paraId="50342944" w14:textId="77777777" w:rsidTr="375F5CCE">
        <w:tc>
          <w:tcPr>
            <w:tcW w:w="1830" w:type="dxa"/>
            <w:vAlign w:val="center"/>
          </w:tcPr>
          <w:p w14:paraId="5D32D89B" w14:textId="2EB683EF" w:rsidR="00E012DE" w:rsidRDefault="00E012DE" w:rsidP="00854C94">
            <w:pPr>
              <w:keepNext/>
              <w:spacing w:before="40" w:after="40"/>
              <w:rPr>
                <w:rFonts w:ascii="Arial Narrow" w:hAnsi="Arial Narrow"/>
                <w:sz w:val="20"/>
                <w:szCs w:val="20"/>
              </w:rPr>
            </w:pPr>
            <w:r>
              <w:rPr>
                <w:rFonts w:ascii="Arial Narrow" w:hAnsi="Arial Narrow"/>
                <w:sz w:val="20"/>
                <w:szCs w:val="20"/>
              </w:rPr>
              <w:t>ANBL 1221</w:t>
            </w:r>
          </w:p>
        </w:tc>
        <w:tc>
          <w:tcPr>
            <w:tcW w:w="433" w:type="dxa"/>
            <w:vAlign w:val="center"/>
          </w:tcPr>
          <w:p w14:paraId="02AC9D29" w14:textId="19DC5D1F"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35</w:t>
            </w:r>
          </w:p>
        </w:tc>
        <w:tc>
          <w:tcPr>
            <w:tcW w:w="888" w:type="dxa"/>
            <w:vAlign w:val="center"/>
          </w:tcPr>
          <w:p w14:paraId="3315E21F" w14:textId="30E53724"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RCT, OL</w:t>
            </w:r>
          </w:p>
        </w:tc>
        <w:tc>
          <w:tcPr>
            <w:tcW w:w="2373" w:type="dxa"/>
            <w:vAlign w:val="center"/>
          </w:tcPr>
          <w:p w14:paraId="699089E4" w14:textId="701A83C9"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 xml:space="preserve">DA + TEMIRI + </w:t>
            </w:r>
            <w:r>
              <w:rPr>
                <w:rFonts w:ascii="Arial Narrow" w:hAnsi="Arial Narrow"/>
                <w:sz w:val="20"/>
                <w:szCs w:val="20"/>
              </w:rPr>
              <w:br/>
              <w:t>GM-CSF (17)</w:t>
            </w:r>
          </w:p>
        </w:tc>
        <w:tc>
          <w:tcPr>
            <w:tcW w:w="1701" w:type="dxa"/>
            <w:vAlign w:val="center"/>
          </w:tcPr>
          <w:p w14:paraId="6906DD5F" w14:textId="30C2C685" w:rsidR="00E012DE" w:rsidRDefault="00E012DE" w:rsidP="375F5CCE">
            <w:pPr>
              <w:keepNext/>
              <w:spacing w:before="40" w:after="40"/>
              <w:jc w:val="center"/>
              <w:rPr>
                <w:rFonts w:ascii="Arial Narrow" w:hAnsi="Arial Narrow"/>
                <w:sz w:val="20"/>
                <w:szCs w:val="20"/>
              </w:rPr>
            </w:pPr>
            <w:r w:rsidRPr="375F5CCE">
              <w:rPr>
                <w:rFonts w:ascii="Arial Narrow" w:hAnsi="Arial Narrow"/>
                <w:sz w:val="20"/>
                <w:szCs w:val="20"/>
              </w:rPr>
              <w:t xml:space="preserve">TEMIRI + </w:t>
            </w:r>
            <w:proofErr w:type="spellStart"/>
            <w:r w:rsidRPr="375F5CCE">
              <w:rPr>
                <w:rFonts w:ascii="Arial Narrow" w:hAnsi="Arial Narrow"/>
                <w:sz w:val="20"/>
                <w:szCs w:val="20"/>
              </w:rPr>
              <w:t>temsirolimus</w:t>
            </w:r>
            <w:proofErr w:type="spellEnd"/>
            <w:r w:rsidRPr="375F5CCE">
              <w:rPr>
                <w:rFonts w:ascii="Arial Narrow" w:hAnsi="Arial Narrow"/>
                <w:sz w:val="20"/>
                <w:szCs w:val="20"/>
              </w:rPr>
              <w:t xml:space="preserve"> (18)</w:t>
            </w:r>
          </w:p>
        </w:tc>
        <w:tc>
          <w:tcPr>
            <w:tcW w:w="1417" w:type="dxa"/>
            <w:vAlign w:val="center"/>
          </w:tcPr>
          <w:p w14:paraId="0FBC1230" w14:textId="77777777"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54:46</w:t>
            </w:r>
          </w:p>
          <w:p w14:paraId="476774C8" w14:textId="5EECBB29"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(100% 1</w:t>
            </w:r>
            <w:r w:rsidRPr="00E536FF">
              <w:rPr>
                <w:rFonts w:ascii="Arial Narrow" w:hAnsi="Arial Narrow"/>
                <w:sz w:val="20"/>
                <w:szCs w:val="20"/>
                <w:vertAlign w:val="superscript"/>
              </w:rPr>
              <w:t>st</w:t>
            </w:r>
            <w:r>
              <w:rPr>
                <w:rFonts w:ascii="Arial Narrow" w:hAnsi="Arial Narrow"/>
                <w:sz w:val="20"/>
                <w:szCs w:val="20"/>
              </w:rPr>
              <w:t xml:space="preserve"> relapse)</w:t>
            </w:r>
          </w:p>
        </w:tc>
      </w:tr>
      <w:tr w:rsidR="00E012DE" w:rsidRPr="00F20975" w14:paraId="0660838B" w14:textId="77777777" w:rsidTr="375F5CCE">
        <w:tc>
          <w:tcPr>
            <w:tcW w:w="1830" w:type="dxa"/>
            <w:vAlign w:val="center"/>
          </w:tcPr>
          <w:p w14:paraId="56ACAEFC" w14:textId="659FF221" w:rsidR="00E012DE" w:rsidRDefault="00E012DE" w:rsidP="00854C94">
            <w:pPr>
              <w:keepNext/>
              <w:spacing w:before="40" w:after="40"/>
              <w:rPr>
                <w:rFonts w:ascii="Arial Narrow" w:hAnsi="Arial Narrow"/>
                <w:sz w:val="20"/>
                <w:szCs w:val="20"/>
              </w:rPr>
            </w:pPr>
            <w:r>
              <w:rPr>
                <w:rFonts w:ascii="Arial Narrow" w:hAnsi="Arial Narrow"/>
                <w:sz w:val="20"/>
                <w:szCs w:val="20"/>
              </w:rPr>
              <w:t>ANBL 1221</w:t>
            </w:r>
          </w:p>
        </w:tc>
        <w:tc>
          <w:tcPr>
            <w:tcW w:w="433" w:type="dxa"/>
            <w:vAlign w:val="center"/>
          </w:tcPr>
          <w:p w14:paraId="39C1DC87" w14:textId="5BB84396"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36</w:t>
            </w:r>
          </w:p>
        </w:tc>
        <w:tc>
          <w:tcPr>
            <w:tcW w:w="888" w:type="dxa"/>
            <w:vAlign w:val="center"/>
          </w:tcPr>
          <w:p w14:paraId="5D35FEDC" w14:textId="1C3B5ECD"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 xml:space="preserve">Extension, SA </w:t>
            </w:r>
          </w:p>
        </w:tc>
        <w:tc>
          <w:tcPr>
            <w:tcW w:w="2373" w:type="dxa"/>
            <w:vAlign w:val="center"/>
          </w:tcPr>
          <w:p w14:paraId="7B7F1343" w14:textId="41F02CD5"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 xml:space="preserve">DA + TEMIRI + </w:t>
            </w:r>
            <w:r>
              <w:rPr>
                <w:rFonts w:ascii="Arial Narrow" w:hAnsi="Arial Narrow"/>
                <w:sz w:val="20"/>
                <w:szCs w:val="20"/>
              </w:rPr>
              <w:br/>
              <w:t>GM-CSF</w:t>
            </w:r>
          </w:p>
        </w:tc>
        <w:tc>
          <w:tcPr>
            <w:tcW w:w="1701" w:type="dxa"/>
            <w:vAlign w:val="center"/>
          </w:tcPr>
          <w:p w14:paraId="5512ED45" w14:textId="3DE1157A"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417" w:type="dxa"/>
            <w:vAlign w:val="center"/>
          </w:tcPr>
          <w:p w14:paraId="52255AB0" w14:textId="097B4153" w:rsidR="00E012DE" w:rsidRPr="00F20975" w:rsidRDefault="00E012DE" w:rsidP="00854C94">
            <w:pPr>
              <w:keepNext/>
              <w:spacing w:before="40" w:after="40"/>
              <w:jc w:val="center"/>
              <w:rPr>
                <w:rFonts w:ascii="Arial Narrow" w:hAnsi="Arial Narrow"/>
                <w:sz w:val="20"/>
                <w:szCs w:val="20"/>
              </w:rPr>
            </w:pPr>
            <w:r w:rsidRPr="00A12183">
              <w:rPr>
                <w:rFonts w:ascii="Arial Narrow" w:hAnsi="Arial Narrow"/>
                <w:sz w:val="20"/>
                <w:szCs w:val="20"/>
              </w:rPr>
              <w:t>64:36</w:t>
            </w:r>
          </w:p>
        </w:tc>
      </w:tr>
      <w:tr w:rsidR="00E012DE" w:rsidRPr="00F20975" w14:paraId="5ACAAD3E" w14:textId="77777777" w:rsidTr="375F5CCE">
        <w:tc>
          <w:tcPr>
            <w:tcW w:w="1830" w:type="dxa"/>
            <w:vAlign w:val="center"/>
          </w:tcPr>
          <w:p w14:paraId="28010C72" w14:textId="58C330C6" w:rsidR="00E012DE" w:rsidRDefault="00E012DE" w:rsidP="00854C94">
            <w:pPr>
              <w:keepNext/>
              <w:spacing w:before="40" w:after="40"/>
              <w:rPr>
                <w:rFonts w:ascii="Arial Narrow" w:hAnsi="Arial Narrow"/>
                <w:sz w:val="20"/>
                <w:szCs w:val="20"/>
              </w:rPr>
            </w:pPr>
            <w:bookmarkStart w:id="17" w:name="_Hlk198907358"/>
            <w:r>
              <w:rPr>
                <w:rFonts w:ascii="Arial Narrow" w:hAnsi="Arial Narrow"/>
                <w:sz w:val="20"/>
                <w:szCs w:val="20"/>
              </w:rPr>
              <w:t>SCH 2024</w:t>
            </w:r>
          </w:p>
        </w:tc>
        <w:tc>
          <w:tcPr>
            <w:tcW w:w="433" w:type="dxa"/>
            <w:vAlign w:val="center"/>
          </w:tcPr>
          <w:p w14:paraId="4B472A0F" w14:textId="654A9564"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20</w:t>
            </w:r>
          </w:p>
        </w:tc>
        <w:tc>
          <w:tcPr>
            <w:tcW w:w="888" w:type="dxa"/>
            <w:vAlign w:val="center"/>
          </w:tcPr>
          <w:p w14:paraId="04256795" w14:textId="50679E47"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Cohort</w:t>
            </w:r>
          </w:p>
        </w:tc>
        <w:tc>
          <w:tcPr>
            <w:tcW w:w="2373" w:type="dxa"/>
            <w:vAlign w:val="center"/>
          </w:tcPr>
          <w:p w14:paraId="2A036259" w14:textId="0260D2AC"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DA + Chemotherapy</w:t>
            </w:r>
            <w:r w:rsidRPr="00AC2C68">
              <w:rPr>
                <w:rFonts w:ascii="Arial Narrow" w:hAnsi="Arial Narrow"/>
                <w:sz w:val="20"/>
                <w:szCs w:val="20"/>
                <w:vertAlign w:val="superscript"/>
              </w:rPr>
              <w:t>1</w:t>
            </w:r>
            <w:r>
              <w:rPr>
                <w:rFonts w:ascii="Arial Narrow" w:hAnsi="Arial Narrow"/>
                <w:sz w:val="20"/>
                <w:szCs w:val="20"/>
                <w:vertAlign w:val="superscript"/>
              </w:rPr>
              <w:t xml:space="preserve"> </w:t>
            </w:r>
            <w:r>
              <w:rPr>
                <w:rFonts w:ascii="Arial Narrow" w:hAnsi="Arial Narrow"/>
                <w:sz w:val="20"/>
                <w:szCs w:val="20"/>
              </w:rPr>
              <w:t>(12)</w:t>
            </w:r>
          </w:p>
        </w:tc>
        <w:tc>
          <w:tcPr>
            <w:tcW w:w="1701" w:type="dxa"/>
            <w:vAlign w:val="center"/>
          </w:tcPr>
          <w:p w14:paraId="5EE0B20B" w14:textId="4DB85A5B"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Chemotherapy</w:t>
            </w:r>
            <w:r>
              <w:rPr>
                <w:rFonts w:ascii="Arial Narrow" w:hAnsi="Arial Narrow"/>
                <w:sz w:val="20"/>
                <w:szCs w:val="20"/>
                <w:vertAlign w:val="superscript"/>
              </w:rPr>
              <w:t>1</w:t>
            </w:r>
            <w:r>
              <w:rPr>
                <w:rFonts w:ascii="Arial Narrow" w:hAnsi="Arial Narrow"/>
                <w:sz w:val="20"/>
                <w:szCs w:val="20"/>
              </w:rPr>
              <w:t xml:space="preserve"> (5), palliation (3)</w:t>
            </w:r>
          </w:p>
        </w:tc>
        <w:tc>
          <w:tcPr>
            <w:tcW w:w="1417" w:type="dxa"/>
            <w:vAlign w:val="center"/>
          </w:tcPr>
          <w:p w14:paraId="6D1B354C" w14:textId="4EF43BBD"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60:40</w:t>
            </w:r>
          </w:p>
        </w:tc>
      </w:tr>
      <w:bookmarkEnd w:id="17"/>
      <w:tr w:rsidR="00E012DE" w:rsidRPr="00F20975" w14:paraId="5E6DE9AE" w14:textId="77777777" w:rsidTr="375F5CCE">
        <w:tc>
          <w:tcPr>
            <w:tcW w:w="1830" w:type="dxa"/>
            <w:vAlign w:val="center"/>
          </w:tcPr>
          <w:p w14:paraId="3C9AAD59" w14:textId="1CD0C0C5" w:rsidR="00E012DE" w:rsidRDefault="00E012DE" w:rsidP="00854C94">
            <w:pPr>
              <w:keepNext/>
              <w:spacing w:before="40" w:after="40"/>
              <w:rPr>
                <w:rFonts w:ascii="Arial Narrow" w:hAnsi="Arial Narrow"/>
                <w:sz w:val="20"/>
                <w:szCs w:val="20"/>
              </w:rPr>
            </w:pPr>
            <w:r>
              <w:rPr>
                <w:rFonts w:ascii="Arial Narrow" w:hAnsi="Arial Narrow"/>
                <w:sz w:val="20"/>
                <w:szCs w:val="20"/>
              </w:rPr>
              <w:t>Lerman 2023</w:t>
            </w:r>
          </w:p>
        </w:tc>
        <w:tc>
          <w:tcPr>
            <w:tcW w:w="433" w:type="dxa"/>
            <w:vAlign w:val="center"/>
          </w:tcPr>
          <w:p w14:paraId="14F9074D" w14:textId="4299F8E7"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146</w:t>
            </w:r>
          </w:p>
        </w:tc>
        <w:tc>
          <w:tcPr>
            <w:tcW w:w="888" w:type="dxa"/>
            <w:vAlign w:val="center"/>
          </w:tcPr>
          <w:p w14:paraId="3099D1E4" w14:textId="04394C3C"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1815E528" w14:textId="7739B4D5"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 xml:space="preserve">DA + TEMIRI + </w:t>
            </w:r>
            <w:r>
              <w:rPr>
                <w:rFonts w:ascii="Arial Narrow" w:hAnsi="Arial Narrow"/>
                <w:sz w:val="20"/>
                <w:szCs w:val="20"/>
              </w:rPr>
              <w:br/>
              <w:t xml:space="preserve">GM-CSF </w:t>
            </w:r>
          </w:p>
        </w:tc>
        <w:tc>
          <w:tcPr>
            <w:tcW w:w="1701" w:type="dxa"/>
            <w:vAlign w:val="center"/>
          </w:tcPr>
          <w:p w14:paraId="1B04F465" w14:textId="4E50EDEE"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417" w:type="dxa"/>
            <w:vAlign w:val="center"/>
          </w:tcPr>
          <w:p w14:paraId="28207766" w14:textId="58695DE4"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100:0</w:t>
            </w:r>
          </w:p>
        </w:tc>
      </w:tr>
      <w:tr w:rsidR="00E012DE" w:rsidRPr="00F20975" w14:paraId="3116D190" w14:textId="77777777" w:rsidTr="375F5CCE">
        <w:tc>
          <w:tcPr>
            <w:tcW w:w="1830" w:type="dxa"/>
            <w:tcBorders>
              <w:right w:val="nil"/>
            </w:tcBorders>
            <w:vAlign w:val="center"/>
          </w:tcPr>
          <w:p w14:paraId="516F31E1" w14:textId="10168507" w:rsidR="00E012DE" w:rsidRPr="00F20975" w:rsidRDefault="00E012DE" w:rsidP="00854C94">
            <w:pPr>
              <w:keepNext/>
              <w:spacing w:before="40" w:after="40"/>
              <w:rPr>
                <w:rFonts w:ascii="Arial Narrow" w:hAnsi="Arial Narrow"/>
                <w:b/>
                <w:bCs/>
                <w:sz w:val="20"/>
                <w:szCs w:val="20"/>
              </w:rPr>
            </w:pPr>
            <w:r w:rsidRPr="00F20975">
              <w:rPr>
                <w:rFonts w:ascii="Arial Narrow" w:hAnsi="Arial Narrow"/>
                <w:b/>
                <w:bCs/>
                <w:sz w:val="20"/>
                <w:szCs w:val="20"/>
              </w:rPr>
              <w:t>Chemotherapy studies</w:t>
            </w:r>
          </w:p>
        </w:tc>
        <w:tc>
          <w:tcPr>
            <w:tcW w:w="433" w:type="dxa"/>
            <w:tcBorders>
              <w:left w:val="nil"/>
              <w:right w:val="nil"/>
            </w:tcBorders>
            <w:vAlign w:val="center"/>
          </w:tcPr>
          <w:p w14:paraId="31D95510" w14:textId="77777777" w:rsidR="00E012DE" w:rsidRDefault="00E012DE" w:rsidP="00854C94">
            <w:pPr>
              <w:keepNext/>
              <w:spacing w:before="40" w:after="40"/>
              <w:jc w:val="center"/>
              <w:rPr>
                <w:rFonts w:ascii="Arial Narrow" w:hAnsi="Arial Narrow"/>
                <w:sz w:val="20"/>
                <w:szCs w:val="20"/>
              </w:rPr>
            </w:pPr>
          </w:p>
        </w:tc>
        <w:tc>
          <w:tcPr>
            <w:tcW w:w="888" w:type="dxa"/>
            <w:tcBorders>
              <w:left w:val="nil"/>
              <w:right w:val="nil"/>
            </w:tcBorders>
            <w:vAlign w:val="center"/>
          </w:tcPr>
          <w:p w14:paraId="79A115DC" w14:textId="77777777" w:rsidR="00E012DE" w:rsidRDefault="00E012DE" w:rsidP="00854C94">
            <w:pPr>
              <w:keepNext/>
              <w:spacing w:before="40" w:after="40"/>
              <w:jc w:val="center"/>
              <w:rPr>
                <w:rFonts w:ascii="Arial Narrow" w:hAnsi="Arial Narrow"/>
                <w:sz w:val="20"/>
                <w:szCs w:val="20"/>
              </w:rPr>
            </w:pPr>
          </w:p>
        </w:tc>
        <w:tc>
          <w:tcPr>
            <w:tcW w:w="2373" w:type="dxa"/>
            <w:tcBorders>
              <w:left w:val="nil"/>
              <w:right w:val="nil"/>
            </w:tcBorders>
            <w:vAlign w:val="center"/>
          </w:tcPr>
          <w:p w14:paraId="33D08AF7" w14:textId="77777777" w:rsidR="00E012DE" w:rsidRDefault="00E012DE" w:rsidP="00854C94">
            <w:pPr>
              <w:keepNext/>
              <w:spacing w:before="40" w:after="40"/>
              <w:jc w:val="center"/>
              <w:rPr>
                <w:rFonts w:ascii="Arial Narrow" w:hAnsi="Arial Narrow"/>
                <w:sz w:val="20"/>
                <w:szCs w:val="20"/>
              </w:rPr>
            </w:pPr>
          </w:p>
        </w:tc>
        <w:tc>
          <w:tcPr>
            <w:tcW w:w="1701" w:type="dxa"/>
            <w:tcBorders>
              <w:left w:val="nil"/>
              <w:right w:val="nil"/>
            </w:tcBorders>
            <w:vAlign w:val="center"/>
          </w:tcPr>
          <w:p w14:paraId="626FEAE3" w14:textId="77777777" w:rsidR="00E012DE" w:rsidRDefault="00E012DE" w:rsidP="00854C94">
            <w:pPr>
              <w:keepNext/>
              <w:spacing w:before="40" w:after="40"/>
              <w:jc w:val="center"/>
              <w:rPr>
                <w:rFonts w:ascii="Arial Narrow" w:hAnsi="Arial Narrow"/>
                <w:sz w:val="20"/>
                <w:szCs w:val="20"/>
              </w:rPr>
            </w:pPr>
          </w:p>
        </w:tc>
        <w:tc>
          <w:tcPr>
            <w:tcW w:w="1417" w:type="dxa"/>
            <w:tcBorders>
              <w:left w:val="nil"/>
              <w:right w:val="single" w:sz="4" w:space="0" w:color="auto"/>
            </w:tcBorders>
            <w:vAlign w:val="center"/>
          </w:tcPr>
          <w:p w14:paraId="7A92F967" w14:textId="77777777" w:rsidR="00E012DE" w:rsidRPr="00F20975" w:rsidRDefault="00E012DE" w:rsidP="00854C94">
            <w:pPr>
              <w:keepNext/>
              <w:spacing w:before="40" w:after="40"/>
              <w:jc w:val="center"/>
              <w:rPr>
                <w:rFonts w:ascii="Arial Narrow" w:hAnsi="Arial Narrow"/>
                <w:sz w:val="20"/>
                <w:szCs w:val="20"/>
              </w:rPr>
            </w:pPr>
          </w:p>
        </w:tc>
      </w:tr>
      <w:tr w:rsidR="00E012DE" w:rsidRPr="00F20975" w14:paraId="3AA36103" w14:textId="77777777" w:rsidTr="375F5CCE">
        <w:tc>
          <w:tcPr>
            <w:tcW w:w="1830" w:type="dxa"/>
            <w:vAlign w:val="center"/>
          </w:tcPr>
          <w:p w14:paraId="2DB9609C" w14:textId="575674D4" w:rsidR="00E012DE" w:rsidRDefault="00E012DE" w:rsidP="00854C94">
            <w:pPr>
              <w:keepNext/>
              <w:spacing w:before="40" w:after="40"/>
              <w:rPr>
                <w:rFonts w:ascii="Arial Narrow" w:hAnsi="Arial Narrow"/>
                <w:sz w:val="20"/>
                <w:szCs w:val="20"/>
              </w:rPr>
            </w:pPr>
            <w:r>
              <w:rPr>
                <w:rFonts w:ascii="Arial Narrow" w:hAnsi="Arial Narrow"/>
                <w:sz w:val="20"/>
                <w:szCs w:val="20"/>
              </w:rPr>
              <w:t>BEACON-1 (Moreno 2024</w:t>
            </w:r>
            <w:r w:rsidR="00CA5C3D">
              <w:rPr>
                <w:rStyle w:val="FootnoteReference"/>
                <w:rFonts w:ascii="Arial Narrow" w:hAnsi="Arial Narrow"/>
                <w:sz w:val="20"/>
                <w:szCs w:val="20"/>
              </w:rPr>
              <w:footnoteReference w:id="18"/>
            </w:r>
            <w:r>
              <w:rPr>
                <w:rFonts w:ascii="Arial Narrow" w:hAnsi="Arial Narrow"/>
                <w:sz w:val="20"/>
                <w:szCs w:val="20"/>
              </w:rPr>
              <w:t>)</w:t>
            </w:r>
          </w:p>
        </w:tc>
        <w:tc>
          <w:tcPr>
            <w:tcW w:w="433" w:type="dxa"/>
            <w:vAlign w:val="center"/>
          </w:tcPr>
          <w:p w14:paraId="3BBC042F" w14:textId="1110F1DD"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80</w:t>
            </w:r>
          </w:p>
        </w:tc>
        <w:tc>
          <w:tcPr>
            <w:tcW w:w="888" w:type="dxa"/>
            <w:vAlign w:val="center"/>
          </w:tcPr>
          <w:p w14:paraId="36F94BCD" w14:textId="1C9D68E3"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RCT, OL</w:t>
            </w:r>
          </w:p>
        </w:tc>
        <w:tc>
          <w:tcPr>
            <w:tcW w:w="2373" w:type="dxa"/>
            <w:vAlign w:val="center"/>
          </w:tcPr>
          <w:p w14:paraId="14DDD151" w14:textId="7E9DF8D1"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701" w:type="dxa"/>
            <w:vAlign w:val="center"/>
          </w:tcPr>
          <w:p w14:paraId="1CB3BBBD" w14:textId="19E33C3C"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Temozolomide (36)/ TEMIRI (30)/ TOTEM (14)</w:t>
            </w:r>
          </w:p>
        </w:tc>
        <w:tc>
          <w:tcPr>
            <w:tcW w:w="1417" w:type="dxa"/>
            <w:vAlign w:val="center"/>
          </w:tcPr>
          <w:p w14:paraId="0A630EBE" w14:textId="77777777"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59:41</w:t>
            </w:r>
          </w:p>
          <w:p w14:paraId="3635F4B0" w14:textId="17917E97"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(100% 1</w:t>
            </w:r>
            <w:r w:rsidRPr="00E536FF">
              <w:rPr>
                <w:rFonts w:ascii="Arial Narrow" w:hAnsi="Arial Narrow"/>
                <w:sz w:val="20"/>
                <w:szCs w:val="20"/>
                <w:vertAlign w:val="superscript"/>
              </w:rPr>
              <w:t>st</w:t>
            </w:r>
            <w:r>
              <w:rPr>
                <w:rFonts w:ascii="Arial Narrow" w:hAnsi="Arial Narrow"/>
                <w:sz w:val="20"/>
                <w:szCs w:val="20"/>
              </w:rPr>
              <w:t xml:space="preserve"> relapse)</w:t>
            </w:r>
          </w:p>
        </w:tc>
      </w:tr>
      <w:tr w:rsidR="00E012DE" w:rsidRPr="00F20975" w14:paraId="4562F91E" w14:textId="77777777" w:rsidTr="375F5CCE">
        <w:tc>
          <w:tcPr>
            <w:tcW w:w="1830" w:type="dxa"/>
            <w:vAlign w:val="center"/>
          </w:tcPr>
          <w:p w14:paraId="7A55496E" w14:textId="7659325D" w:rsidR="00E012DE" w:rsidRDefault="0020240C" w:rsidP="375F5CCE">
            <w:pPr>
              <w:keepNext/>
              <w:spacing w:before="40" w:after="40"/>
              <w:rPr>
                <w:rFonts w:ascii="Arial Narrow" w:hAnsi="Arial Narrow"/>
                <w:sz w:val="20"/>
                <w:szCs w:val="20"/>
              </w:rPr>
            </w:pPr>
            <w:proofErr w:type="spellStart"/>
            <w:r w:rsidRPr="375F5CCE">
              <w:rPr>
                <w:rFonts w:ascii="Arial Narrow" w:hAnsi="Arial Narrow"/>
                <w:sz w:val="20"/>
                <w:szCs w:val="20"/>
              </w:rPr>
              <w:t>Bagatell</w:t>
            </w:r>
            <w:proofErr w:type="spellEnd"/>
            <w:r w:rsidR="00E012DE" w:rsidRPr="375F5CCE">
              <w:rPr>
                <w:rFonts w:ascii="Arial Narrow" w:hAnsi="Arial Narrow"/>
                <w:sz w:val="20"/>
                <w:szCs w:val="20"/>
              </w:rPr>
              <w:t xml:space="preserve"> 2011</w:t>
            </w:r>
          </w:p>
        </w:tc>
        <w:tc>
          <w:tcPr>
            <w:tcW w:w="433" w:type="dxa"/>
            <w:vAlign w:val="center"/>
          </w:tcPr>
          <w:p w14:paraId="34EEF9D2" w14:textId="4A5F5A25"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55</w:t>
            </w:r>
          </w:p>
        </w:tc>
        <w:tc>
          <w:tcPr>
            <w:tcW w:w="888" w:type="dxa"/>
            <w:vAlign w:val="center"/>
          </w:tcPr>
          <w:p w14:paraId="4EF2C6AE" w14:textId="77A1C887"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52BCCF6F" w14:textId="47122571"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701" w:type="dxa"/>
            <w:vAlign w:val="center"/>
          </w:tcPr>
          <w:p w14:paraId="306EC771" w14:textId="1EEF3C85"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TEMIRI</w:t>
            </w:r>
          </w:p>
        </w:tc>
        <w:tc>
          <w:tcPr>
            <w:tcW w:w="1417" w:type="dxa"/>
            <w:vAlign w:val="center"/>
          </w:tcPr>
          <w:p w14:paraId="24E60608" w14:textId="186A30A5"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73:27</w:t>
            </w:r>
          </w:p>
        </w:tc>
      </w:tr>
      <w:tr w:rsidR="00E012DE" w:rsidRPr="00F20975" w14:paraId="17307C8A" w14:textId="77777777" w:rsidTr="375F5CCE">
        <w:tc>
          <w:tcPr>
            <w:tcW w:w="1830" w:type="dxa"/>
            <w:vAlign w:val="center"/>
          </w:tcPr>
          <w:p w14:paraId="514844AC" w14:textId="17578723" w:rsidR="00E012DE" w:rsidRDefault="00E012DE" w:rsidP="00854C94">
            <w:pPr>
              <w:keepNext/>
              <w:spacing w:before="40" w:after="40"/>
              <w:rPr>
                <w:rFonts w:ascii="Arial Narrow" w:hAnsi="Arial Narrow"/>
                <w:sz w:val="20"/>
                <w:szCs w:val="20"/>
              </w:rPr>
            </w:pPr>
            <w:r>
              <w:rPr>
                <w:rFonts w:ascii="Arial Narrow" w:hAnsi="Arial Narrow"/>
                <w:sz w:val="20"/>
                <w:szCs w:val="20"/>
              </w:rPr>
              <w:t xml:space="preserve">Di </w:t>
            </w:r>
            <w:proofErr w:type="spellStart"/>
            <w:r>
              <w:rPr>
                <w:rFonts w:ascii="Arial Narrow" w:hAnsi="Arial Narrow"/>
                <w:sz w:val="20"/>
                <w:szCs w:val="20"/>
              </w:rPr>
              <w:t>Giannatale</w:t>
            </w:r>
            <w:proofErr w:type="spellEnd"/>
            <w:r>
              <w:rPr>
                <w:rFonts w:ascii="Arial Narrow" w:hAnsi="Arial Narrow"/>
                <w:sz w:val="20"/>
                <w:szCs w:val="20"/>
              </w:rPr>
              <w:t xml:space="preserve"> 2014</w:t>
            </w:r>
          </w:p>
        </w:tc>
        <w:tc>
          <w:tcPr>
            <w:tcW w:w="433" w:type="dxa"/>
            <w:vAlign w:val="center"/>
          </w:tcPr>
          <w:p w14:paraId="5C7F584B" w14:textId="4A0AE2E1"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38</w:t>
            </w:r>
          </w:p>
        </w:tc>
        <w:tc>
          <w:tcPr>
            <w:tcW w:w="888" w:type="dxa"/>
            <w:vAlign w:val="center"/>
          </w:tcPr>
          <w:p w14:paraId="1C6B1EF9" w14:textId="7AD5426D"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548FF53F" w14:textId="1C1A24AD"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701" w:type="dxa"/>
            <w:vAlign w:val="center"/>
          </w:tcPr>
          <w:p w14:paraId="31C053F8" w14:textId="1F7BCAE0"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TOTEM</w:t>
            </w:r>
          </w:p>
        </w:tc>
        <w:tc>
          <w:tcPr>
            <w:tcW w:w="1417" w:type="dxa"/>
            <w:vAlign w:val="center"/>
          </w:tcPr>
          <w:p w14:paraId="3A622204" w14:textId="32D995E4"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66:34</w:t>
            </w:r>
          </w:p>
        </w:tc>
      </w:tr>
      <w:tr w:rsidR="00E012DE" w:rsidRPr="00F20975" w14:paraId="2616893F" w14:textId="77777777" w:rsidTr="375F5CCE">
        <w:tc>
          <w:tcPr>
            <w:tcW w:w="1830" w:type="dxa"/>
            <w:vAlign w:val="center"/>
          </w:tcPr>
          <w:p w14:paraId="248946DB" w14:textId="477F999C" w:rsidR="00E012DE" w:rsidRDefault="00E012DE" w:rsidP="00854C94">
            <w:pPr>
              <w:keepNext/>
              <w:spacing w:before="40" w:after="40"/>
              <w:rPr>
                <w:rFonts w:ascii="Arial Narrow" w:hAnsi="Arial Narrow"/>
                <w:sz w:val="20"/>
                <w:szCs w:val="20"/>
              </w:rPr>
            </w:pPr>
            <w:r>
              <w:rPr>
                <w:rFonts w:ascii="Arial Narrow" w:hAnsi="Arial Narrow"/>
                <w:sz w:val="20"/>
                <w:szCs w:val="20"/>
              </w:rPr>
              <w:t>DuBois 2018</w:t>
            </w:r>
          </w:p>
        </w:tc>
        <w:tc>
          <w:tcPr>
            <w:tcW w:w="433" w:type="dxa"/>
            <w:vAlign w:val="center"/>
          </w:tcPr>
          <w:p w14:paraId="41700E89" w14:textId="56DE5CB1"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32</w:t>
            </w:r>
          </w:p>
        </w:tc>
        <w:tc>
          <w:tcPr>
            <w:tcW w:w="888" w:type="dxa"/>
            <w:vAlign w:val="center"/>
          </w:tcPr>
          <w:p w14:paraId="02EA627C" w14:textId="6D970015"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SA</w:t>
            </w:r>
          </w:p>
        </w:tc>
        <w:tc>
          <w:tcPr>
            <w:tcW w:w="2373" w:type="dxa"/>
            <w:vAlign w:val="center"/>
          </w:tcPr>
          <w:p w14:paraId="74D0D1D0" w14:textId="31FDD0A6"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w:t>
            </w:r>
          </w:p>
        </w:tc>
        <w:tc>
          <w:tcPr>
            <w:tcW w:w="1701" w:type="dxa"/>
            <w:vAlign w:val="center"/>
          </w:tcPr>
          <w:p w14:paraId="0A0DFD32" w14:textId="40DA527A" w:rsidR="00E012DE" w:rsidRDefault="00E012DE" w:rsidP="00854C94">
            <w:pPr>
              <w:keepNext/>
              <w:spacing w:before="40" w:after="40"/>
              <w:jc w:val="center"/>
              <w:rPr>
                <w:rFonts w:ascii="Arial Narrow" w:hAnsi="Arial Narrow"/>
                <w:sz w:val="20"/>
                <w:szCs w:val="20"/>
              </w:rPr>
            </w:pPr>
            <w:r>
              <w:rPr>
                <w:rFonts w:ascii="Arial Narrow" w:hAnsi="Arial Narrow"/>
                <w:sz w:val="20"/>
                <w:szCs w:val="20"/>
              </w:rPr>
              <w:t>TEMIRI + alisertib</w:t>
            </w:r>
          </w:p>
        </w:tc>
        <w:tc>
          <w:tcPr>
            <w:tcW w:w="1417" w:type="dxa"/>
            <w:vAlign w:val="center"/>
          </w:tcPr>
          <w:p w14:paraId="55B72F78" w14:textId="68D4247C" w:rsidR="00E012DE" w:rsidRPr="00F20975" w:rsidRDefault="00E012DE" w:rsidP="00854C94">
            <w:pPr>
              <w:keepNext/>
              <w:spacing w:before="40" w:after="40"/>
              <w:jc w:val="center"/>
              <w:rPr>
                <w:rFonts w:ascii="Arial Narrow" w:hAnsi="Arial Narrow"/>
                <w:sz w:val="20"/>
                <w:szCs w:val="20"/>
              </w:rPr>
            </w:pPr>
            <w:r>
              <w:rPr>
                <w:rFonts w:ascii="Arial Narrow" w:hAnsi="Arial Narrow"/>
                <w:sz w:val="20"/>
                <w:szCs w:val="20"/>
              </w:rPr>
              <w:t>NR</w:t>
            </w:r>
          </w:p>
        </w:tc>
      </w:tr>
    </w:tbl>
    <w:p w14:paraId="4042BDDA" w14:textId="007CCB83" w:rsidR="00F20975" w:rsidRDefault="00854C94" w:rsidP="375F5CCE">
      <w:pPr>
        <w:keepNext/>
        <w:spacing w:after="0"/>
        <w:rPr>
          <w:rFonts w:ascii="Arial Narrow" w:hAnsi="Arial Narrow"/>
          <w:sz w:val="18"/>
          <w:szCs w:val="18"/>
        </w:rPr>
      </w:pPr>
      <w:proofErr w:type="spellStart"/>
      <w:r w:rsidRPr="375F5CCE">
        <w:rPr>
          <w:rFonts w:ascii="Arial Narrow" w:hAnsi="Arial Narrow"/>
          <w:sz w:val="18"/>
          <w:szCs w:val="18"/>
        </w:rPr>
        <w:t>cyclo</w:t>
      </w:r>
      <w:proofErr w:type="spellEnd"/>
      <w:r w:rsidRPr="375F5CCE">
        <w:rPr>
          <w:rFonts w:ascii="Arial Narrow" w:hAnsi="Arial Narrow"/>
          <w:sz w:val="18"/>
          <w:szCs w:val="18"/>
        </w:rPr>
        <w:t xml:space="preserve"> = cyclophosphamide; </w:t>
      </w:r>
      <w:r w:rsidR="002375D6" w:rsidRPr="375F5CCE">
        <w:rPr>
          <w:rFonts w:ascii="Arial Narrow" w:hAnsi="Arial Narrow"/>
          <w:sz w:val="18"/>
          <w:szCs w:val="18"/>
        </w:rPr>
        <w:t xml:space="preserve">DA = </w:t>
      </w:r>
      <w:proofErr w:type="spellStart"/>
      <w:r w:rsidR="002375D6" w:rsidRPr="375F5CCE">
        <w:rPr>
          <w:rFonts w:ascii="Arial Narrow" w:hAnsi="Arial Narrow"/>
          <w:sz w:val="18"/>
          <w:szCs w:val="18"/>
        </w:rPr>
        <w:t>dinutuximab</w:t>
      </w:r>
      <w:proofErr w:type="spellEnd"/>
      <w:r w:rsidR="002375D6" w:rsidRPr="375F5CCE">
        <w:rPr>
          <w:rFonts w:ascii="Arial Narrow" w:hAnsi="Arial Narrow"/>
          <w:sz w:val="18"/>
          <w:szCs w:val="18"/>
        </w:rPr>
        <w:t xml:space="preserve"> alpha; DB = </w:t>
      </w:r>
      <w:proofErr w:type="spellStart"/>
      <w:r w:rsidR="002375D6" w:rsidRPr="375F5CCE">
        <w:rPr>
          <w:rFonts w:ascii="Arial Narrow" w:hAnsi="Arial Narrow"/>
          <w:sz w:val="18"/>
          <w:szCs w:val="18"/>
        </w:rPr>
        <w:t>dinutuximab</w:t>
      </w:r>
      <w:proofErr w:type="spellEnd"/>
      <w:r w:rsidR="002375D6" w:rsidRPr="375F5CCE">
        <w:rPr>
          <w:rFonts w:ascii="Arial Narrow" w:hAnsi="Arial Narrow"/>
          <w:sz w:val="18"/>
          <w:szCs w:val="18"/>
        </w:rPr>
        <w:t xml:space="preserve"> beta;</w:t>
      </w:r>
      <w:r w:rsidR="00E536FF" w:rsidRPr="375F5CCE">
        <w:rPr>
          <w:rFonts w:ascii="Arial Narrow" w:hAnsi="Arial Narrow"/>
          <w:sz w:val="18"/>
          <w:szCs w:val="18"/>
        </w:rPr>
        <w:t xml:space="preserve"> GM-CSF = granulocyte macrophage colony stimulating factor;</w:t>
      </w:r>
      <w:r w:rsidR="002375D6" w:rsidRPr="375F5CCE">
        <w:rPr>
          <w:rFonts w:ascii="Arial Narrow" w:hAnsi="Arial Narrow"/>
          <w:sz w:val="18"/>
          <w:szCs w:val="18"/>
        </w:rPr>
        <w:t xml:space="preserve"> </w:t>
      </w:r>
      <w:r w:rsidR="00FE3D0E" w:rsidRPr="375F5CCE">
        <w:rPr>
          <w:rFonts w:ascii="Arial Narrow" w:hAnsi="Arial Narrow"/>
          <w:sz w:val="18"/>
          <w:szCs w:val="18"/>
        </w:rPr>
        <w:t xml:space="preserve">NR = not reported; </w:t>
      </w:r>
      <w:r w:rsidR="002375D6" w:rsidRPr="375F5CCE">
        <w:rPr>
          <w:rFonts w:ascii="Arial Narrow" w:hAnsi="Arial Narrow"/>
          <w:sz w:val="18"/>
          <w:szCs w:val="18"/>
        </w:rPr>
        <w:t xml:space="preserve">OL = open-label; RCT = randomised controlled trial; SA = single arm; SCH = Sydney Children’s Hospital; TEMIRI = temozolomide + irinotecan; </w:t>
      </w:r>
      <w:proofErr w:type="spellStart"/>
      <w:r w:rsidRPr="375F5CCE">
        <w:rPr>
          <w:rFonts w:ascii="Arial Narrow" w:hAnsi="Arial Narrow"/>
          <w:sz w:val="18"/>
          <w:szCs w:val="18"/>
        </w:rPr>
        <w:t>topo</w:t>
      </w:r>
      <w:proofErr w:type="spellEnd"/>
      <w:r w:rsidRPr="375F5CCE">
        <w:rPr>
          <w:rFonts w:ascii="Arial Narrow" w:hAnsi="Arial Narrow"/>
          <w:sz w:val="18"/>
          <w:szCs w:val="18"/>
        </w:rPr>
        <w:t xml:space="preserve"> = topotecan; </w:t>
      </w:r>
      <w:r w:rsidR="002375D6" w:rsidRPr="375F5CCE">
        <w:rPr>
          <w:rFonts w:ascii="Arial Narrow" w:hAnsi="Arial Narrow"/>
          <w:sz w:val="18"/>
          <w:szCs w:val="18"/>
        </w:rPr>
        <w:t>TOTEM = topotecan + temozolomide</w:t>
      </w:r>
    </w:p>
    <w:p w14:paraId="4AC8F48F" w14:textId="1EF38B32" w:rsidR="002375D6" w:rsidRDefault="002375D6" w:rsidP="00854C94">
      <w:pPr>
        <w:keepNext/>
        <w:spacing w:before="0"/>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rPr>
        <w:t xml:space="preserve"> nature of chemotherapy not reported</w:t>
      </w:r>
    </w:p>
    <w:p w14:paraId="6474D584" w14:textId="0BD79638" w:rsidR="008E6C49" w:rsidRDefault="008E6C49" w:rsidP="00DA54D0">
      <w:pPr>
        <w:spacing w:before="240"/>
      </w:pPr>
      <w:r w:rsidRPr="375F5CCE">
        <w:t>The BEACON-</w:t>
      </w:r>
      <w:proofErr w:type="spellStart"/>
      <w:r w:rsidRPr="375F5CCE">
        <w:t>Immuno</w:t>
      </w:r>
      <w:proofErr w:type="spellEnd"/>
      <w:r w:rsidRPr="375F5CCE">
        <w:t xml:space="preserve"> trial is the most relevant evidence to this application and </w:t>
      </w:r>
      <w:r w:rsidR="00DF7E28">
        <w:t>was</w:t>
      </w:r>
      <w:r w:rsidR="00DF7E28" w:rsidRPr="375F5CCE">
        <w:t xml:space="preserve"> </w:t>
      </w:r>
      <w:r w:rsidR="00107B15">
        <w:t xml:space="preserve">therefore </w:t>
      </w:r>
      <w:r w:rsidRPr="375F5CCE">
        <w:t>focussed on</w:t>
      </w:r>
      <w:r w:rsidR="00DF7E28">
        <w:t xml:space="preserve"> </w:t>
      </w:r>
      <w:r w:rsidR="00C9486A">
        <w:t xml:space="preserve">in </w:t>
      </w:r>
      <w:r w:rsidR="00DF7E28">
        <w:t xml:space="preserve">the </w:t>
      </w:r>
      <w:r w:rsidR="0010044A">
        <w:t>c</w:t>
      </w:r>
      <w:r w:rsidR="00DF7E28">
        <w:t>ommentary</w:t>
      </w:r>
      <w:r w:rsidRPr="375F5CCE">
        <w:t>.</w:t>
      </w:r>
    </w:p>
    <w:p w14:paraId="71300A22" w14:textId="7638835A" w:rsidR="008E6C49" w:rsidRPr="00E012DE" w:rsidRDefault="008E6C49" w:rsidP="008E6C49">
      <w:r w:rsidRPr="375F5CCE">
        <w:t>BEACON-</w:t>
      </w:r>
      <w:proofErr w:type="spellStart"/>
      <w:r w:rsidRPr="375F5CCE">
        <w:t>Immuno</w:t>
      </w:r>
      <w:proofErr w:type="spellEnd"/>
      <w:r w:rsidRPr="375F5CCE">
        <w:t xml:space="preserve"> was a phase II, open-label, multicentre trial of TEMIRI or TOTEM, with or without bevacizumab or DB, for the treatment of patients with relapsed or refractory neuroblastoma. Patients were initially randomised to bevacizumab or not, to irinotecan or topotecan or neither, with a backbone of temozolomide into six treatment arms: (</w:t>
      </w:r>
      <w:proofErr w:type="spellStart"/>
      <w:r w:rsidRPr="375F5CCE">
        <w:t>i</w:t>
      </w:r>
      <w:proofErr w:type="spellEnd"/>
      <w:r w:rsidRPr="375F5CCE">
        <w:t xml:space="preserve">) temozolomide only; (ii) bevacizumab + temozolomide; (iii) TEMIRI; (iv) bevacizumab + TEMIRI; (v) TOTEM; or (vi) bevacizumab + TOTEM. </w:t>
      </w:r>
    </w:p>
    <w:p w14:paraId="5B01AABE" w14:textId="77777777" w:rsidR="008E6C49" w:rsidRPr="00E012DE" w:rsidRDefault="008E6C49" w:rsidP="008E6C49">
      <w:r w:rsidRPr="375F5CCE">
        <w:t xml:space="preserve">The trial protocol was subsequently amended, wherein following completion of the bevacizumab randomisation, a planned 64 additional patients were enrolled and randomised to one of the following four arms, with patients randomised in a 2:1 ratio favouring the two DB arms: </w:t>
      </w:r>
    </w:p>
    <w:p w14:paraId="6A00268B" w14:textId="77777777" w:rsidR="008E6C49" w:rsidRPr="00E012DE" w:rsidRDefault="008E6C49" w:rsidP="00EE5979">
      <w:pPr>
        <w:pStyle w:val="ListParagraph"/>
        <w:numPr>
          <w:ilvl w:val="0"/>
          <w:numId w:val="16"/>
        </w:numPr>
        <w:ind w:left="284" w:hanging="284"/>
      </w:pPr>
      <w:r w:rsidRPr="00E012DE">
        <w:t>Temozolomide alone</w:t>
      </w:r>
    </w:p>
    <w:p w14:paraId="22D39570" w14:textId="77777777" w:rsidR="008E6C49" w:rsidRPr="00E012DE" w:rsidRDefault="008E6C49" w:rsidP="00EE5979">
      <w:pPr>
        <w:pStyle w:val="ListParagraph"/>
        <w:numPr>
          <w:ilvl w:val="0"/>
          <w:numId w:val="16"/>
        </w:numPr>
        <w:ind w:left="284" w:hanging="284"/>
      </w:pPr>
      <w:r w:rsidRPr="00E012DE">
        <w:lastRenderedPageBreak/>
        <w:t>DB + temozolomide</w:t>
      </w:r>
    </w:p>
    <w:p w14:paraId="2A18B597" w14:textId="77777777" w:rsidR="008E6C49" w:rsidRPr="00E012DE" w:rsidRDefault="008E6C49" w:rsidP="00EE5979">
      <w:pPr>
        <w:pStyle w:val="ListParagraph"/>
        <w:numPr>
          <w:ilvl w:val="0"/>
          <w:numId w:val="16"/>
        </w:numPr>
        <w:ind w:left="284" w:hanging="284"/>
      </w:pPr>
      <w:r w:rsidRPr="00E012DE">
        <w:t>TOTEM</w:t>
      </w:r>
    </w:p>
    <w:p w14:paraId="10FB3BC6" w14:textId="77777777" w:rsidR="008E6C49" w:rsidRPr="00E012DE" w:rsidRDefault="008E6C49" w:rsidP="00EE5979">
      <w:pPr>
        <w:pStyle w:val="ListParagraph"/>
        <w:numPr>
          <w:ilvl w:val="0"/>
          <w:numId w:val="16"/>
        </w:numPr>
        <w:ind w:left="284" w:hanging="284"/>
      </w:pPr>
      <w:r w:rsidRPr="00E012DE">
        <w:t xml:space="preserve">DB + TOTEM. </w:t>
      </w:r>
    </w:p>
    <w:p w14:paraId="1130CD36" w14:textId="77777777" w:rsidR="008E6C49" w:rsidRPr="00E012DE" w:rsidRDefault="008E6C49" w:rsidP="008E6C49">
      <w:r w:rsidRPr="375F5CCE">
        <w:t xml:space="preserve">Following review by the trial management group of the PFS and OS results of the bevacizumab randomisation, evidence indicated that temozolomide alone was inferior and therefore the temozolomide alone (n=3) and DB + temozolomide (n=6) arms were closed partway through the accrual period (2019-2021) from 28 January 2020. The temozolomide alone patients (n=3) were merged into the TOTEM (n=19) arm; and the DB + temozolomide patients (n=6) were merged into the DB + TOTEM arm (n=37); however, it is not clear whether these patients </w:t>
      </w:r>
      <w:proofErr w:type="gramStart"/>
      <w:r w:rsidRPr="375F5CCE">
        <w:t>actually received</w:t>
      </w:r>
      <w:proofErr w:type="gramEnd"/>
      <w:r w:rsidRPr="375F5CCE">
        <w:t xml:space="preserve"> TOTEM versus temozolomide alone as this information is not available from the trial</w:t>
      </w:r>
      <w:r w:rsidRPr="375F5CCE">
        <w:rPr>
          <w:i/>
          <w:iCs/>
          <w:color w:val="5B9BD5" w:themeColor="accent1"/>
        </w:rPr>
        <w:t xml:space="preserve"> </w:t>
      </w:r>
      <w:r w:rsidRPr="375F5CCE">
        <w:t>abstract/presentation reported by Gray 2022. This resulted in a final two arms for which results were presented: TOTEM (n=22) and DB + TOTEM (n=43).</w:t>
      </w:r>
    </w:p>
    <w:p w14:paraId="05CF7795" w14:textId="190D212A" w:rsidR="004553AB" w:rsidRPr="00E012DE" w:rsidRDefault="004553AB" w:rsidP="004553AB">
      <w:r w:rsidRPr="375F5CCE">
        <w:t xml:space="preserve">It is unclear what impact the merging of arms and changes in chemotherapy regimen would have on the comparative efficacy results, given the small sample sizes. Crossover to DB + topotecan + cyclophosphamide was also allowed for patients randomised to chemotherapy alone who experienced disease progression. There were 12 patients (54.5%) in the no DB arm that received crossover treatment. </w:t>
      </w:r>
      <w:r w:rsidR="00E17504" w:rsidRPr="375F5CCE">
        <w:t xml:space="preserve">Overall response rate (ORR) </w:t>
      </w:r>
      <w:r w:rsidRPr="375F5CCE">
        <w:t>was measured prior to crossover. However</w:t>
      </w:r>
      <w:r w:rsidR="003266EA" w:rsidRPr="375F5CCE">
        <w:t>,</w:t>
      </w:r>
      <w:r w:rsidRPr="375F5CCE">
        <w:t xml:space="preserve"> OS was not censored prior to crossover, and therefore may have been impacted by crossover treatment, in an unknown direction.</w:t>
      </w:r>
    </w:p>
    <w:p w14:paraId="032B3259" w14:textId="77777777" w:rsidR="004553AB" w:rsidRPr="00E012DE" w:rsidRDefault="004553AB" w:rsidP="004553AB">
      <w:r w:rsidRPr="375F5CCE">
        <w:t>Regarding statistical planning for the DB amendment, the trial protocol stated (p108) that assuming a control arm response rate of 25% and experimental arm response rate of 45%, with 64 patients in total there will be 80% power with a one-sided p=0.23 for ORR. The statistical analysis plan was not available, and there was no evidence of controlling for multiplicity, though it was stated in the protocol that the DB question would not be taken any further if at the final analysis p&gt;0.23. Other analyses were to be conducted per the bevacizumab randomisation.</w:t>
      </w:r>
    </w:p>
    <w:p w14:paraId="2B37420C" w14:textId="3203731E" w:rsidR="004553AB" w:rsidRPr="00E012DE" w:rsidRDefault="004553AB" w:rsidP="004553AB">
      <w:r w:rsidRPr="375F5CCE">
        <w:t xml:space="preserve">Best response was defined as complete (CR) or partial (PR) response at any time during the first six cycles of trial therapy, with response evaluated every two cycles. Responses were locally evaluated using the Response Evaluation Criteria in Solid Tumours (RECIST Criteria 1.1) for those patients with measurable disease on cross-sectional imaging. Response was determined for patients with evaluable disease (only </w:t>
      </w:r>
      <w:proofErr w:type="spellStart"/>
      <w:r w:rsidRPr="375F5CCE">
        <w:t>metaiodobenzylguanidine</w:t>
      </w:r>
      <w:proofErr w:type="spellEnd"/>
      <w:r w:rsidRPr="375F5CCE">
        <w:t xml:space="preserve"> [MIBG] avid disease) using a semiquantitative score (CURIE &amp; SIOPEN) and the new International Neuroblastoma Response Criteria. An independent blinded radiologist and nuclear medicine physician was to review all </w:t>
      </w:r>
      <w:r w:rsidR="00421C0C" w:rsidRPr="375F5CCE">
        <w:t>computed tomography (</w:t>
      </w:r>
      <w:r w:rsidRPr="375F5CCE">
        <w:t>CT</w:t>
      </w:r>
      <w:r w:rsidR="00421C0C" w:rsidRPr="375F5CCE">
        <w:t>)</w:t>
      </w:r>
      <w:r w:rsidRPr="375F5CCE">
        <w:t>/</w:t>
      </w:r>
      <w:r w:rsidR="00421C0C" w:rsidRPr="375F5CCE">
        <w:t>magnetic resonance imaging (</w:t>
      </w:r>
      <w:r w:rsidRPr="375F5CCE">
        <w:t>MRI</w:t>
      </w:r>
      <w:r w:rsidR="00421C0C" w:rsidRPr="375F5CCE">
        <w:t>)</w:t>
      </w:r>
      <w:r w:rsidRPr="375F5CCE">
        <w:t xml:space="preserve"> and MIBG scans of patients who respond (CR or PR), along with a random sample of at least 20% of the non-responders.</w:t>
      </w:r>
    </w:p>
    <w:p w14:paraId="01ED854E" w14:textId="4C83A49E" w:rsidR="004553AB" w:rsidRDefault="004553AB" w:rsidP="004553AB">
      <w:r w:rsidRPr="375F5CCE">
        <w:t xml:space="preserve">Overall, the exploratory nature of the trial and the fact that </w:t>
      </w:r>
      <w:r w:rsidR="00C510FD" w:rsidRPr="375F5CCE">
        <w:t>BEACON-</w:t>
      </w:r>
      <w:proofErr w:type="spellStart"/>
      <w:r w:rsidR="00C510FD" w:rsidRPr="375F5CCE">
        <w:t>Immuno</w:t>
      </w:r>
      <w:proofErr w:type="spellEnd"/>
      <w:r w:rsidRPr="375F5CCE">
        <w:t xml:space="preserve"> was not designed nor powered for testing differences in efficacy between DB + chemotherapy and chemotherapy alone limits the interpretation and internal validity of the results of this phase II, open-label trial.</w:t>
      </w:r>
    </w:p>
    <w:p w14:paraId="4239C639" w14:textId="0480C18A" w:rsidR="005318B7" w:rsidRDefault="004553AB" w:rsidP="004553AB">
      <w:proofErr w:type="gramStart"/>
      <w:r w:rsidRPr="375F5CCE">
        <w:t>All of</w:t>
      </w:r>
      <w:proofErr w:type="gramEnd"/>
      <w:r w:rsidRPr="375F5CCE">
        <w:t xml:space="preserve"> the included trials and studies were relatively small with respect to sample size</w:t>
      </w:r>
      <w:r w:rsidR="00E17504" w:rsidRPr="375F5CCE">
        <w:t>, likely reflecting the rarity of the condition</w:t>
      </w:r>
      <w:r w:rsidRPr="375F5CCE">
        <w:t xml:space="preserve">. Most had a mixture of relapsed and refractory patients; among relapsed patients, only two studies (ANBL 1221 and BEACON-1) restricted enrolment to only those with first (primary) relapse, as per the intended treatment population. </w:t>
      </w:r>
    </w:p>
    <w:p w14:paraId="5F51679E" w14:textId="05E030E7" w:rsidR="004553AB" w:rsidRDefault="005318B7" w:rsidP="004553AB">
      <w:r w:rsidRPr="375F5CCE">
        <w:t xml:space="preserve">The ADAR provided a summary of the prognostic factors of importance specific to the RRHRNBL indication. </w:t>
      </w:r>
      <w:r w:rsidR="00722A31" w:rsidRPr="375F5CCE">
        <w:t xml:space="preserve">Differences in these adverse prognostic factors (proportion relapsed, older age at diagnosis, metastatic disease, measurable disease, </w:t>
      </w:r>
      <w:r w:rsidR="00722A31" w:rsidRPr="375F5CCE">
        <w:rPr>
          <w:i/>
          <w:iCs/>
        </w:rPr>
        <w:t>MYCN</w:t>
      </w:r>
      <w:r w:rsidR="00722A31" w:rsidRPr="375F5CCE">
        <w:t xml:space="preserve"> oncogene amplification, shorter time from diagnosis to relapse, prior progressive disease, no prior anti-</w:t>
      </w:r>
      <w:proofErr w:type="spellStart"/>
      <w:r w:rsidR="0063480B" w:rsidRPr="375F5CCE">
        <w:t>disialoganglioside</w:t>
      </w:r>
      <w:proofErr w:type="spellEnd"/>
      <w:r w:rsidR="0063480B" w:rsidRPr="375F5CCE">
        <w:t xml:space="preserve"> 2 </w:t>
      </w:r>
      <w:r w:rsidR="0093753F" w:rsidRPr="375F5CCE">
        <w:t>[</w:t>
      </w:r>
      <w:r w:rsidR="00722A31" w:rsidRPr="375F5CCE">
        <w:t>GD2</w:t>
      </w:r>
      <w:r w:rsidR="0093753F" w:rsidRPr="375F5CCE">
        <w:t>]</w:t>
      </w:r>
      <w:r w:rsidR="00722A31" w:rsidRPr="375F5CCE">
        <w:t xml:space="preserve"> treatment </w:t>
      </w:r>
      <w:r w:rsidR="0093753F" w:rsidRPr="375F5CCE">
        <w:t>[</w:t>
      </w:r>
      <w:r w:rsidR="00722A31" w:rsidRPr="375F5CCE">
        <w:t>DB or DA</w:t>
      </w:r>
      <w:r w:rsidR="0093753F" w:rsidRPr="375F5CCE">
        <w:t>]</w:t>
      </w:r>
      <w:r w:rsidR="00722A31" w:rsidRPr="375F5CCE">
        <w:t xml:space="preserve"> and earlier treatment era) were observed between treatment arms of the </w:t>
      </w:r>
      <w:r w:rsidR="00C510FD" w:rsidRPr="375F5CCE">
        <w:t>BEACON-</w:t>
      </w:r>
      <w:proofErr w:type="spellStart"/>
      <w:r w:rsidR="00C510FD" w:rsidRPr="375F5CCE">
        <w:t>Immuno</w:t>
      </w:r>
      <w:proofErr w:type="spellEnd"/>
      <w:r w:rsidR="00722A31" w:rsidRPr="375F5CCE">
        <w:t xml:space="preserve"> and ANBL 1221 trials, as well as between the trials and studies. </w:t>
      </w:r>
    </w:p>
    <w:p w14:paraId="3B9FC2AD" w14:textId="11E56538" w:rsidR="00772829" w:rsidRDefault="00772829" w:rsidP="00EE5979">
      <w:pPr>
        <w:pStyle w:val="Heading2"/>
        <w:numPr>
          <w:ilvl w:val="0"/>
          <w:numId w:val="22"/>
        </w:numPr>
        <w:ind w:hanging="720"/>
      </w:pPr>
      <w:bookmarkStart w:id="18" w:name="_Toc69491423"/>
      <w:r w:rsidRPr="00CE28E3">
        <w:lastRenderedPageBreak/>
        <w:t>Comparative safety</w:t>
      </w:r>
      <w:bookmarkEnd w:id="18"/>
    </w:p>
    <w:p w14:paraId="1D7DCA2D" w14:textId="1F9093B9" w:rsidR="004553AB" w:rsidRDefault="004553AB" w:rsidP="004553AB">
      <w:r w:rsidRPr="375F5CCE">
        <w:t>The ADAR only reported safety outcomes for the RCTs (</w:t>
      </w:r>
      <w:r w:rsidR="00C510FD" w:rsidRPr="375F5CCE">
        <w:t>BEACON-</w:t>
      </w:r>
      <w:proofErr w:type="spellStart"/>
      <w:r w:rsidR="00C510FD" w:rsidRPr="375F5CCE">
        <w:t>Immuno</w:t>
      </w:r>
      <w:proofErr w:type="spellEnd"/>
      <w:r w:rsidRPr="375F5CCE">
        <w:t xml:space="preserve"> and ANBL 1221). </w:t>
      </w:r>
    </w:p>
    <w:p w14:paraId="13D30F9C" w14:textId="63C507E2" w:rsidR="004553AB" w:rsidRDefault="00597B8C" w:rsidP="004553AB">
      <w:r w:rsidRPr="375F5CCE">
        <w:t xml:space="preserve">The ADAR stated that </w:t>
      </w:r>
      <w:r w:rsidR="004553AB" w:rsidRPr="375F5CCE">
        <w:t xml:space="preserve">DB showed a tolerable toxicity profile in RRHRNBL, with </w:t>
      </w:r>
      <w:proofErr w:type="gramStart"/>
      <w:r w:rsidR="004553AB" w:rsidRPr="375F5CCE">
        <w:t>the majority of</w:t>
      </w:r>
      <w:proofErr w:type="gramEnd"/>
      <w:r w:rsidR="004553AB" w:rsidRPr="375F5CCE">
        <w:t xml:space="preserve"> adverse events (AEs) of grade 1 or 2 intensity in both treatment arms. A higher rate of Grade 1 and 2 neurotoxicity was seen in the DB + TOTEM arm (63%) compared with the TOTEM arm (14%). In patients receiving DB, there was no increase in myelotoxicity or infection (Gray 2022). Grade 2 neurotoxic AEs reported were headache (one patient), neuralgia (five patients), nystagmus (one patient), paraesthesia (one patient) and peripheral motor neuropathy (one patient). The only grade 3 neurotoxicity reported was myelitis (one patient) (Gray 2022). </w:t>
      </w:r>
    </w:p>
    <w:p w14:paraId="5F400F33" w14:textId="28B759D8" w:rsidR="004553AB" w:rsidRPr="004553AB" w:rsidRDefault="004553AB" w:rsidP="004553AB">
      <w:r w:rsidRPr="375F5CCE">
        <w:t xml:space="preserve">The commentary noted the evaluation of safety data is limited and not able to be verified given the absence of a CSR. Data provided from Gray 2022 showed that patients treated with DB + TOTEM were observed to have had a comparable rate of all AEs. As noted by the ADAR above, </w:t>
      </w:r>
      <w:r w:rsidR="0066635C" w:rsidRPr="375F5CCE">
        <w:t>neurotoxicity</w:t>
      </w:r>
      <w:r w:rsidRPr="375F5CCE">
        <w:t xml:space="preserve"> appeared to be more common in the DB + TOTEM arm compared to the TOTEM arm.</w:t>
      </w:r>
    </w:p>
    <w:p w14:paraId="3717AA01" w14:textId="3A5C9FB1" w:rsidR="00772829" w:rsidRDefault="00772829" w:rsidP="00EE5979">
      <w:pPr>
        <w:pStyle w:val="Heading2"/>
        <w:numPr>
          <w:ilvl w:val="0"/>
          <w:numId w:val="22"/>
        </w:numPr>
        <w:ind w:hanging="720"/>
      </w:pPr>
      <w:bookmarkStart w:id="19" w:name="_Toc69491424"/>
      <w:r w:rsidRPr="00CE28E3">
        <w:t>Comparative effectiveness</w:t>
      </w:r>
      <w:bookmarkEnd w:id="19"/>
    </w:p>
    <w:p w14:paraId="1CEFB11A" w14:textId="3F8EA009" w:rsidR="00E22A54" w:rsidRDefault="00597B8C" w:rsidP="00597B8C">
      <w:r>
        <w:t>The ADAR presented results for ORR, OS</w:t>
      </w:r>
      <w:r w:rsidR="00112F65">
        <w:t xml:space="preserve"> and PFS</w:t>
      </w:r>
      <w:r w:rsidR="00E22A54">
        <w:t>, where reported in the trials and studies</w:t>
      </w:r>
      <w:r w:rsidR="003E3D55">
        <w:t xml:space="preserve">. </w:t>
      </w:r>
    </w:p>
    <w:p w14:paraId="27D0D06E" w14:textId="7223D091" w:rsidR="00E22A54" w:rsidRDefault="00E22A54" w:rsidP="00E22A54">
      <w:pPr>
        <w:pStyle w:val="Heading3"/>
      </w:pPr>
      <w:bookmarkStart w:id="20" w:name="_Hlk192336179"/>
      <w:r>
        <w:t>Overall response rate (ORR)</w:t>
      </w:r>
      <w:bookmarkEnd w:id="20"/>
    </w:p>
    <w:p w14:paraId="6DBCFFC8" w14:textId="1F515A8D" w:rsidR="00597B8C" w:rsidRDefault="003E3D55" w:rsidP="00597B8C">
      <w:r w:rsidRPr="375F5CCE">
        <w:t>ORR was reported</w:t>
      </w:r>
      <w:r w:rsidR="00597B8C" w:rsidRPr="375F5CCE">
        <w:t xml:space="preserve"> for the individual trials, a meta-analysis of the </w:t>
      </w:r>
      <w:r w:rsidR="00C510FD" w:rsidRPr="375F5CCE">
        <w:t>BEACON-</w:t>
      </w:r>
      <w:proofErr w:type="spellStart"/>
      <w:r w:rsidR="00C510FD" w:rsidRPr="375F5CCE">
        <w:t>Immuno</w:t>
      </w:r>
      <w:proofErr w:type="spellEnd"/>
      <w:r w:rsidR="00597B8C" w:rsidRPr="375F5CCE">
        <w:t xml:space="preserve"> and ANBL 1221 trials and meta-analyses of the </w:t>
      </w:r>
      <w:r w:rsidR="00E93312" w:rsidRPr="375F5CCE">
        <w:t>(</w:t>
      </w:r>
      <w:proofErr w:type="spellStart"/>
      <w:r w:rsidR="00E93312" w:rsidRPr="375F5CCE">
        <w:t>i</w:t>
      </w:r>
      <w:proofErr w:type="spellEnd"/>
      <w:r w:rsidR="00E93312" w:rsidRPr="375F5CCE">
        <w:t xml:space="preserve">) </w:t>
      </w:r>
      <w:r w:rsidR="00597B8C" w:rsidRPr="375F5CCE">
        <w:t>DB/D</w:t>
      </w:r>
      <w:r w:rsidR="00E93312" w:rsidRPr="375F5CCE">
        <w:t>A</w:t>
      </w:r>
      <w:r w:rsidR="00597B8C" w:rsidRPr="375F5CCE">
        <w:t xml:space="preserve"> + chemotherapy and </w:t>
      </w:r>
      <w:r w:rsidR="00E93312" w:rsidRPr="375F5CCE">
        <w:t xml:space="preserve">(ii) </w:t>
      </w:r>
      <w:r w:rsidR="00597B8C" w:rsidRPr="375F5CCE">
        <w:t>chemotherapy alone arms of all trials and studies</w:t>
      </w:r>
      <w:r w:rsidR="205F289A" w:rsidRPr="375F5CCE">
        <w:t>,</w:t>
      </w:r>
      <w:r w:rsidR="00597B8C" w:rsidRPr="375F5CCE">
        <w:t xml:space="preserve"> and provided a comparison of the meta-analyse</w:t>
      </w:r>
      <w:r w:rsidR="00E93312" w:rsidRPr="375F5CCE">
        <w:t>d</w:t>
      </w:r>
      <w:r w:rsidR="00597B8C" w:rsidRPr="375F5CCE">
        <w:t xml:space="preserve"> single arm results</w:t>
      </w:r>
      <w:r w:rsidR="00E22A54" w:rsidRPr="375F5CCE">
        <w:t xml:space="preserve">, see </w:t>
      </w:r>
      <w:r>
        <w:fldChar w:fldCharType="begin"/>
      </w:r>
      <w:r>
        <w:instrText xml:space="preserve"> REF _Ref184248519 \h </w:instrText>
      </w:r>
      <w:r>
        <w:fldChar w:fldCharType="separate"/>
      </w:r>
      <w:r w:rsidR="00C02A66" w:rsidRPr="375F5CCE">
        <w:t xml:space="preserve">Table </w:t>
      </w:r>
      <w:r w:rsidR="00C02A66" w:rsidRPr="375F5CCE">
        <w:rPr>
          <w:noProof/>
        </w:rPr>
        <w:t>3</w:t>
      </w:r>
      <w:r>
        <w:fldChar w:fldCharType="end"/>
      </w:r>
      <w:r w:rsidR="00597B8C" w:rsidRPr="375F5CCE">
        <w:t>.</w:t>
      </w:r>
    </w:p>
    <w:p w14:paraId="788B1034" w14:textId="0F0B9816" w:rsidR="00597B8C" w:rsidRDefault="003E3D55" w:rsidP="003E3D55">
      <w:pPr>
        <w:pStyle w:val="Caption"/>
      </w:pPr>
      <w:bookmarkStart w:id="21" w:name="_Ref184248519"/>
      <w:r>
        <w:lastRenderedPageBreak/>
        <w:t xml:space="preserve">Table </w:t>
      </w:r>
      <w:r>
        <w:fldChar w:fldCharType="begin"/>
      </w:r>
      <w:r>
        <w:instrText>SEQ Table \* ARABIC</w:instrText>
      </w:r>
      <w:r>
        <w:fldChar w:fldCharType="separate"/>
      </w:r>
      <w:r w:rsidR="00C02A66">
        <w:rPr>
          <w:noProof/>
        </w:rPr>
        <w:t>3</w:t>
      </w:r>
      <w:r>
        <w:fldChar w:fldCharType="end"/>
      </w:r>
      <w:bookmarkEnd w:id="21"/>
      <w:r>
        <w:tab/>
        <w:t>Results for ORR reported in the trials and studies</w:t>
      </w:r>
    </w:p>
    <w:tbl>
      <w:tblPr>
        <w:tblStyle w:val="TableGrid"/>
        <w:tblW w:w="0" w:type="auto"/>
        <w:tblCellMar>
          <w:left w:w="28" w:type="dxa"/>
          <w:right w:w="28" w:type="dxa"/>
        </w:tblCellMar>
        <w:tblLook w:val="04A0" w:firstRow="1" w:lastRow="0" w:firstColumn="1" w:lastColumn="0" w:noHBand="0" w:noVBand="1"/>
      </w:tblPr>
      <w:tblGrid>
        <w:gridCol w:w="2972"/>
        <w:gridCol w:w="1985"/>
        <w:gridCol w:w="1842"/>
        <w:gridCol w:w="1985"/>
      </w:tblGrid>
      <w:tr w:rsidR="002463DB" w:rsidRPr="00597B8C" w14:paraId="2A4B502A" w14:textId="77777777" w:rsidTr="375F5CCE">
        <w:trPr>
          <w:trHeight w:val="270"/>
        </w:trPr>
        <w:tc>
          <w:tcPr>
            <w:tcW w:w="2972" w:type="dxa"/>
            <w:vMerge w:val="restart"/>
            <w:vAlign w:val="center"/>
          </w:tcPr>
          <w:p w14:paraId="7434272A" w14:textId="476CA8D6" w:rsidR="002463DB" w:rsidRPr="003E3D55" w:rsidRDefault="002463DB" w:rsidP="003E3D55">
            <w:pPr>
              <w:keepNext/>
              <w:spacing w:before="40" w:after="40"/>
              <w:rPr>
                <w:rFonts w:ascii="Arial Narrow" w:hAnsi="Arial Narrow"/>
                <w:b/>
                <w:bCs/>
                <w:sz w:val="20"/>
                <w:szCs w:val="20"/>
              </w:rPr>
            </w:pPr>
            <w:r w:rsidRPr="003E3D55">
              <w:rPr>
                <w:rFonts w:ascii="Arial Narrow" w:hAnsi="Arial Narrow"/>
                <w:b/>
                <w:bCs/>
                <w:sz w:val="20"/>
                <w:szCs w:val="20"/>
              </w:rPr>
              <w:t>Study</w:t>
            </w:r>
          </w:p>
        </w:tc>
        <w:tc>
          <w:tcPr>
            <w:tcW w:w="1985" w:type="dxa"/>
            <w:vMerge w:val="restart"/>
            <w:vAlign w:val="center"/>
          </w:tcPr>
          <w:p w14:paraId="0FCF7809" w14:textId="49D428F4" w:rsidR="002463DB" w:rsidRPr="003E3D55" w:rsidRDefault="002463DB" w:rsidP="375F5CCE">
            <w:pPr>
              <w:keepNext/>
              <w:spacing w:before="40" w:after="40"/>
              <w:jc w:val="center"/>
              <w:rPr>
                <w:rFonts w:ascii="Arial Narrow" w:hAnsi="Arial Narrow"/>
                <w:b/>
                <w:bCs/>
                <w:sz w:val="20"/>
                <w:szCs w:val="20"/>
              </w:rPr>
            </w:pPr>
            <w:r w:rsidRPr="375F5CCE">
              <w:rPr>
                <w:rFonts w:ascii="Arial Narrow" w:hAnsi="Arial Narrow"/>
                <w:b/>
                <w:bCs/>
                <w:sz w:val="20"/>
                <w:szCs w:val="20"/>
              </w:rPr>
              <w:t>Intervention</w:t>
            </w:r>
            <w:r>
              <w:br/>
            </w:r>
            <w:r w:rsidRPr="375F5CCE">
              <w:rPr>
                <w:rFonts w:ascii="Arial Narrow" w:hAnsi="Arial Narrow"/>
                <w:b/>
                <w:bCs/>
                <w:sz w:val="20"/>
                <w:szCs w:val="20"/>
              </w:rPr>
              <w:t>n/N (%</w:t>
            </w:r>
            <w:r w:rsidR="00B116C4">
              <w:rPr>
                <w:rFonts w:ascii="Arial Narrow" w:hAnsi="Arial Narrow"/>
                <w:b/>
                <w:bCs/>
                <w:sz w:val="20"/>
                <w:szCs w:val="20"/>
              </w:rPr>
              <w:t xml:space="preserve">, </w:t>
            </w:r>
            <w:r w:rsidRPr="375F5CCE">
              <w:rPr>
                <w:rFonts w:ascii="Arial Narrow" w:hAnsi="Arial Narrow"/>
                <w:b/>
                <w:bCs/>
                <w:sz w:val="20"/>
                <w:szCs w:val="20"/>
              </w:rPr>
              <w:t>[95% CI])</w:t>
            </w:r>
          </w:p>
        </w:tc>
        <w:tc>
          <w:tcPr>
            <w:tcW w:w="1842" w:type="dxa"/>
            <w:vMerge w:val="restart"/>
            <w:vAlign w:val="center"/>
          </w:tcPr>
          <w:p w14:paraId="253CBBD3" w14:textId="78C90889" w:rsidR="002463DB" w:rsidRPr="003E3D55" w:rsidRDefault="002463DB" w:rsidP="003E3D55">
            <w:pPr>
              <w:keepNext/>
              <w:spacing w:before="40" w:after="40"/>
              <w:jc w:val="center"/>
              <w:rPr>
                <w:rFonts w:ascii="Arial Narrow" w:hAnsi="Arial Narrow"/>
                <w:b/>
                <w:bCs/>
                <w:sz w:val="20"/>
                <w:szCs w:val="20"/>
              </w:rPr>
            </w:pPr>
            <w:r w:rsidRPr="003E3D55">
              <w:rPr>
                <w:rFonts w:ascii="Arial Narrow" w:hAnsi="Arial Narrow"/>
                <w:b/>
                <w:bCs/>
                <w:sz w:val="20"/>
                <w:szCs w:val="20"/>
              </w:rPr>
              <w:t>Comparator</w:t>
            </w:r>
            <w:r>
              <w:rPr>
                <w:rFonts w:ascii="Arial Narrow" w:hAnsi="Arial Narrow"/>
                <w:b/>
                <w:bCs/>
                <w:sz w:val="20"/>
                <w:szCs w:val="20"/>
              </w:rPr>
              <w:t xml:space="preserve"> </w:t>
            </w:r>
            <w:r>
              <w:rPr>
                <w:rFonts w:ascii="Arial Narrow" w:hAnsi="Arial Narrow"/>
                <w:b/>
                <w:bCs/>
                <w:sz w:val="20"/>
                <w:szCs w:val="20"/>
              </w:rPr>
              <w:br/>
              <w:t>n/N (%</w:t>
            </w:r>
            <w:r w:rsidR="00B116C4">
              <w:rPr>
                <w:rFonts w:ascii="Arial Narrow" w:hAnsi="Arial Narrow"/>
                <w:b/>
                <w:bCs/>
                <w:sz w:val="20"/>
                <w:szCs w:val="20"/>
              </w:rPr>
              <w:t>,</w:t>
            </w:r>
            <w:r>
              <w:rPr>
                <w:rFonts w:ascii="Arial Narrow" w:hAnsi="Arial Narrow"/>
                <w:b/>
                <w:bCs/>
                <w:sz w:val="20"/>
                <w:szCs w:val="20"/>
              </w:rPr>
              <w:t xml:space="preserve"> [95% CI])</w:t>
            </w:r>
          </w:p>
        </w:tc>
        <w:tc>
          <w:tcPr>
            <w:tcW w:w="1985" w:type="dxa"/>
            <w:vMerge w:val="restart"/>
            <w:vAlign w:val="center"/>
          </w:tcPr>
          <w:p w14:paraId="25FE5D3A" w14:textId="556C0775" w:rsidR="002463DB" w:rsidRPr="003E3D55" w:rsidRDefault="002463DB" w:rsidP="003E3D55">
            <w:pPr>
              <w:keepNext/>
              <w:spacing w:before="40" w:after="40"/>
              <w:jc w:val="center"/>
              <w:rPr>
                <w:rFonts w:ascii="Arial Narrow" w:hAnsi="Arial Narrow"/>
                <w:b/>
                <w:bCs/>
                <w:sz w:val="20"/>
                <w:szCs w:val="20"/>
              </w:rPr>
            </w:pPr>
            <w:r w:rsidRPr="003E3D55">
              <w:rPr>
                <w:rFonts w:ascii="Arial Narrow" w:hAnsi="Arial Narrow"/>
                <w:b/>
                <w:bCs/>
                <w:sz w:val="20"/>
                <w:szCs w:val="20"/>
              </w:rPr>
              <w:t>Risk difference (95% CI)</w:t>
            </w:r>
            <w:r>
              <w:rPr>
                <w:rFonts w:ascii="Arial Narrow" w:hAnsi="Arial Narrow"/>
                <w:b/>
                <w:bCs/>
                <w:sz w:val="20"/>
                <w:szCs w:val="20"/>
              </w:rPr>
              <w:t xml:space="preserve"> </w:t>
            </w:r>
          </w:p>
        </w:tc>
      </w:tr>
      <w:tr w:rsidR="002463DB" w:rsidRPr="00597B8C" w14:paraId="22B559E2" w14:textId="77777777" w:rsidTr="375F5CCE">
        <w:trPr>
          <w:trHeight w:val="310"/>
        </w:trPr>
        <w:tc>
          <w:tcPr>
            <w:tcW w:w="2972" w:type="dxa"/>
            <w:vMerge/>
            <w:vAlign w:val="center"/>
          </w:tcPr>
          <w:p w14:paraId="4305E85C" w14:textId="77777777" w:rsidR="002463DB" w:rsidRPr="003E3D55" w:rsidRDefault="002463DB" w:rsidP="003E3D55">
            <w:pPr>
              <w:keepNext/>
              <w:spacing w:before="40" w:after="40"/>
              <w:rPr>
                <w:rFonts w:ascii="Arial Narrow" w:hAnsi="Arial Narrow"/>
                <w:b/>
                <w:bCs/>
                <w:sz w:val="20"/>
                <w:szCs w:val="20"/>
              </w:rPr>
            </w:pPr>
          </w:p>
        </w:tc>
        <w:tc>
          <w:tcPr>
            <w:tcW w:w="1985" w:type="dxa"/>
            <w:vMerge/>
            <w:vAlign w:val="center"/>
          </w:tcPr>
          <w:p w14:paraId="54AFF347" w14:textId="77777777" w:rsidR="002463DB" w:rsidRPr="003E3D55" w:rsidRDefault="002463DB" w:rsidP="003E3D55">
            <w:pPr>
              <w:keepNext/>
              <w:spacing w:before="40" w:after="40"/>
              <w:jc w:val="center"/>
              <w:rPr>
                <w:rFonts w:ascii="Arial Narrow" w:hAnsi="Arial Narrow"/>
                <w:b/>
                <w:bCs/>
                <w:sz w:val="20"/>
                <w:szCs w:val="20"/>
              </w:rPr>
            </w:pPr>
          </w:p>
        </w:tc>
        <w:tc>
          <w:tcPr>
            <w:tcW w:w="1842" w:type="dxa"/>
            <w:vMerge/>
            <w:vAlign w:val="center"/>
          </w:tcPr>
          <w:p w14:paraId="7D14CD2C" w14:textId="77777777" w:rsidR="002463DB" w:rsidRPr="003E3D55" w:rsidRDefault="002463DB" w:rsidP="003E3D55">
            <w:pPr>
              <w:keepNext/>
              <w:spacing w:before="40" w:after="40"/>
              <w:jc w:val="center"/>
              <w:rPr>
                <w:rFonts w:ascii="Arial Narrow" w:hAnsi="Arial Narrow"/>
                <w:b/>
                <w:bCs/>
                <w:sz w:val="20"/>
                <w:szCs w:val="20"/>
              </w:rPr>
            </w:pPr>
          </w:p>
        </w:tc>
        <w:tc>
          <w:tcPr>
            <w:tcW w:w="1985" w:type="dxa"/>
            <w:vMerge/>
            <w:vAlign w:val="center"/>
          </w:tcPr>
          <w:p w14:paraId="5A87B19A" w14:textId="77777777" w:rsidR="002463DB" w:rsidRPr="003E3D55" w:rsidRDefault="002463DB" w:rsidP="003E3D55">
            <w:pPr>
              <w:keepNext/>
              <w:spacing w:before="40" w:after="40"/>
              <w:jc w:val="center"/>
              <w:rPr>
                <w:rFonts w:ascii="Arial Narrow" w:hAnsi="Arial Narrow"/>
                <w:b/>
                <w:bCs/>
                <w:sz w:val="20"/>
                <w:szCs w:val="20"/>
              </w:rPr>
            </w:pPr>
          </w:p>
        </w:tc>
      </w:tr>
      <w:tr w:rsidR="002463DB" w:rsidRPr="00597B8C" w14:paraId="641CAE76" w14:textId="77777777" w:rsidTr="375F5CCE">
        <w:tc>
          <w:tcPr>
            <w:tcW w:w="2972" w:type="dxa"/>
          </w:tcPr>
          <w:p w14:paraId="264F29C9" w14:textId="70475C7C" w:rsidR="002463DB" w:rsidRPr="00597B8C" w:rsidRDefault="002463DB" w:rsidP="375F5CCE">
            <w:pPr>
              <w:keepNext/>
              <w:spacing w:before="40" w:after="40"/>
              <w:rPr>
                <w:rFonts w:ascii="Arial Narrow" w:hAnsi="Arial Narrow"/>
                <w:sz w:val="20"/>
                <w:szCs w:val="20"/>
              </w:rPr>
            </w:pPr>
            <w:r w:rsidRPr="375F5CCE">
              <w:rPr>
                <w:rFonts w:ascii="Arial Narrow" w:hAnsi="Arial Narrow"/>
                <w:sz w:val="20"/>
                <w:szCs w:val="20"/>
              </w:rPr>
              <w:t>BEACON-</w:t>
            </w:r>
            <w:proofErr w:type="spellStart"/>
            <w:r w:rsidRPr="375F5CCE">
              <w:rPr>
                <w:rFonts w:ascii="Arial Narrow" w:hAnsi="Arial Narrow"/>
                <w:sz w:val="20"/>
                <w:szCs w:val="20"/>
              </w:rPr>
              <w:t>Immuno</w:t>
            </w:r>
            <w:proofErr w:type="spellEnd"/>
            <w:r w:rsidRPr="375F5CCE">
              <w:rPr>
                <w:rFonts w:ascii="Arial Narrow" w:hAnsi="Arial Narrow"/>
                <w:sz w:val="20"/>
                <w:szCs w:val="20"/>
              </w:rPr>
              <w:t xml:space="preserve"> (DB)</w:t>
            </w:r>
          </w:p>
        </w:tc>
        <w:tc>
          <w:tcPr>
            <w:tcW w:w="1985" w:type="dxa"/>
            <w:vAlign w:val="center"/>
          </w:tcPr>
          <w:p w14:paraId="4602C548" w14:textId="2AC87E87" w:rsidR="002463DB" w:rsidRPr="00597B8C" w:rsidRDefault="002463DB" w:rsidP="009A2B47">
            <w:pPr>
              <w:keepNext/>
              <w:spacing w:before="40" w:after="40"/>
              <w:jc w:val="center"/>
              <w:rPr>
                <w:rFonts w:ascii="Arial Narrow" w:hAnsi="Arial Narrow"/>
                <w:sz w:val="20"/>
                <w:szCs w:val="20"/>
              </w:rPr>
            </w:pPr>
            <w:r>
              <w:rPr>
                <w:rFonts w:ascii="Arial Narrow" w:hAnsi="Arial Narrow"/>
                <w:sz w:val="20"/>
                <w:szCs w:val="20"/>
              </w:rPr>
              <w:t>15/43</w:t>
            </w:r>
            <w:r w:rsidR="00B116C4">
              <w:rPr>
                <w:rFonts w:ascii="Arial Narrow" w:hAnsi="Arial Narrow"/>
                <w:sz w:val="20"/>
                <w:szCs w:val="20"/>
              </w:rPr>
              <w:t xml:space="preserve"> </w:t>
            </w:r>
            <w:r>
              <w:rPr>
                <w:rFonts w:ascii="Arial Narrow" w:hAnsi="Arial Narrow"/>
                <w:sz w:val="20"/>
                <w:szCs w:val="20"/>
              </w:rPr>
              <w:t>(35, [21, 51])</w:t>
            </w:r>
          </w:p>
        </w:tc>
        <w:tc>
          <w:tcPr>
            <w:tcW w:w="1842" w:type="dxa"/>
            <w:vAlign w:val="center"/>
          </w:tcPr>
          <w:p w14:paraId="73573D03" w14:textId="6E211FA4" w:rsidR="002463DB" w:rsidRPr="00597B8C" w:rsidRDefault="002463DB" w:rsidP="009A2B47">
            <w:pPr>
              <w:keepNext/>
              <w:spacing w:before="40" w:after="40"/>
              <w:jc w:val="center"/>
              <w:rPr>
                <w:rFonts w:ascii="Arial Narrow" w:hAnsi="Arial Narrow"/>
                <w:sz w:val="20"/>
                <w:szCs w:val="20"/>
              </w:rPr>
            </w:pPr>
            <w:r>
              <w:rPr>
                <w:rFonts w:ascii="Arial Narrow" w:hAnsi="Arial Narrow"/>
                <w:sz w:val="20"/>
                <w:szCs w:val="20"/>
              </w:rPr>
              <w:t>4/22 (18 [5, 40])</w:t>
            </w:r>
          </w:p>
        </w:tc>
        <w:tc>
          <w:tcPr>
            <w:tcW w:w="1985" w:type="dxa"/>
            <w:vAlign w:val="center"/>
          </w:tcPr>
          <w:p w14:paraId="74CC7E78" w14:textId="6DB3ABAC" w:rsidR="002463DB" w:rsidRPr="00597B8C" w:rsidRDefault="002463DB" w:rsidP="009A2B47">
            <w:pPr>
              <w:keepNext/>
              <w:spacing w:before="40" w:after="40"/>
              <w:jc w:val="center"/>
              <w:rPr>
                <w:rFonts w:ascii="Arial Narrow" w:hAnsi="Arial Narrow"/>
                <w:sz w:val="20"/>
                <w:szCs w:val="20"/>
              </w:rPr>
            </w:pPr>
            <w:r>
              <w:rPr>
                <w:rFonts w:ascii="Arial Narrow" w:hAnsi="Arial Narrow"/>
                <w:sz w:val="20"/>
                <w:szCs w:val="20"/>
              </w:rPr>
              <w:t>0.17 (-0.05, 0.38)</w:t>
            </w:r>
          </w:p>
        </w:tc>
      </w:tr>
      <w:tr w:rsidR="002463DB" w:rsidRPr="00597B8C" w14:paraId="3E86985F" w14:textId="77777777" w:rsidTr="375F5CCE">
        <w:tc>
          <w:tcPr>
            <w:tcW w:w="2972" w:type="dxa"/>
          </w:tcPr>
          <w:p w14:paraId="3B5DE239" w14:textId="4882861A" w:rsidR="002463DB" w:rsidRPr="00597B8C" w:rsidRDefault="002463DB" w:rsidP="009A2B47">
            <w:pPr>
              <w:keepNext/>
              <w:spacing w:before="40" w:after="40"/>
              <w:rPr>
                <w:rFonts w:ascii="Arial Narrow" w:hAnsi="Arial Narrow"/>
                <w:sz w:val="20"/>
                <w:szCs w:val="20"/>
              </w:rPr>
            </w:pPr>
            <w:r>
              <w:rPr>
                <w:rFonts w:ascii="Arial Narrow" w:hAnsi="Arial Narrow"/>
                <w:sz w:val="20"/>
                <w:szCs w:val="20"/>
              </w:rPr>
              <w:t>ANBL 1221 RCT (DA)</w:t>
            </w:r>
          </w:p>
        </w:tc>
        <w:tc>
          <w:tcPr>
            <w:tcW w:w="1985" w:type="dxa"/>
            <w:vAlign w:val="center"/>
          </w:tcPr>
          <w:p w14:paraId="1BBC7A21" w14:textId="5BA70D6F" w:rsidR="002463DB" w:rsidRPr="00597B8C" w:rsidRDefault="002463DB" w:rsidP="009A2B47">
            <w:pPr>
              <w:keepNext/>
              <w:spacing w:before="40" w:after="40"/>
              <w:jc w:val="center"/>
              <w:rPr>
                <w:rFonts w:ascii="Arial Narrow" w:hAnsi="Arial Narrow"/>
                <w:sz w:val="20"/>
                <w:szCs w:val="20"/>
              </w:rPr>
            </w:pPr>
            <w:r>
              <w:rPr>
                <w:rFonts w:ascii="Arial Narrow" w:hAnsi="Arial Narrow"/>
                <w:sz w:val="20"/>
                <w:szCs w:val="20"/>
              </w:rPr>
              <w:t>9/17 (53 [28, 77])</w:t>
            </w:r>
          </w:p>
        </w:tc>
        <w:tc>
          <w:tcPr>
            <w:tcW w:w="1842" w:type="dxa"/>
            <w:vAlign w:val="center"/>
          </w:tcPr>
          <w:p w14:paraId="28A5FA2A" w14:textId="3B21AAE2" w:rsidR="002463DB" w:rsidRPr="00597B8C" w:rsidRDefault="002463DB" w:rsidP="009A2B47">
            <w:pPr>
              <w:keepNext/>
              <w:spacing w:before="40" w:after="40"/>
              <w:jc w:val="center"/>
              <w:rPr>
                <w:rFonts w:ascii="Arial Narrow" w:hAnsi="Arial Narrow"/>
                <w:sz w:val="20"/>
                <w:szCs w:val="20"/>
              </w:rPr>
            </w:pPr>
            <w:r>
              <w:rPr>
                <w:rFonts w:ascii="Arial Narrow" w:hAnsi="Arial Narrow"/>
                <w:sz w:val="20"/>
                <w:szCs w:val="20"/>
              </w:rPr>
              <w:t>1/18</w:t>
            </w:r>
            <w:r w:rsidR="00F02ABB">
              <w:rPr>
                <w:rFonts w:ascii="Arial Narrow" w:hAnsi="Arial Narrow"/>
                <w:sz w:val="20"/>
                <w:szCs w:val="20"/>
              </w:rPr>
              <w:t xml:space="preserve"> </w:t>
            </w:r>
            <w:r>
              <w:rPr>
                <w:rFonts w:ascii="Arial Narrow" w:hAnsi="Arial Narrow"/>
                <w:sz w:val="20"/>
                <w:szCs w:val="20"/>
              </w:rPr>
              <w:t>(6 [0, 27])</w:t>
            </w:r>
          </w:p>
        </w:tc>
        <w:tc>
          <w:tcPr>
            <w:tcW w:w="1985" w:type="dxa"/>
            <w:vAlign w:val="center"/>
          </w:tcPr>
          <w:p w14:paraId="027ADD40" w14:textId="4CD2C2B2" w:rsidR="002463DB" w:rsidRPr="00241ED1" w:rsidRDefault="002463DB" w:rsidP="009A2B47">
            <w:pPr>
              <w:keepNext/>
              <w:spacing w:before="40" w:after="40"/>
              <w:jc w:val="center"/>
              <w:rPr>
                <w:rFonts w:ascii="Arial Narrow" w:hAnsi="Arial Narrow"/>
                <w:sz w:val="20"/>
                <w:szCs w:val="20"/>
              </w:rPr>
            </w:pPr>
            <w:r w:rsidRPr="00241ED1">
              <w:rPr>
                <w:rFonts w:ascii="Arial Narrow" w:hAnsi="Arial Narrow"/>
                <w:sz w:val="20"/>
                <w:szCs w:val="20"/>
              </w:rPr>
              <w:t>0.47 (0.21, 0.73)</w:t>
            </w:r>
          </w:p>
        </w:tc>
      </w:tr>
      <w:tr w:rsidR="00F02ABB" w:rsidRPr="00597B8C" w14:paraId="74D95419" w14:textId="77777777" w:rsidTr="375F5CCE">
        <w:tc>
          <w:tcPr>
            <w:tcW w:w="6799" w:type="dxa"/>
            <w:gridSpan w:val="3"/>
            <w:vAlign w:val="center"/>
          </w:tcPr>
          <w:p w14:paraId="3686FA26" w14:textId="251BC8D0" w:rsidR="00F02ABB" w:rsidRDefault="00F02ABB" w:rsidP="375F5CCE">
            <w:pPr>
              <w:keepNext/>
              <w:spacing w:before="40" w:after="40"/>
              <w:jc w:val="right"/>
              <w:rPr>
                <w:rFonts w:ascii="Arial Narrow" w:hAnsi="Arial Narrow"/>
                <w:sz w:val="20"/>
                <w:szCs w:val="20"/>
              </w:rPr>
            </w:pPr>
            <w:r w:rsidRPr="375F5CCE">
              <w:rPr>
                <w:rFonts w:ascii="Arial Narrow" w:hAnsi="Arial Narrow"/>
                <w:sz w:val="20"/>
                <w:szCs w:val="20"/>
              </w:rPr>
              <w:t>Meta-analysis of BEACON-</w:t>
            </w:r>
            <w:proofErr w:type="spellStart"/>
            <w:r w:rsidRPr="375F5CCE">
              <w:rPr>
                <w:rFonts w:ascii="Arial Narrow" w:hAnsi="Arial Narrow"/>
                <w:sz w:val="20"/>
                <w:szCs w:val="20"/>
              </w:rPr>
              <w:t>Immuno</w:t>
            </w:r>
            <w:proofErr w:type="spellEnd"/>
            <w:r w:rsidRPr="375F5CCE">
              <w:rPr>
                <w:rFonts w:ascii="Arial Narrow" w:hAnsi="Arial Narrow"/>
                <w:sz w:val="20"/>
                <w:szCs w:val="20"/>
              </w:rPr>
              <w:t xml:space="preserve"> and ANBL 1221</w:t>
            </w:r>
          </w:p>
        </w:tc>
        <w:tc>
          <w:tcPr>
            <w:tcW w:w="1985" w:type="dxa"/>
            <w:vAlign w:val="center"/>
          </w:tcPr>
          <w:p w14:paraId="63ACBCF1" w14:textId="1F028ED7" w:rsidR="00F02ABB" w:rsidRPr="00241ED1" w:rsidRDefault="00F02ABB" w:rsidP="009A2B47">
            <w:pPr>
              <w:keepNext/>
              <w:spacing w:before="40" w:after="40"/>
              <w:jc w:val="center"/>
              <w:rPr>
                <w:rFonts w:ascii="Arial Narrow" w:hAnsi="Arial Narrow"/>
                <w:sz w:val="20"/>
                <w:szCs w:val="20"/>
              </w:rPr>
            </w:pPr>
            <w:r w:rsidRPr="00241ED1">
              <w:rPr>
                <w:rFonts w:ascii="Arial Narrow" w:hAnsi="Arial Narrow"/>
                <w:sz w:val="20"/>
                <w:szCs w:val="20"/>
              </w:rPr>
              <w:t xml:space="preserve">0.31 (0.01, 0.61); </w:t>
            </w:r>
            <w:r w:rsidRPr="002E5C0E">
              <w:rPr>
                <w:rFonts w:ascii="Arial Narrow" w:hAnsi="Arial Narrow"/>
                <w:sz w:val="20"/>
                <w:szCs w:val="20"/>
              </w:rPr>
              <w:t>I</w:t>
            </w:r>
            <w:r w:rsidRPr="002E5C0E">
              <w:rPr>
                <w:rFonts w:ascii="Arial Narrow" w:hAnsi="Arial Narrow"/>
                <w:sz w:val="20"/>
                <w:szCs w:val="20"/>
                <w:vertAlign w:val="superscript"/>
              </w:rPr>
              <w:t>2</w:t>
            </w:r>
            <w:r w:rsidRPr="002E5C0E">
              <w:rPr>
                <w:rFonts w:ascii="Arial Narrow" w:hAnsi="Arial Narrow"/>
                <w:sz w:val="20"/>
                <w:szCs w:val="20"/>
              </w:rPr>
              <w:t xml:space="preserve"> = 69%</w:t>
            </w:r>
          </w:p>
        </w:tc>
      </w:tr>
      <w:tr w:rsidR="002463DB" w:rsidRPr="00597B8C" w14:paraId="28F769CF" w14:textId="77777777" w:rsidTr="375F5CCE">
        <w:tc>
          <w:tcPr>
            <w:tcW w:w="2972" w:type="dxa"/>
            <w:tcBorders>
              <w:top w:val="double" w:sz="4" w:space="0" w:color="auto"/>
            </w:tcBorders>
          </w:tcPr>
          <w:p w14:paraId="58896557" w14:textId="06F46658" w:rsidR="002463DB" w:rsidRPr="00597B8C" w:rsidRDefault="002463DB" w:rsidP="375F5CCE">
            <w:pPr>
              <w:keepNext/>
              <w:spacing w:before="40" w:after="40"/>
              <w:rPr>
                <w:rFonts w:ascii="Arial Narrow" w:hAnsi="Arial Narrow"/>
                <w:sz w:val="20"/>
                <w:szCs w:val="20"/>
              </w:rPr>
            </w:pPr>
            <w:r w:rsidRPr="375F5CCE">
              <w:rPr>
                <w:rFonts w:ascii="Arial Narrow" w:hAnsi="Arial Narrow"/>
                <w:sz w:val="20"/>
                <w:szCs w:val="20"/>
              </w:rPr>
              <w:t>BEACON-</w:t>
            </w:r>
            <w:proofErr w:type="spellStart"/>
            <w:r w:rsidRPr="375F5CCE">
              <w:rPr>
                <w:rFonts w:ascii="Arial Narrow" w:hAnsi="Arial Narrow"/>
                <w:sz w:val="20"/>
                <w:szCs w:val="20"/>
              </w:rPr>
              <w:t>Immuno</w:t>
            </w:r>
            <w:proofErr w:type="spellEnd"/>
            <w:r w:rsidRPr="375F5CCE">
              <w:rPr>
                <w:rFonts w:ascii="Arial Narrow" w:hAnsi="Arial Narrow"/>
                <w:sz w:val="20"/>
                <w:szCs w:val="20"/>
              </w:rPr>
              <w:t xml:space="preserve"> (DB)</w:t>
            </w:r>
          </w:p>
        </w:tc>
        <w:tc>
          <w:tcPr>
            <w:tcW w:w="1985" w:type="dxa"/>
            <w:tcBorders>
              <w:top w:val="double" w:sz="4" w:space="0" w:color="auto"/>
            </w:tcBorders>
            <w:vAlign w:val="center"/>
          </w:tcPr>
          <w:p w14:paraId="2A01AF0C" w14:textId="42356321"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15/43 (35, [21, 51])</w:t>
            </w:r>
          </w:p>
        </w:tc>
        <w:tc>
          <w:tcPr>
            <w:tcW w:w="1842" w:type="dxa"/>
            <w:vAlign w:val="center"/>
          </w:tcPr>
          <w:p w14:paraId="1DA51D2D" w14:textId="0E572A57"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tcBorders>
              <w:top w:val="double" w:sz="4" w:space="0" w:color="auto"/>
            </w:tcBorders>
            <w:vAlign w:val="center"/>
          </w:tcPr>
          <w:p w14:paraId="625D1B91" w14:textId="21A39973"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60BDFA59" w14:textId="77777777" w:rsidTr="375F5CCE">
        <w:tc>
          <w:tcPr>
            <w:tcW w:w="2972" w:type="dxa"/>
          </w:tcPr>
          <w:p w14:paraId="36A305C3" w14:textId="71D50F66" w:rsidR="002463DB" w:rsidRPr="00597B8C" w:rsidRDefault="002463DB" w:rsidP="00541D2E">
            <w:pPr>
              <w:keepNext/>
              <w:spacing w:before="40" w:after="40"/>
              <w:rPr>
                <w:rFonts w:ascii="Arial Narrow" w:hAnsi="Arial Narrow"/>
                <w:sz w:val="20"/>
                <w:szCs w:val="20"/>
              </w:rPr>
            </w:pPr>
            <w:r>
              <w:rPr>
                <w:rFonts w:ascii="Arial Narrow" w:hAnsi="Arial Narrow"/>
                <w:sz w:val="20"/>
                <w:szCs w:val="20"/>
              </w:rPr>
              <w:t>ANBL 1221 RCT (DA)</w:t>
            </w:r>
          </w:p>
        </w:tc>
        <w:tc>
          <w:tcPr>
            <w:tcW w:w="1985" w:type="dxa"/>
            <w:vAlign w:val="center"/>
          </w:tcPr>
          <w:p w14:paraId="2720E255" w14:textId="272A65A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9/17 (53 [28, 77])</w:t>
            </w:r>
          </w:p>
        </w:tc>
        <w:tc>
          <w:tcPr>
            <w:tcW w:w="1842" w:type="dxa"/>
            <w:vAlign w:val="center"/>
          </w:tcPr>
          <w:p w14:paraId="33979E36" w14:textId="41000AEC"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5A9D5475" w14:textId="1C428382"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4CCA9C7E" w14:textId="77777777" w:rsidTr="375F5CCE">
        <w:tc>
          <w:tcPr>
            <w:tcW w:w="2972" w:type="dxa"/>
          </w:tcPr>
          <w:p w14:paraId="733A0D1C" w14:textId="498CC36D" w:rsidR="002463DB" w:rsidRPr="00597B8C" w:rsidRDefault="002463DB" w:rsidP="375F5CCE">
            <w:pPr>
              <w:keepNext/>
              <w:spacing w:before="40" w:after="40"/>
              <w:rPr>
                <w:rFonts w:ascii="Arial Narrow" w:hAnsi="Arial Narrow"/>
                <w:sz w:val="20"/>
                <w:szCs w:val="20"/>
              </w:rPr>
            </w:pPr>
            <w:r w:rsidRPr="375F5CCE">
              <w:rPr>
                <w:rFonts w:ascii="Arial Narrow" w:hAnsi="Arial Narrow"/>
                <w:sz w:val="20"/>
                <w:szCs w:val="20"/>
              </w:rPr>
              <w:t xml:space="preserve">ANBL 1221 </w:t>
            </w:r>
            <w:proofErr w:type="spellStart"/>
            <w:r w:rsidRPr="375F5CCE">
              <w:rPr>
                <w:rFonts w:ascii="Arial Narrow" w:hAnsi="Arial Narrow"/>
                <w:sz w:val="20"/>
                <w:szCs w:val="20"/>
              </w:rPr>
              <w:t>ext</w:t>
            </w:r>
            <w:proofErr w:type="spellEnd"/>
            <w:r w:rsidRPr="375F5CCE">
              <w:rPr>
                <w:rFonts w:ascii="Arial Narrow" w:hAnsi="Arial Narrow"/>
                <w:sz w:val="20"/>
                <w:szCs w:val="20"/>
              </w:rPr>
              <w:t xml:space="preserve"> (DA)</w:t>
            </w:r>
          </w:p>
        </w:tc>
        <w:tc>
          <w:tcPr>
            <w:tcW w:w="1985" w:type="dxa"/>
            <w:vAlign w:val="center"/>
          </w:tcPr>
          <w:p w14:paraId="1515D0C7" w14:textId="5A8F2C2D"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13/36</w:t>
            </w:r>
            <w:r w:rsidR="00F02ABB">
              <w:rPr>
                <w:rFonts w:ascii="Arial Narrow" w:hAnsi="Arial Narrow"/>
                <w:sz w:val="20"/>
                <w:szCs w:val="20"/>
              </w:rPr>
              <w:t xml:space="preserve"> </w:t>
            </w:r>
            <w:r>
              <w:rPr>
                <w:rFonts w:ascii="Arial Narrow" w:hAnsi="Arial Narrow"/>
                <w:sz w:val="20"/>
                <w:szCs w:val="20"/>
              </w:rPr>
              <w:t>(36 [21, 54])</w:t>
            </w:r>
          </w:p>
        </w:tc>
        <w:tc>
          <w:tcPr>
            <w:tcW w:w="1842" w:type="dxa"/>
            <w:vAlign w:val="center"/>
          </w:tcPr>
          <w:p w14:paraId="00F72176" w14:textId="39AFC5DE"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23CB6411" w14:textId="3EBBC49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12C7FC7C" w14:textId="77777777" w:rsidTr="375F5CCE">
        <w:tc>
          <w:tcPr>
            <w:tcW w:w="2972" w:type="dxa"/>
          </w:tcPr>
          <w:p w14:paraId="13E27B95" w14:textId="08B14F27" w:rsidR="002463DB" w:rsidRPr="00597B8C" w:rsidRDefault="002463DB" w:rsidP="00541D2E">
            <w:pPr>
              <w:keepNext/>
              <w:spacing w:before="40" w:after="40"/>
              <w:rPr>
                <w:rFonts w:ascii="Arial Narrow" w:hAnsi="Arial Narrow"/>
                <w:sz w:val="20"/>
                <w:szCs w:val="20"/>
              </w:rPr>
            </w:pPr>
            <w:r>
              <w:rPr>
                <w:rFonts w:ascii="Arial Narrow" w:hAnsi="Arial Narrow"/>
                <w:sz w:val="20"/>
                <w:szCs w:val="20"/>
              </w:rPr>
              <w:t>Lerman 2023 (DA)</w:t>
            </w:r>
          </w:p>
        </w:tc>
        <w:tc>
          <w:tcPr>
            <w:tcW w:w="1985" w:type="dxa"/>
            <w:vAlign w:val="center"/>
          </w:tcPr>
          <w:p w14:paraId="72ABD134" w14:textId="30D6D47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57/146 (39 [31, 47])</w:t>
            </w:r>
          </w:p>
        </w:tc>
        <w:tc>
          <w:tcPr>
            <w:tcW w:w="1842" w:type="dxa"/>
            <w:vAlign w:val="center"/>
          </w:tcPr>
          <w:p w14:paraId="44859C12" w14:textId="2746B017"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54C132D5" w14:textId="44713E01"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56D24E55" w14:textId="77777777" w:rsidTr="375F5CCE">
        <w:tc>
          <w:tcPr>
            <w:tcW w:w="2972" w:type="dxa"/>
          </w:tcPr>
          <w:p w14:paraId="447C2279" w14:textId="7BA78E1B" w:rsidR="002463DB" w:rsidRDefault="002463DB" w:rsidP="00541D2E">
            <w:pPr>
              <w:keepNext/>
              <w:spacing w:before="40" w:after="40"/>
              <w:rPr>
                <w:rFonts w:ascii="Arial Narrow" w:hAnsi="Arial Narrow"/>
                <w:sz w:val="20"/>
                <w:szCs w:val="20"/>
              </w:rPr>
            </w:pPr>
            <w:r>
              <w:rPr>
                <w:rFonts w:ascii="Arial Narrow" w:hAnsi="Arial Narrow"/>
                <w:sz w:val="20"/>
                <w:szCs w:val="20"/>
              </w:rPr>
              <w:t>Olgun 2022 (DB)</w:t>
            </w:r>
          </w:p>
        </w:tc>
        <w:tc>
          <w:tcPr>
            <w:tcW w:w="1985" w:type="dxa"/>
            <w:vAlign w:val="center"/>
          </w:tcPr>
          <w:p w14:paraId="6943612F" w14:textId="2B31C390"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12/19</w:t>
            </w:r>
            <w:r w:rsidR="00F02ABB">
              <w:rPr>
                <w:rFonts w:ascii="Arial Narrow" w:hAnsi="Arial Narrow"/>
                <w:sz w:val="20"/>
                <w:szCs w:val="20"/>
              </w:rPr>
              <w:t xml:space="preserve"> </w:t>
            </w:r>
            <w:r>
              <w:rPr>
                <w:rFonts w:ascii="Arial Narrow" w:hAnsi="Arial Narrow"/>
                <w:sz w:val="20"/>
                <w:szCs w:val="20"/>
              </w:rPr>
              <w:t>(63 [38, 84])</w:t>
            </w:r>
          </w:p>
        </w:tc>
        <w:tc>
          <w:tcPr>
            <w:tcW w:w="1842" w:type="dxa"/>
            <w:vAlign w:val="center"/>
          </w:tcPr>
          <w:p w14:paraId="58F4311F" w14:textId="5DDE1F0C"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3BF8E768" w14:textId="476476D8"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78F3D784" w14:textId="77777777" w:rsidTr="375F5CCE">
        <w:tc>
          <w:tcPr>
            <w:tcW w:w="2972" w:type="dxa"/>
          </w:tcPr>
          <w:p w14:paraId="7F4EF897" w14:textId="70B10A55" w:rsidR="002463DB" w:rsidRDefault="002463DB" w:rsidP="00541D2E">
            <w:pPr>
              <w:keepNext/>
              <w:spacing w:before="40" w:after="40"/>
              <w:rPr>
                <w:rFonts w:ascii="Arial Narrow" w:hAnsi="Arial Narrow"/>
                <w:sz w:val="20"/>
                <w:szCs w:val="20"/>
              </w:rPr>
            </w:pPr>
            <w:r>
              <w:rPr>
                <w:rFonts w:ascii="Arial Narrow" w:hAnsi="Arial Narrow"/>
                <w:sz w:val="20"/>
                <w:szCs w:val="20"/>
              </w:rPr>
              <w:t>Wieczorek 2023 (DB)</w:t>
            </w:r>
          </w:p>
        </w:tc>
        <w:tc>
          <w:tcPr>
            <w:tcW w:w="1985" w:type="dxa"/>
            <w:vAlign w:val="center"/>
          </w:tcPr>
          <w:p w14:paraId="13A3A5CE" w14:textId="4FB51AA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13/17</w:t>
            </w:r>
            <w:r w:rsidR="00F02ABB">
              <w:rPr>
                <w:rFonts w:ascii="Arial Narrow" w:hAnsi="Arial Narrow"/>
                <w:sz w:val="20"/>
                <w:szCs w:val="20"/>
              </w:rPr>
              <w:t xml:space="preserve"> </w:t>
            </w:r>
            <w:r>
              <w:rPr>
                <w:rFonts w:ascii="Arial Narrow" w:hAnsi="Arial Narrow"/>
                <w:sz w:val="20"/>
                <w:szCs w:val="20"/>
              </w:rPr>
              <w:t>(76 [50, 93])</w:t>
            </w:r>
          </w:p>
        </w:tc>
        <w:tc>
          <w:tcPr>
            <w:tcW w:w="1842" w:type="dxa"/>
            <w:vAlign w:val="center"/>
          </w:tcPr>
          <w:p w14:paraId="081C8783" w14:textId="2D59EE25"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6940E090" w14:textId="74300512"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334BD533" w14:textId="77777777" w:rsidTr="375F5CCE">
        <w:tc>
          <w:tcPr>
            <w:tcW w:w="2972" w:type="dxa"/>
          </w:tcPr>
          <w:p w14:paraId="612784BB" w14:textId="74CDEBEC" w:rsidR="002463DB" w:rsidRDefault="002463DB" w:rsidP="00541D2E">
            <w:pPr>
              <w:keepNext/>
              <w:spacing w:before="40" w:after="40"/>
              <w:rPr>
                <w:rFonts w:ascii="Arial Narrow" w:hAnsi="Arial Narrow"/>
                <w:sz w:val="20"/>
                <w:szCs w:val="20"/>
              </w:rPr>
            </w:pPr>
            <w:r>
              <w:rPr>
                <w:rFonts w:ascii="Arial Narrow" w:hAnsi="Arial Narrow"/>
                <w:sz w:val="20"/>
                <w:szCs w:val="20"/>
              </w:rPr>
              <w:t>Raiser 2024 (DB)</w:t>
            </w:r>
          </w:p>
        </w:tc>
        <w:tc>
          <w:tcPr>
            <w:tcW w:w="1985" w:type="dxa"/>
            <w:vAlign w:val="center"/>
          </w:tcPr>
          <w:p w14:paraId="441BD1E6" w14:textId="04391875"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6/15</w:t>
            </w:r>
            <w:r w:rsidR="00F02ABB">
              <w:rPr>
                <w:rFonts w:ascii="Arial Narrow" w:hAnsi="Arial Narrow"/>
                <w:sz w:val="20"/>
                <w:szCs w:val="20"/>
              </w:rPr>
              <w:t xml:space="preserve"> </w:t>
            </w:r>
            <w:r>
              <w:rPr>
                <w:rFonts w:ascii="Arial Narrow" w:hAnsi="Arial Narrow"/>
                <w:sz w:val="20"/>
                <w:szCs w:val="20"/>
              </w:rPr>
              <w:t>(40 [16, 68])</w:t>
            </w:r>
          </w:p>
        </w:tc>
        <w:tc>
          <w:tcPr>
            <w:tcW w:w="1842" w:type="dxa"/>
            <w:vAlign w:val="center"/>
          </w:tcPr>
          <w:p w14:paraId="7A5047D5" w14:textId="6E11D2A9"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985" w:type="dxa"/>
            <w:vAlign w:val="center"/>
          </w:tcPr>
          <w:p w14:paraId="69E93965" w14:textId="713F841D"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58053002" w14:textId="77777777" w:rsidTr="375F5CCE">
        <w:tc>
          <w:tcPr>
            <w:tcW w:w="2972" w:type="dxa"/>
          </w:tcPr>
          <w:p w14:paraId="69D9E88C" w14:textId="76FA5C41" w:rsidR="002463DB" w:rsidRDefault="002463DB" w:rsidP="00541D2E">
            <w:pPr>
              <w:keepNext/>
              <w:spacing w:before="40" w:after="40"/>
              <w:rPr>
                <w:rFonts w:ascii="Arial Narrow" w:hAnsi="Arial Narrow"/>
                <w:sz w:val="20"/>
                <w:szCs w:val="20"/>
              </w:rPr>
            </w:pPr>
            <w:r>
              <w:rPr>
                <w:rFonts w:ascii="Arial Narrow" w:hAnsi="Arial Narrow"/>
                <w:sz w:val="20"/>
                <w:szCs w:val="20"/>
              </w:rPr>
              <w:t>Meta-analysis of single-arm intervention</w:t>
            </w:r>
          </w:p>
        </w:tc>
        <w:tc>
          <w:tcPr>
            <w:tcW w:w="1985" w:type="dxa"/>
            <w:vAlign w:val="center"/>
          </w:tcPr>
          <w:p w14:paraId="67BB2577" w14:textId="7A290C82" w:rsidR="002463DB" w:rsidRDefault="002463DB" w:rsidP="00541D2E">
            <w:pPr>
              <w:keepNext/>
              <w:spacing w:before="40" w:after="40"/>
              <w:jc w:val="center"/>
              <w:rPr>
                <w:rFonts w:ascii="Arial Narrow" w:hAnsi="Arial Narrow"/>
                <w:sz w:val="20"/>
                <w:szCs w:val="20"/>
              </w:rPr>
            </w:pPr>
            <w:r>
              <w:rPr>
                <w:rFonts w:ascii="Arial Narrow" w:hAnsi="Arial Narrow"/>
                <w:sz w:val="20"/>
                <w:szCs w:val="20"/>
              </w:rPr>
              <w:t>48 (36, 59); I</w:t>
            </w:r>
            <w:r>
              <w:rPr>
                <w:rFonts w:ascii="Arial Narrow" w:hAnsi="Arial Narrow"/>
                <w:sz w:val="20"/>
                <w:szCs w:val="20"/>
                <w:vertAlign w:val="superscript"/>
              </w:rPr>
              <w:t xml:space="preserve">2 </w:t>
            </w:r>
            <w:r>
              <w:rPr>
                <w:rFonts w:ascii="Arial Narrow" w:hAnsi="Arial Narrow"/>
                <w:sz w:val="20"/>
                <w:szCs w:val="20"/>
              </w:rPr>
              <w:t>= 66%</w:t>
            </w:r>
          </w:p>
        </w:tc>
        <w:tc>
          <w:tcPr>
            <w:tcW w:w="1842" w:type="dxa"/>
            <w:vAlign w:val="center"/>
          </w:tcPr>
          <w:p w14:paraId="11992192" w14:textId="77777777" w:rsidR="002463DB" w:rsidRDefault="002463DB" w:rsidP="00541D2E">
            <w:pPr>
              <w:keepNext/>
              <w:spacing w:before="40" w:after="40"/>
              <w:jc w:val="center"/>
              <w:rPr>
                <w:rFonts w:ascii="Arial Narrow" w:hAnsi="Arial Narrow"/>
                <w:sz w:val="20"/>
                <w:szCs w:val="20"/>
              </w:rPr>
            </w:pPr>
          </w:p>
        </w:tc>
        <w:tc>
          <w:tcPr>
            <w:tcW w:w="1985" w:type="dxa"/>
            <w:vAlign w:val="center"/>
          </w:tcPr>
          <w:p w14:paraId="18AA4AD3" w14:textId="77777777" w:rsidR="002463DB" w:rsidRDefault="002463DB" w:rsidP="00541D2E">
            <w:pPr>
              <w:keepNext/>
              <w:spacing w:before="40" w:after="40"/>
              <w:jc w:val="center"/>
              <w:rPr>
                <w:rFonts w:ascii="Arial Narrow" w:hAnsi="Arial Narrow"/>
                <w:sz w:val="20"/>
                <w:szCs w:val="20"/>
              </w:rPr>
            </w:pPr>
          </w:p>
        </w:tc>
      </w:tr>
      <w:tr w:rsidR="002463DB" w:rsidRPr="00597B8C" w14:paraId="07AF2AB9" w14:textId="77777777" w:rsidTr="375F5CCE">
        <w:tc>
          <w:tcPr>
            <w:tcW w:w="2972" w:type="dxa"/>
          </w:tcPr>
          <w:p w14:paraId="6EC169E0" w14:textId="23996159" w:rsidR="002463DB" w:rsidRDefault="002463DB" w:rsidP="375F5CCE">
            <w:pPr>
              <w:keepNext/>
              <w:spacing w:before="40" w:after="40"/>
              <w:rPr>
                <w:rFonts w:ascii="Arial Narrow" w:hAnsi="Arial Narrow"/>
                <w:sz w:val="20"/>
                <w:szCs w:val="20"/>
              </w:rPr>
            </w:pPr>
            <w:r w:rsidRPr="375F5CCE">
              <w:rPr>
                <w:rFonts w:ascii="Arial Narrow" w:hAnsi="Arial Narrow"/>
                <w:sz w:val="20"/>
                <w:szCs w:val="20"/>
              </w:rPr>
              <w:t>BEACON-</w:t>
            </w:r>
            <w:proofErr w:type="spellStart"/>
            <w:r w:rsidRPr="375F5CCE">
              <w:rPr>
                <w:rFonts w:ascii="Arial Narrow" w:hAnsi="Arial Narrow"/>
                <w:sz w:val="20"/>
                <w:szCs w:val="20"/>
              </w:rPr>
              <w:t>Immuno</w:t>
            </w:r>
            <w:proofErr w:type="spellEnd"/>
          </w:p>
        </w:tc>
        <w:tc>
          <w:tcPr>
            <w:tcW w:w="1985" w:type="dxa"/>
            <w:vAlign w:val="center"/>
          </w:tcPr>
          <w:p w14:paraId="0D07AA11" w14:textId="745F23BF"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7A141308" w14:textId="546CA41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4/22</w:t>
            </w:r>
            <w:r w:rsidR="00F02ABB">
              <w:rPr>
                <w:rFonts w:ascii="Arial Narrow" w:hAnsi="Arial Narrow"/>
                <w:sz w:val="20"/>
                <w:szCs w:val="20"/>
              </w:rPr>
              <w:t xml:space="preserve"> </w:t>
            </w:r>
            <w:r>
              <w:rPr>
                <w:rFonts w:ascii="Arial Narrow" w:hAnsi="Arial Narrow"/>
                <w:sz w:val="20"/>
                <w:szCs w:val="20"/>
              </w:rPr>
              <w:t>(18 [5, 40])</w:t>
            </w:r>
          </w:p>
        </w:tc>
        <w:tc>
          <w:tcPr>
            <w:tcW w:w="1985" w:type="dxa"/>
            <w:vAlign w:val="center"/>
          </w:tcPr>
          <w:p w14:paraId="632B1AC7" w14:textId="4D185495"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1A2FF192" w14:textId="77777777" w:rsidTr="375F5CCE">
        <w:tc>
          <w:tcPr>
            <w:tcW w:w="2972" w:type="dxa"/>
          </w:tcPr>
          <w:p w14:paraId="39B0B384" w14:textId="75B6E3CC" w:rsidR="002463DB" w:rsidRDefault="002463DB" w:rsidP="00541D2E">
            <w:pPr>
              <w:keepNext/>
              <w:spacing w:before="40" w:after="40"/>
              <w:rPr>
                <w:rFonts w:ascii="Arial Narrow" w:hAnsi="Arial Narrow"/>
                <w:sz w:val="20"/>
                <w:szCs w:val="20"/>
              </w:rPr>
            </w:pPr>
            <w:r>
              <w:rPr>
                <w:rFonts w:ascii="Arial Narrow" w:hAnsi="Arial Narrow"/>
                <w:sz w:val="20"/>
                <w:szCs w:val="20"/>
              </w:rPr>
              <w:t>ANBL 1221 RCT</w:t>
            </w:r>
          </w:p>
        </w:tc>
        <w:tc>
          <w:tcPr>
            <w:tcW w:w="1985" w:type="dxa"/>
            <w:vAlign w:val="center"/>
          </w:tcPr>
          <w:p w14:paraId="4AE39F47" w14:textId="00EB509A"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196235D8" w14:textId="49B2FB8F"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1/18</w:t>
            </w:r>
            <w:r w:rsidR="00F02ABB">
              <w:rPr>
                <w:rFonts w:ascii="Arial Narrow" w:hAnsi="Arial Narrow"/>
                <w:sz w:val="20"/>
                <w:szCs w:val="20"/>
              </w:rPr>
              <w:t xml:space="preserve"> </w:t>
            </w:r>
            <w:r>
              <w:rPr>
                <w:rFonts w:ascii="Arial Narrow" w:hAnsi="Arial Narrow"/>
                <w:sz w:val="20"/>
                <w:szCs w:val="20"/>
              </w:rPr>
              <w:t>(6 [0, 27])</w:t>
            </w:r>
          </w:p>
        </w:tc>
        <w:tc>
          <w:tcPr>
            <w:tcW w:w="1985" w:type="dxa"/>
            <w:vAlign w:val="center"/>
          </w:tcPr>
          <w:p w14:paraId="28F355D1" w14:textId="3971AF32"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22ADE983" w14:textId="77777777" w:rsidTr="375F5CCE">
        <w:tc>
          <w:tcPr>
            <w:tcW w:w="2972" w:type="dxa"/>
          </w:tcPr>
          <w:p w14:paraId="104B0F52" w14:textId="60D8DA2B" w:rsidR="002463DB" w:rsidRDefault="002463DB" w:rsidP="00541D2E">
            <w:pPr>
              <w:keepNext/>
              <w:spacing w:before="40" w:after="40"/>
              <w:rPr>
                <w:rFonts w:ascii="Arial Narrow" w:hAnsi="Arial Narrow"/>
                <w:sz w:val="20"/>
                <w:szCs w:val="20"/>
              </w:rPr>
            </w:pPr>
            <w:r>
              <w:rPr>
                <w:rFonts w:ascii="Arial Narrow" w:hAnsi="Arial Narrow"/>
                <w:sz w:val="20"/>
                <w:szCs w:val="20"/>
              </w:rPr>
              <w:t>BEACON-1</w:t>
            </w:r>
          </w:p>
        </w:tc>
        <w:tc>
          <w:tcPr>
            <w:tcW w:w="1985" w:type="dxa"/>
            <w:vAlign w:val="center"/>
          </w:tcPr>
          <w:p w14:paraId="2A978266" w14:textId="5E7FD1E0"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11725315" w14:textId="77024C0E"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14/80</w:t>
            </w:r>
            <w:r w:rsidR="00F02ABB">
              <w:rPr>
                <w:rFonts w:ascii="Arial Narrow" w:hAnsi="Arial Narrow"/>
                <w:sz w:val="20"/>
                <w:szCs w:val="20"/>
              </w:rPr>
              <w:t xml:space="preserve"> </w:t>
            </w:r>
            <w:r>
              <w:rPr>
                <w:rFonts w:ascii="Arial Narrow" w:hAnsi="Arial Narrow"/>
                <w:sz w:val="20"/>
                <w:szCs w:val="20"/>
              </w:rPr>
              <w:t>(17 [10, 28])</w:t>
            </w:r>
          </w:p>
        </w:tc>
        <w:tc>
          <w:tcPr>
            <w:tcW w:w="1985" w:type="dxa"/>
            <w:vAlign w:val="center"/>
          </w:tcPr>
          <w:p w14:paraId="51075DFF" w14:textId="595AED8D"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2723B738" w14:textId="77777777" w:rsidTr="375F5CCE">
        <w:tc>
          <w:tcPr>
            <w:tcW w:w="2972" w:type="dxa"/>
          </w:tcPr>
          <w:p w14:paraId="32950266" w14:textId="08A9C22D" w:rsidR="002463DB" w:rsidRDefault="002463DB" w:rsidP="375F5CCE">
            <w:pPr>
              <w:keepNext/>
              <w:spacing w:before="40" w:after="40"/>
              <w:rPr>
                <w:rFonts w:ascii="Arial Narrow" w:hAnsi="Arial Narrow"/>
                <w:sz w:val="20"/>
                <w:szCs w:val="20"/>
              </w:rPr>
            </w:pPr>
            <w:proofErr w:type="spellStart"/>
            <w:r w:rsidRPr="375F5CCE">
              <w:rPr>
                <w:rFonts w:ascii="Arial Narrow" w:hAnsi="Arial Narrow"/>
                <w:sz w:val="20"/>
                <w:szCs w:val="20"/>
              </w:rPr>
              <w:t>Bagatell</w:t>
            </w:r>
            <w:proofErr w:type="spellEnd"/>
            <w:r w:rsidRPr="375F5CCE">
              <w:rPr>
                <w:rFonts w:ascii="Arial Narrow" w:hAnsi="Arial Narrow"/>
                <w:sz w:val="20"/>
                <w:szCs w:val="20"/>
              </w:rPr>
              <w:t xml:space="preserve"> 2011</w:t>
            </w:r>
          </w:p>
        </w:tc>
        <w:tc>
          <w:tcPr>
            <w:tcW w:w="1985" w:type="dxa"/>
            <w:vAlign w:val="center"/>
          </w:tcPr>
          <w:p w14:paraId="1989C645" w14:textId="68A3657A"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5587F5EB" w14:textId="318CEAA6"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8/55</w:t>
            </w:r>
            <w:r w:rsidR="00F02ABB">
              <w:rPr>
                <w:rFonts w:ascii="Arial Narrow" w:hAnsi="Arial Narrow"/>
                <w:sz w:val="20"/>
                <w:szCs w:val="20"/>
              </w:rPr>
              <w:t xml:space="preserve"> </w:t>
            </w:r>
            <w:r>
              <w:rPr>
                <w:rFonts w:ascii="Arial Narrow" w:hAnsi="Arial Narrow"/>
                <w:sz w:val="20"/>
                <w:szCs w:val="20"/>
              </w:rPr>
              <w:t>(15 [6, 27])</w:t>
            </w:r>
          </w:p>
        </w:tc>
        <w:tc>
          <w:tcPr>
            <w:tcW w:w="1985" w:type="dxa"/>
            <w:vAlign w:val="center"/>
          </w:tcPr>
          <w:p w14:paraId="7329D6D6" w14:textId="105812A4"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7D1B3DF1" w14:textId="77777777" w:rsidTr="375F5CCE">
        <w:tc>
          <w:tcPr>
            <w:tcW w:w="2972" w:type="dxa"/>
          </w:tcPr>
          <w:p w14:paraId="17AD468F" w14:textId="22749EE0" w:rsidR="002463DB" w:rsidRDefault="002463DB" w:rsidP="375F5CCE">
            <w:pPr>
              <w:keepNext/>
              <w:spacing w:before="40" w:after="40"/>
              <w:rPr>
                <w:rFonts w:ascii="Arial Narrow" w:hAnsi="Arial Narrow"/>
                <w:sz w:val="20"/>
                <w:szCs w:val="20"/>
              </w:rPr>
            </w:pPr>
            <w:proofErr w:type="spellStart"/>
            <w:r w:rsidRPr="375F5CCE">
              <w:rPr>
                <w:rFonts w:ascii="Arial Narrow" w:hAnsi="Arial Narrow"/>
                <w:sz w:val="20"/>
                <w:szCs w:val="20"/>
              </w:rPr>
              <w:t>DiGiannatale</w:t>
            </w:r>
            <w:proofErr w:type="spellEnd"/>
            <w:r w:rsidRPr="375F5CCE">
              <w:rPr>
                <w:rFonts w:ascii="Arial Narrow" w:hAnsi="Arial Narrow"/>
                <w:sz w:val="20"/>
                <w:szCs w:val="20"/>
              </w:rPr>
              <w:t xml:space="preserve"> 2014</w:t>
            </w:r>
          </w:p>
        </w:tc>
        <w:tc>
          <w:tcPr>
            <w:tcW w:w="1985" w:type="dxa"/>
            <w:vAlign w:val="center"/>
          </w:tcPr>
          <w:p w14:paraId="6D789591" w14:textId="5F78DC39"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460ECFAA" w14:textId="01739E6A"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9/38</w:t>
            </w:r>
            <w:r w:rsidR="00F02ABB">
              <w:rPr>
                <w:rFonts w:ascii="Arial Narrow" w:hAnsi="Arial Narrow"/>
                <w:sz w:val="20"/>
                <w:szCs w:val="20"/>
              </w:rPr>
              <w:t xml:space="preserve"> </w:t>
            </w:r>
            <w:r>
              <w:rPr>
                <w:rFonts w:ascii="Arial Narrow" w:hAnsi="Arial Narrow"/>
                <w:sz w:val="20"/>
                <w:szCs w:val="20"/>
              </w:rPr>
              <w:t>(24 [11, 40])</w:t>
            </w:r>
          </w:p>
        </w:tc>
        <w:tc>
          <w:tcPr>
            <w:tcW w:w="1985" w:type="dxa"/>
            <w:vAlign w:val="center"/>
          </w:tcPr>
          <w:p w14:paraId="0ADDE15C" w14:textId="1DCFDDF2"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2463DB" w:rsidRPr="00597B8C" w14:paraId="62C08AB9" w14:textId="77777777" w:rsidTr="375F5CCE">
        <w:tc>
          <w:tcPr>
            <w:tcW w:w="2972" w:type="dxa"/>
          </w:tcPr>
          <w:p w14:paraId="5565180C" w14:textId="5887A205" w:rsidR="002463DB" w:rsidRDefault="002463DB" w:rsidP="00541D2E">
            <w:pPr>
              <w:keepNext/>
              <w:spacing w:before="40" w:after="40"/>
              <w:rPr>
                <w:rFonts w:ascii="Arial Narrow" w:hAnsi="Arial Narrow"/>
                <w:sz w:val="20"/>
                <w:szCs w:val="20"/>
              </w:rPr>
            </w:pPr>
            <w:r>
              <w:rPr>
                <w:rFonts w:ascii="Arial Narrow" w:hAnsi="Arial Narrow"/>
                <w:sz w:val="20"/>
                <w:szCs w:val="20"/>
              </w:rPr>
              <w:t>DuBois 2018</w:t>
            </w:r>
          </w:p>
        </w:tc>
        <w:tc>
          <w:tcPr>
            <w:tcW w:w="1985" w:type="dxa"/>
            <w:vAlign w:val="center"/>
          </w:tcPr>
          <w:p w14:paraId="2258611F" w14:textId="3AA56DEB"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c>
          <w:tcPr>
            <w:tcW w:w="1842" w:type="dxa"/>
            <w:vAlign w:val="center"/>
          </w:tcPr>
          <w:p w14:paraId="3392B728" w14:textId="3B983503"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5/32</w:t>
            </w:r>
            <w:r w:rsidR="00F02ABB">
              <w:rPr>
                <w:rFonts w:ascii="Arial Narrow" w:hAnsi="Arial Narrow"/>
                <w:sz w:val="20"/>
                <w:szCs w:val="20"/>
              </w:rPr>
              <w:t xml:space="preserve"> </w:t>
            </w:r>
            <w:r>
              <w:rPr>
                <w:rFonts w:ascii="Arial Narrow" w:hAnsi="Arial Narrow"/>
                <w:sz w:val="20"/>
                <w:szCs w:val="20"/>
              </w:rPr>
              <w:t>(16 [5, 33])</w:t>
            </w:r>
          </w:p>
        </w:tc>
        <w:tc>
          <w:tcPr>
            <w:tcW w:w="1985" w:type="dxa"/>
            <w:vAlign w:val="center"/>
          </w:tcPr>
          <w:p w14:paraId="14282282" w14:textId="4A824183" w:rsidR="002463DB" w:rsidRPr="00597B8C" w:rsidRDefault="002463DB" w:rsidP="00541D2E">
            <w:pPr>
              <w:keepNext/>
              <w:spacing w:before="40" w:after="40"/>
              <w:jc w:val="center"/>
              <w:rPr>
                <w:rFonts w:ascii="Arial Narrow" w:hAnsi="Arial Narrow"/>
                <w:sz w:val="20"/>
                <w:szCs w:val="20"/>
              </w:rPr>
            </w:pPr>
            <w:r>
              <w:rPr>
                <w:rFonts w:ascii="Arial Narrow" w:hAnsi="Arial Narrow"/>
                <w:sz w:val="20"/>
                <w:szCs w:val="20"/>
              </w:rPr>
              <w:t>-</w:t>
            </w:r>
          </w:p>
        </w:tc>
      </w:tr>
      <w:tr w:rsidR="00F02ABB" w:rsidRPr="00597B8C" w14:paraId="5835ABB5" w14:textId="77777777" w:rsidTr="375F5CCE">
        <w:tc>
          <w:tcPr>
            <w:tcW w:w="4957" w:type="dxa"/>
            <w:gridSpan w:val="2"/>
            <w:vAlign w:val="center"/>
          </w:tcPr>
          <w:p w14:paraId="19588047" w14:textId="21DCF174" w:rsidR="00F02ABB" w:rsidRDefault="00F02ABB" w:rsidP="007B76AE">
            <w:pPr>
              <w:keepNext/>
              <w:spacing w:before="40" w:after="40"/>
              <w:jc w:val="right"/>
              <w:rPr>
                <w:rFonts w:ascii="Arial Narrow" w:hAnsi="Arial Narrow"/>
                <w:sz w:val="20"/>
                <w:szCs w:val="20"/>
              </w:rPr>
            </w:pPr>
            <w:r>
              <w:rPr>
                <w:rFonts w:ascii="Arial Narrow" w:hAnsi="Arial Narrow"/>
                <w:sz w:val="20"/>
                <w:szCs w:val="20"/>
              </w:rPr>
              <w:t>Meta-analysis of single-arm comparator</w:t>
            </w:r>
          </w:p>
        </w:tc>
        <w:tc>
          <w:tcPr>
            <w:tcW w:w="1842" w:type="dxa"/>
            <w:vAlign w:val="center"/>
          </w:tcPr>
          <w:p w14:paraId="733DE487" w14:textId="0842E7E9" w:rsidR="00F02ABB" w:rsidRDefault="00F02ABB" w:rsidP="002463DB">
            <w:pPr>
              <w:keepNext/>
              <w:spacing w:before="40" w:after="40"/>
              <w:jc w:val="center"/>
              <w:rPr>
                <w:rFonts w:ascii="Arial Narrow" w:hAnsi="Arial Narrow"/>
                <w:sz w:val="20"/>
                <w:szCs w:val="20"/>
              </w:rPr>
            </w:pPr>
            <w:r>
              <w:rPr>
                <w:rFonts w:ascii="Arial Narrow" w:hAnsi="Arial Narrow"/>
                <w:sz w:val="20"/>
                <w:szCs w:val="20"/>
              </w:rPr>
              <w:t>15 (11, 20); I</w:t>
            </w:r>
            <w:r>
              <w:rPr>
                <w:rFonts w:ascii="Arial Narrow" w:hAnsi="Arial Narrow"/>
                <w:sz w:val="20"/>
                <w:szCs w:val="20"/>
                <w:vertAlign w:val="superscript"/>
              </w:rPr>
              <w:t>2</w:t>
            </w:r>
            <w:r>
              <w:rPr>
                <w:rFonts w:ascii="Arial Narrow" w:hAnsi="Arial Narrow"/>
                <w:sz w:val="20"/>
                <w:szCs w:val="20"/>
              </w:rPr>
              <w:t xml:space="preserve"> = 3%</w:t>
            </w:r>
          </w:p>
        </w:tc>
        <w:tc>
          <w:tcPr>
            <w:tcW w:w="1985" w:type="dxa"/>
            <w:vAlign w:val="center"/>
          </w:tcPr>
          <w:p w14:paraId="2D7AB9C6" w14:textId="77777777" w:rsidR="00F02ABB" w:rsidRDefault="00F02ABB" w:rsidP="002463DB">
            <w:pPr>
              <w:keepNext/>
              <w:spacing w:before="40" w:after="40"/>
              <w:jc w:val="center"/>
              <w:rPr>
                <w:rFonts w:ascii="Arial Narrow" w:hAnsi="Arial Narrow"/>
                <w:sz w:val="20"/>
                <w:szCs w:val="20"/>
              </w:rPr>
            </w:pPr>
          </w:p>
        </w:tc>
      </w:tr>
      <w:tr w:rsidR="00F02ABB" w:rsidRPr="00597B8C" w14:paraId="0B38EBC7" w14:textId="77777777" w:rsidTr="375F5CCE">
        <w:tc>
          <w:tcPr>
            <w:tcW w:w="6799" w:type="dxa"/>
            <w:gridSpan w:val="3"/>
            <w:vAlign w:val="center"/>
          </w:tcPr>
          <w:p w14:paraId="7095D813" w14:textId="5E9738DF" w:rsidR="00F02ABB" w:rsidRDefault="00F02ABB" w:rsidP="007B76AE">
            <w:pPr>
              <w:keepNext/>
              <w:spacing w:before="40" w:after="40"/>
              <w:jc w:val="right"/>
              <w:rPr>
                <w:rFonts w:ascii="Arial Narrow" w:hAnsi="Arial Narrow"/>
                <w:sz w:val="20"/>
                <w:szCs w:val="20"/>
              </w:rPr>
            </w:pPr>
            <w:r>
              <w:rPr>
                <w:rFonts w:ascii="Arial Narrow" w:hAnsi="Arial Narrow"/>
                <w:sz w:val="20"/>
                <w:szCs w:val="20"/>
              </w:rPr>
              <w:t>Comparison of single arm intervention versus single arm comparator meta-analysis estimates</w:t>
            </w:r>
          </w:p>
        </w:tc>
        <w:tc>
          <w:tcPr>
            <w:tcW w:w="1985" w:type="dxa"/>
            <w:vAlign w:val="center"/>
          </w:tcPr>
          <w:p w14:paraId="7444B74D" w14:textId="32723FCE" w:rsidR="00F02ABB" w:rsidRDefault="00F02ABB" w:rsidP="002463DB">
            <w:pPr>
              <w:keepNext/>
              <w:spacing w:before="40" w:after="40"/>
              <w:jc w:val="center"/>
              <w:rPr>
                <w:rFonts w:ascii="Arial Narrow" w:hAnsi="Arial Narrow"/>
                <w:sz w:val="20"/>
                <w:szCs w:val="20"/>
              </w:rPr>
            </w:pPr>
            <w:r>
              <w:rPr>
                <w:rFonts w:ascii="Arial Narrow" w:hAnsi="Arial Narrow"/>
                <w:sz w:val="20"/>
                <w:szCs w:val="20"/>
              </w:rPr>
              <w:t>0.</w:t>
            </w:r>
            <w:r w:rsidRPr="00E22A54">
              <w:rPr>
                <w:rFonts w:ascii="Arial Narrow" w:hAnsi="Arial Narrow"/>
                <w:sz w:val="20"/>
                <w:szCs w:val="20"/>
              </w:rPr>
              <w:t>33 (</w:t>
            </w:r>
            <w:r>
              <w:rPr>
                <w:rFonts w:ascii="Arial Narrow" w:hAnsi="Arial Narrow"/>
                <w:sz w:val="20"/>
                <w:szCs w:val="20"/>
              </w:rPr>
              <w:t>0.</w:t>
            </w:r>
            <w:r w:rsidRPr="00E22A54">
              <w:rPr>
                <w:rFonts w:ascii="Arial Narrow" w:hAnsi="Arial Narrow"/>
                <w:sz w:val="20"/>
                <w:szCs w:val="20"/>
              </w:rPr>
              <w:t xml:space="preserve">26, </w:t>
            </w:r>
            <w:r>
              <w:rPr>
                <w:rFonts w:ascii="Arial Narrow" w:hAnsi="Arial Narrow"/>
                <w:sz w:val="20"/>
                <w:szCs w:val="20"/>
              </w:rPr>
              <w:t>0.</w:t>
            </w:r>
            <w:r w:rsidRPr="00E22A54">
              <w:rPr>
                <w:rFonts w:ascii="Arial Narrow" w:hAnsi="Arial Narrow"/>
                <w:sz w:val="20"/>
                <w:szCs w:val="20"/>
              </w:rPr>
              <w:t>40)</w:t>
            </w:r>
          </w:p>
        </w:tc>
      </w:tr>
    </w:tbl>
    <w:p w14:paraId="45CB8FF8" w14:textId="237A57D3" w:rsidR="00597B8C" w:rsidRDefault="00112F65" w:rsidP="375F5CCE">
      <w:pPr>
        <w:spacing w:after="0"/>
        <w:rPr>
          <w:rFonts w:ascii="Arial Narrow" w:hAnsi="Arial Narrow"/>
          <w:sz w:val="18"/>
          <w:szCs w:val="18"/>
        </w:rPr>
      </w:pPr>
      <w:r w:rsidRPr="375F5CCE">
        <w:rPr>
          <w:rFonts w:ascii="Arial Narrow" w:hAnsi="Arial Narrow"/>
          <w:sz w:val="18"/>
          <w:szCs w:val="18"/>
        </w:rPr>
        <w:t xml:space="preserve">CI = confidence interval; DA = </w:t>
      </w:r>
      <w:proofErr w:type="spellStart"/>
      <w:r w:rsidRPr="375F5CCE">
        <w:rPr>
          <w:rFonts w:ascii="Arial Narrow" w:hAnsi="Arial Narrow"/>
          <w:sz w:val="18"/>
          <w:szCs w:val="18"/>
        </w:rPr>
        <w:t>dinutuximab</w:t>
      </w:r>
      <w:proofErr w:type="spellEnd"/>
      <w:r w:rsidRPr="375F5CCE">
        <w:rPr>
          <w:rFonts w:ascii="Arial Narrow" w:hAnsi="Arial Narrow"/>
          <w:sz w:val="18"/>
          <w:szCs w:val="18"/>
        </w:rPr>
        <w:t xml:space="preserve"> alpha; DB = </w:t>
      </w:r>
      <w:proofErr w:type="spellStart"/>
      <w:r w:rsidRPr="375F5CCE">
        <w:rPr>
          <w:rFonts w:ascii="Arial Narrow" w:hAnsi="Arial Narrow"/>
          <w:sz w:val="18"/>
          <w:szCs w:val="18"/>
        </w:rPr>
        <w:t>dinutuximab</w:t>
      </w:r>
      <w:proofErr w:type="spellEnd"/>
      <w:r w:rsidRPr="375F5CCE">
        <w:rPr>
          <w:rFonts w:ascii="Arial Narrow" w:hAnsi="Arial Narrow"/>
          <w:sz w:val="18"/>
          <w:szCs w:val="18"/>
        </w:rPr>
        <w:t xml:space="preserve"> beta</w:t>
      </w:r>
      <w:r w:rsidR="00925C28" w:rsidRPr="375F5CCE">
        <w:rPr>
          <w:rFonts w:ascii="Arial Narrow" w:hAnsi="Arial Narrow"/>
          <w:sz w:val="18"/>
          <w:szCs w:val="18"/>
        </w:rPr>
        <w:t xml:space="preserve">; </w:t>
      </w:r>
      <w:proofErr w:type="spellStart"/>
      <w:r w:rsidR="00925C28" w:rsidRPr="375F5CCE">
        <w:rPr>
          <w:rFonts w:ascii="Arial Narrow" w:hAnsi="Arial Narrow"/>
          <w:sz w:val="18"/>
          <w:szCs w:val="18"/>
        </w:rPr>
        <w:t>ext</w:t>
      </w:r>
      <w:proofErr w:type="spellEnd"/>
      <w:r w:rsidR="00925C28" w:rsidRPr="375F5CCE">
        <w:rPr>
          <w:rFonts w:ascii="Arial Narrow" w:hAnsi="Arial Narrow"/>
          <w:sz w:val="18"/>
          <w:szCs w:val="18"/>
        </w:rPr>
        <w:t xml:space="preserve"> = extension</w:t>
      </w:r>
      <w:r w:rsidR="00F02ABB" w:rsidRPr="375F5CCE">
        <w:rPr>
          <w:rFonts w:ascii="Arial Narrow" w:hAnsi="Arial Narrow"/>
          <w:sz w:val="18"/>
          <w:szCs w:val="18"/>
        </w:rPr>
        <w:t>; I</w:t>
      </w:r>
      <w:r w:rsidR="00F02ABB" w:rsidRPr="375F5CCE">
        <w:rPr>
          <w:rFonts w:ascii="Arial Narrow" w:hAnsi="Arial Narrow"/>
          <w:sz w:val="18"/>
          <w:szCs w:val="18"/>
          <w:vertAlign w:val="superscript"/>
        </w:rPr>
        <w:t>2</w:t>
      </w:r>
      <w:r w:rsidR="00F02ABB" w:rsidRPr="375F5CCE">
        <w:rPr>
          <w:rFonts w:ascii="Arial Narrow" w:hAnsi="Arial Narrow"/>
          <w:sz w:val="18"/>
          <w:szCs w:val="18"/>
        </w:rPr>
        <w:t xml:space="preserve"> = ratio of the (estimated) between-study variability of the treatment effect to the sum of the (estimated) between-study variability and the (estimated) within-study variability; n = number with event; N = total number of patients</w:t>
      </w:r>
      <w:r w:rsidR="00B116C4">
        <w:rPr>
          <w:rFonts w:ascii="Arial Narrow" w:hAnsi="Arial Narrow"/>
          <w:sz w:val="18"/>
          <w:szCs w:val="18"/>
        </w:rPr>
        <w:t xml:space="preserve">; </w:t>
      </w:r>
      <w:r w:rsidR="00B116C4" w:rsidRPr="00B116C4">
        <w:rPr>
          <w:rFonts w:ascii="Arial Narrow" w:hAnsi="Arial Narrow"/>
          <w:sz w:val="18"/>
          <w:szCs w:val="18"/>
        </w:rPr>
        <w:t>ORR</w:t>
      </w:r>
      <w:r w:rsidR="00B116C4">
        <w:rPr>
          <w:rFonts w:ascii="Arial Narrow" w:hAnsi="Arial Narrow"/>
          <w:sz w:val="18"/>
          <w:szCs w:val="18"/>
        </w:rPr>
        <w:t xml:space="preserve"> = o</w:t>
      </w:r>
      <w:r w:rsidR="00B116C4" w:rsidRPr="00B116C4">
        <w:rPr>
          <w:rFonts w:ascii="Arial Narrow" w:hAnsi="Arial Narrow"/>
          <w:sz w:val="18"/>
          <w:szCs w:val="18"/>
        </w:rPr>
        <w:t>verall response rate</w:t>
      </w:r>
    </w:p>
    <w:p w14:paraId="52937FF7" w14:textId="533C83E2" w:rsidR="0020240C" w:rsidRDefault="0020240C" w:rsidP="0020240C">
      <w:pPr>
        <w:spacing w:before="0"/>
        <w:rPr>
          <w:rFonts w:ascii="Arial Narrow" w:hAnsi="Arial Narrow"/>
          <w:sz w:val="18"/>
          <w:szCs w:val="18"/>
        </w:rPr>
      </w:pPr>
      <w:r>
        <w:rPr>
          <w:rFonts w:ascii="Arial Narrow" w:hAnsi="Arial Narrow"/>
          <w:sz w:val="18"/>
          <w:szCs w:val="18"/>
        </w:rPr>
        <w:t>Source: Figure 2-1, p</w:t>
      </w:r>
      <w:r w:rsidR="00573A17">
        <w:rPr>
          <w:rFonts w:ascii="Arial Narrow" w:hAnsi="Arial Narrow"/>
          <w:sz w:val="18"/>
          <w:szCs w:val="18"/>
        </w:rPr>
        <w:t>46</w:t>
      </w:r>
      <w:r>
        <w:rPr>
          <w:rFonts w:ascii="Arial Narrow" w:hAnsi="Arial Narrow"/>
          <w:sz w:val="18"/>
          <w:szCs w:val="18"/>
        </w:rPr>
        <w:t>; Figure 2-2, p</w:t>
      </w:r>
      <w:r w:rsidR="00573A17">
        <w:rPr>
          <w:rFonts w:ascii="Arial Narrow" w:hAnsi="Arial Narrow"/>
          <w:sz w:val="18"/>
          <w:szCs w:val="18"/>
        </w:rPr>
        <w:t>47</w:t>
      </w:r>
      <w:r>
        <w:rPr>
          <w:rFonts w:ascii="Arial Narrow" w:hAnsi="Arial Narrow"/>
          <w:sz w:val="18"/>
          <w:szCs w:val="18"/>
        </w:rPr>
        <w:t xml:space="preserve"> and Figure 2-3, p</w:t>
      </w:r>
      <w:r w:rsidR="00573A17">
        <w:rPr>
          <w:rFonts w:ascii="Arial Narrow" w:hAnsi="Arial Narrow"/>
          <w:sz w:val="18"/>
          <w:szCs w:val="18"/>
        </w:rPr>
        <w:t>48</w:t>
      </w:r>
      <w:r>
        <w:rPr>
          <w:rFonts w:ascii="Arial Narrow" w:hAnsi="Arial Narrow"/>
          <w:sz w:val="18"/>
          <w:szCs w:val="18"/>
        </w:rPr>
        <w:t xml:space="preserve"> of the ADAR</w:t>
      </w:r>
    </w:p>
    <w:p w14:paraId="0B134492" w14:textId="64B2CED0" w:rsidR="00112F65" w:rsidRDefault="00112F65" w:rsidP="00112F65">
      <w:r w:rsidRPr="375F5CCE">
        <w:t xml:space="preserve">No statistically significant differences were observed between treatment arms of the </w:t>
      </w:r>
      <w:r w:rsidR="00C510FD" w:rsidRPr="375F5CCE">
        <w:t>BEACON-</w:t>
      </w:r>
      <w:proofErr w:type="spellStart"/>
      <w:r w:rsidR="00C510FD" w:rsidRPr="375F5CCE">
        <w:t>Immuno</w:t>
      </w:r>
      <w:proofErr w:type="spellEnd"/>
      <w:r w:rsidRPr="375F5CCE">
        <w:t xml:space="preserve"> trial. The ORR was 18% with chemotherapy alone and 35% for patients receiving chemotherapy with DB.</w:t>
      </w:r>
    </w:p>
    <w:p w14:paraId="7D3A4DAE" w14:textId="47D04A66" w:rsidR="00112F65" w:rsidRDefault="00112F65" w:rsidP="00112F65">
      <w:r w:rsidRPr="375F5CCE">
        <w:t xml:space="preserve">Risk ratios were reported in Gray 2022, noting that </w:t>
      </w:r>
      <w:r w:rsidR="00C510FD" w:rsidRPr="375F5CCE">
        <w:t>BEACON-</w:t>
      </w:r>
      <w:proofErr w:type="spellStart"/>
      <w:r w:rsidR="00C510FD" w:rsidRPr="375F5CCE">
        <w:t>Immuno</w:t>
      </w:r>
      <w:proofErr w:type="spellEnd"/>
      <w:r w:rsidRPr="375F5CCE">
        <w:t xml:space="preserve"> was not powered to show a difference in ORR:</w:t>
      </w:r>
    </w:p>
    <w:p w14:paraId="40C318B4" w14:textId="794F6727" w:rsidR="00112F65" w:rsidRDefault="00112F65" w:rsidP="00E22A54">
      <w:pPr>
        <w:tabs>
          <w:tab w:val="left" w:pos="284"/>
        </w:tabs>
      </w:pPr>
      <w:r>
        <w:t>•</w:t>
      </w:r>
      <w:r>
        <w:tab/>
        <w:t>Unadjusted: 1.92 (80% confidence interval [CI] 1.01, 3.63, one-sided p=0.10)</w:t>
      </w:r>
      <w:r w:rsidR="00BF4148">
        <w:t>.</w:t>
      </w:r>
    </w:p>
    <w:p w14:paraId="17977B0C" w14:textId="77777777" w:rsidR="00112F65" w:rsidRDefault="00112F65" w:rsidP="00E22A54">
      <w:pPr>
        <w:tabs>
          <w:tab w:val="left" w:pos="284"/>
        </w:tabs>
      </w:pPr>
      <w:r>
        <w:t>•</w:t>
      </w:r>
      <w:r>
        <w:tab/>
        <w:t xml:space="preserve">Adjusted for topotecan administration: 1.66 (80% CI 0.9 to 3.06, one-sided p = 0.19). </w:t>
      </w:r>
    </w:p>
    <w:p w14:paraId="3485C2FA" w14:textId="76354EAE" w:rsidR="00112F65" w:rsidRDefault="00112F65" w:rsidP="00112F65">
      <w:r>
        <w:t xml:space="preserve">The unadjusted and adjusted risk ratios had wide CIs and should be interpreted in </w:t>
      </w:r>
      <w:r w:rsidR="00DB61E5">
        <w:t xml:space="preserve">the </w:t>
      </w:r>
      <w:r>
        <w:t>context of the small sample size (N=65: control n=22, chemotherapy + DB n=43), differences in baseline characteristics (including limited ability to assess without the CSR), and potential for biased outcome assessment with an open-label design.</w:t>
      </w:r>
    </w:p>
    <w:p w14:paraId="23786860" w14:textId="55EB7775" w:rsidR="00112F65" w:rsidRDefault="00112F65" w:rsidP="00112F65">
      <w:r w:rsidRPr="375F5CCE">
        <w:t>The ORR results for ANBL 1221 were potentially impacted by high rates of discontinuation in the control arm. The 18 patients assigned to chemotherapy alone received 98 total courses of treatment (median 3 [</w:t>
      </w:r>
      <w:r w:rsidR="002B377C" w:rsidRPr="375F5CCE">
        <w:t xml:space="preserve">interquartile range </w:t>
      </w:r>
      <w:r w:rsidRPr="375F5CCE">
        <w:t>2–10]); the 17 patients assigned to DA + chemotherapy received 148 courses (median 6 [</w:t>
      </w:r>
      <w:r w:rsidR="002B377C" w:rsidRPr="375F5CCE">
        <w:t>interquartile range</w:t>
      </w:r>
      <w:r w:rsidRPr="375F5CCE">
        <w:t xml:space="preserve"> 3–17]), potentially confounding response rates. </w:t>
      </w:r>
    </w:p>
    <w:p w14:paraId="23408867" w14:textId="5C09201E" w:rsidR="00112F65" w:rsidRDefault="00112F65" w:rsidP="00112F65">
      <w:r>
        <w:lastRenderedPageBreak/>
        <w:t>For the control group, one of 18 patients (6%, 95% CI 0.0–16.1) treated with chemotherapy alone, and 9 of 17 patients (53%, 95% CI 29.2–76.7) treated with DA + chemotherapy</w:t>
      </w:r>
      <w:r w:rsidR="002B377C">
        <w:t>,</w:t>
      </w:r>
      <w:r>
        <w:t xml:space="preserve"> achieved partial or complete response.</w:t>
      </w:r>
    </w:p>
    <w:p w14:paraId="0646A102" w14:textId="5270D0B1" w:rsidR="00112F65" w:rsidRDefault="00112F65" w:rsidP="00112F65">
      <w:r>
        <w:t>T</w:t>
      </w:r>
      <w:r w:rsidRPr="00112F65">
        <w:t>he included RCT evidence consisted of two exploratory open-label trials, which were not powered nor designed for testing hypothes</w:t>
      </w:r>
      <w:r w:rsidR="00572FCB">
        <w:t>e</w:t>
      </w:r>
      <w:r w:rsidRPr="00112F65">
        <w:t>s of differences in treatment efficacy between DB/DA + chemotherapy versus chemotherapy alone, and were at risk of assessment bias give</w:t>
      </w:r>
      <w:r w:rsidR="0063480B">
        <w:t>n</w:t>
      </w:r>
      <w:r w:rsidRPr="00112F65">
        <w:t xml:space="preserve"> response was locally assessed. Consequently, the validity of the pooled estimate for risk difference is uncertain, </w:t>
      </w:r>
      <w:r>
        <w:t>dependent on accepting th</w:t>
      </w:r>
      <w:r w:rsidR="00DC6F7B">
        <w:t>at</w:t>
      </w:r>
      <w:r>
        <w:t xml:space="preserve"> results for DA are interchangeable for DB (for which no evidence has been provided) </w:t>
      </w:r>
      <w:r w:rsidRPr="00112F65">
        <w:t>and the results should be interpreted cautiously with limited conclusive value.</w:t>
      </w:r>
    </w:p>
    <w:p w14:paraId="44DBBE3A" w14:textId="77777777" w:rsidR="00E22A54" w:rsidRDefault="00E22A54" w:rsidP="00E22A54">
      <w:r w:rsidRPr="375F5CCE">
        <w:t>The following points were noted regarding studies included in the intervention arm meta-analysis:</w:t>
      </w:r>
    </w:p>
    <w:p w14:paraId="3D1DA285" w14:textId="0CA615F9" w:rsidR="00E22A54" w:rsidRDefault="00E22A54" w:rsidP="00EE5979">
      <w:pPr>
        <w:pStyle w:val="ListParagraph"/>
        <w:numPr>
          <w:ilvl w:val="0"/>
          <w:numId w:val="17"/>
        </w:numPr>
        <w:ind w:left="284" w:hanging="284"/>
      </w:pPr>
      <w:r>
        <w:t>The pooled ORR estimate assumes DB and DA are interchangeable in terms of treatment efficacy, which may not be the case</w:t>
      </w:r>
      <w:r w:rsidR="00FD7F1E">
        <w:t>.</w:t>
      </w:r>
    </w:p>
    <w:p w14:paraId="34F08DED" w14:textId="0B898A00" w:rsidR="00E22A54" w:rsidRDefault="00E22A54" w:rsidP="00EE5979">
      <w:pPr>
        <w:pStyle w:val="ListParagraph"/>
        <w:numPr>
          <w:ilvl w:val="0"/>
          <w:numId w:val="17"/>
        </w:numPr>
        <w:ind w:left="284" w:hanging="284"/>
      </w:pPr>
      <w:r w:rsidRPr="375F5CCE">
        <w:t xml:space="preserve">The included studies are of small sample size, with highly heterogeneous patient </w:t>
      </w:r>
      <w:r w:rsidR="0056223E" w:rsidRPr="375F5CCE">
        <w:t xml:space="preserve">populations </w:t>
      </w:r>
      <w:r w:rsidRPr="375F5CCE">
        <w:t xml:space="preserve">and treatment regimens.  </w:t>
      </w:r>
    </w:p>
    <w:p w14:paraId="13073E3A" w14:textId="0B818D20" w:rsidR="00E22A54" w:rsidRDefault="00E22A54" w:rsidP="00E22A54">
      <w:r>
        <w:t>Overall, the pooled estimate of ORR is unlikely to be reliable.</w:t>
      </w:r>
    </w:p>
    <w:p w14:paraId="1DFAE3E9" w14:textId="77777777" w:rsidR="00E22A54" w:rsidRDefault="00E22A54" w:rsidP="00E22A54">
      <w:r w:rsidRPr="375F5CCE">
        <w:t>The following points were noted regarding studies included in the control arm meta-analysis:</w:t>
      </w:r>
    </w:p>
    <w:p w14:paraId="3D06198B" w14:textId="66EEC01C" w:rsidR="00E22A54" w:rsidRDefault="00E22A54" w:rsidP="00EE5979">
      <w:pPr>
        <w:pStyle w:val="ListParagraph"/>
        <w:numPr>
          <w:ilvl w:val="0"/>
          <w:numId w:val="17"/>
        </w:numPr>
        <w:ind w:left="284" w:hanging="284"/>
      </w:pPr>
      <w:r w:rsidRPr="375F5CCE">
        <w:t xml:space="preserve">Discontinuation rates for </w:t>
      </w:r>
      <w:r w:rsidR="00C510FD" w:rsidRPr="375F5CCE">
        <w:t>BEACON-</w:t>
      </w:r>
      <w:proofErr w:type="spellStart"/>
      <w:r w:rsidR="00C510FD" w:rsidRPr="375F5CCE">
        <w:t>Immuno</w:t>
      </w:r>
      <w:proofErr w:type="spellEnd"/>
      <w:r w:rsidRPr="375F5CCE">
        <w:t xml:space="preserve"> were unable to be assessed from the abstract</w:t>
      </w:r>
      <w:r w:rsidR="00787201" w:rsidRPr="375F5CCE">
        <w:t>.</w:t>
      </w:r>
    </w:p>
    <w:p w14:paraId="2E0EB04E" w14:textId="704CD17A" w:rsidR="00E22A54" w:rsidRDefault="00E22A54" w:rsidP="00EE5979">
      <w:pPr>
        <w:pStyle w:val="ListParagraph"/>
        <w:numPr>
          <w:ilvl w:val="0"/>
          <w:numId w:val="17"/>
        </w:numPr>
        <w:ind w:left="284" w:hanging="284"/>
      </w:pPr>
      <w:r w:rsidRPr="375F5CCE">
        <w:t xml:space="preserve">In </w:t>
      </w:r>
      <w:r w:rsidR="0063480B" w:rsidRPr="375F5CCE">
        <w:t>ANBL 1221</w:t>
      </w:r>
      <w:r w:rsidRPr="375F5CCE">
        <w:t xml:space="preserve"> there was a higher discontinuation rate in the control arm, with 72% of patients discontinuing prior to cycle 5. This may explain the lower ORR in the control arm</w:t>
      </w:r>
      <w:r w:rsidR="00FD7F1E" w:rsidRPr="375F5CCE">
        <w:t>.</w:t>
      </w:r>
    </w:p>
    <w:p w14:paraId="048E6CC4" w14:textId="424E4E55" w:rsidR="00E22A54" w:rsidRDefault="00E22A54" w:rsidP="00EE5979">
      <w:pPr>
        <w:pStyle w:val="ListParagraph"/>
        <w:numPr>
          <w:ilvl w:val="0"/>
          <w:numId w:val="17"/>
        </w:numPr>
        <w:ind w:left="284" w:hanging="284"/>
      </w:pPr>
      <w:r w:rsidRPr="375F5CCE">
        <w:t xml:space="preserve">In BEACON 1, nearly half of patients in the control arm received temozolomide alone (n=36, 45%), a regimen that was closed early in </w:t>
      </w:r>
      <w:r w:rsidR="00C510FD" w:rsidRPr="375F5CCE">
        <w:t>BEACON-</w:t>
      </w:r>
      <w:proofErr w:type="spellStart"/>
      <w:r w:rsidR="00C510FD" w:rsidRPr="375F5CCE">
        <w:t>Immuno</w:t>
      </w:r>
      <w:proofErr w:type="spellEnd"/>
      <w:r w:rsidRPr="375F5CCE">
        <w:t xml:space="preserve"> due to evidence indicating that temozolomide alone was inferior to </w:t>
      </w:r>
      <w:r w:rsidR="00787201" w:rsidRPr="375F5CCE">
        <w:t>TOTEM</w:t>
      </w:r>
      <w:r w:rsidRPr="375F5CCE">
        <w:t>. Therefore, this control arm may be lower than observed with current standard of care</w:t>
      </w:r>
      <w:r w:rsidR="00787201" w:rsidRPr="375F5CCE">
        <w:t>.</w:t>
      </w:r>
    </w:p>
    <w:p w14:paraId="3AED51CD" w14:textId="0852EB4A" w:rsidR="00E22A54" w:rsidRDefault="00E22A54" w:rsidP="00EE5979">
      <w:pPr>
        <w:pStyle w:val="ListParagraph"/>
        <w:numPr>
          <w:ilvl w:val="0"/>
          <w:numId w:val="17"/>
        </w:numPr>
        <w:ind w:left="284" w:hanging="284"/>
      </w:pPr>
      <w:r w:rsidRPr="375F5CCE">
        <w:t xml:space="preserve">In </w:t>
      </w:r>
      <w:proofErr w:type="spellStart"/>
      <w:r w:rsidR="00C510FD" w:rsidRPr="375F5CCE">
        <w:t>Bagatell</w:t>
      </w:r>
      <w:proofErr w:type="spellEnd"/>
      <w:r w:rsidRPr="375F5CCE">
        <w:t xml:space="preserve"> 2011, patients were enrolled into the study between June 2006 and July 2008. Treatment protocols from over a decade ago may not be reflective of current standard of care, with trial enrolments prior to 2009 being associated with poorer OS outcomes (London 2017).</w:t>
      </w:r>
    </w:p>
    <w:p w14:paraId="72477F8D" w14:textId="057F4BC8" w:rsidR="00E22A54" w:rsidRDefault="00E22A54" w:rsidP="00E22A54">
      <w:r w:rsidRPr="375F5CCE">
        <w:t xml:space="preserve">The ADAR stated that “an incremental benefit of including </w:t>
      </w:r>
      <w:proofErr w:type="spellStart"/>
      <w:r w:rsidRPr="375F5CCE">
        <w:t>dinutuximab</w:t>
      </w:r>
      <w:proofErr w:type="spellEnd"/>
      <w:r w:rsidRPr="375F5CCE">
        <w:t xml:space="preserve"> + chemotherapy of 33% (95% CI 26%, 40%) is shown in the </w:t>
      </w:r>
      <w:r w:rsidR="004F2FB2">
        <w:t>[</w:t>
      </w:r>
      <w:r w:rsidR="00F02ABB" w:rsidRPr="375F5CCE">
        <w:t>naive</w:t>
      </w:r>
      <w:r w:rsidR="00081390" w:rsidRPr="375F5CCE">
        <w:t xml:space="preserve"> comparison </w:t>
      </w:r>
      <w:r w:rsidRPr="375F5CCE">
        <w:t>of single arm meta-</w:t>
      </w:r>
      <w:r w:rsidRPr="375F5CCE" w:rsidDel="00C626B3">
        <w:t>analyses</w:t>
      </w:r>
      <w:r w:rsidR="00C626B3" w:rsidRPr="375F5CCE">
        <w:t>] (</w:t>
      </w:r>
      <w:r w:rsidRPr="375F5CCE">
        <w:t xml:space="preserve">i.e. 48% minus 15%, with 95% CIs calculated from the estimated standard error (SE)). This level of incremental benefit is very similar to the 31% benefit seen in the meta-analysis of RCTs, supporting a similar level of benefit for </w:t>
      </w:r>
      <w:proofErr w:type="spellStart"/>
      <w:r w:rsidRPr="375F5CCE">
        <w:t>dinutuximab</w:t>
      </w:r>
      <w:proofErr w:type="spellEnd"/>
      <w:r w:rsidRPr="375F5CCE">
        <w:t xml:space="preserve"> + chemotherapy when used outside of more rigorous study design protocols, i.e. in more real-world use.”</w:t>
      </w:r>
    </w:p>
    <w:p w14:paraId="5A47CBD1" w14:textId="2FFB59E6" w:rsidR="00E22A54" w:rsidRDefault="00E22A54" w:rsidP="00E22A54">
      <w:pPr>
        <w:pStyle w:val="Heading3"/>
      </w:pPr>
      <w:r>
        <w:t>Overall survival (OS)</w:t>
      </w:r>
    </w:p>
    <w:p w14:paraId="2B81CF33" w14:textId="1DDDBFD5" w:rsidR="00573A17" w:rsidRDefault="00573A17" w:rsidP="00573A17">
      <w:r w:rsidRPr="375F5CCE">
        <w:t>The</w:t>
      </w:r>
      <w:r w:rsidR="00C748ED" w:rsidRPr="375F5CCE">
        <w:t xml:space="preserve"> Kaplan Meier</w:t>
      </w:r>
      <w:r w:rsidRPr="375F5CCE">
        <w:t xml:space="preserve"> </w:t>
      </w:r>
      <w:r w:rsidR="00C748ED" w:rsidRPr="375F5CCE">
        <w:t>(</w:t>
      </w:r>
      <w:r w:rsidRPr="375F5CCE">
        <w:t>KM</w:t>
      </w:r>
      <w:r w:rsidR="00C748ED" w:rsidRPr="375F5CCE">
        <w:t xml:space="preserve">) </w:t>
      </w:r>
      <w:r w:rsidRPr="375F5CCE">
        <w:t xml:space="preserve">curve for </w:t>
      </w:r>
      <w:r w:rsidR="0063480B" w:rsidRPr="375F5CCE">
        <w:t>OS</w:t>
      </w:r>
      <w:r w:rsidRPr="375F5CCE">
        <w:t xml:space="preserve"> reported in the BEACON-</w:t>
      </w:r>
      <w:proofErr w:type="spellStart"/>
      <w:r w:rsidRPr="375F5CCE">
        <w:t>Immuno</w:t>
      </w:r>
      <w:proofErr w:type="spellEnd"/>
      <w:r w:rsidRPr="375F5CCE">
        <w:t xml:space="preserve"> trial is presented in </w:t>
      </w:r>
      <w:r>
        <w:fldChar w:fldCharType="begin"/>
      </w:r>
      <w:r>
        <w:instrText xml:space="preserve"> REF _Ref184251482 \h </w:instrText>
      </w:r>
      <w:r>
        <w:fldChar w:fldCharType="separate"/>
      </w:r>
      <w:r w:rsidR="00C02A66" w:rsidRPr="375F5CCE">
        <w:t xml:space="preserve">Figure </w:t>
      </w:r>
      <w:r w:rsidR="00C02A66" w:rsidRPr="375F5CCE">
        <w:rPr>
          <w:noProof/>
        </w:rPr>
        <w:t>2</w:t>
      </w:r>
      <w:r>
        <w:fldChar w:fldCharType="end"/>
      </w:r>
      <w:r w:rsidRPr="375F5CCE">
        <w:t>. No difference in OS was observed between groups. As noted by the ADAR, the extensive crossover of more than half (12 of 22) of the no DB group makes interpretation highly uncertain.</w:t>
      </w:r>
    </w:p>
    <w:p w14:paraId="6C6D8872" w14:textId="5D45A42D" w:rsidR="00573A17" w:rsidRPr="00573A17" w:rsidRDefault="00573A17" w:rsidP="375F5CCE">
      <w:pPr>
        <w:pStyle w:val="Caption"/>
      </w:pPr>
      <w:r w:rsidRPr="375F5CCE">
        <w:lastRenderedPageBreak/>
        <w:t xml:space="preserve">Figure </w:t>
      </w:r>
      <w:r>
        <w:fldChar w:fldCharType="begin"/>
      </w:r>
      <w:r>
        <w:instrText>SEQ Figure \* ARABIC</w:instrText>
      </w:r>
      <w:r>
        <w:fldChar w:fldCharType="separate"/>
      </w:r>
      <w:r w:rsidR="00C02A66" w:rsidRPr="375F5CCE">
        <w:rPr>
          <w:noProof/>
        </w:rPr>
        <w:t>1</w:t>
      </w:r>
      <w:r>
        <w:fldChar w:fldCharType="end"/>
      </w:r>
      <w:r>
        <w:tab/>
      </w:r>
      <w:r w:rsidRPr="375F5CCE">
        <w:t>KM curve for OS in BEACON-</w:t>
      </w:r>
      <w:proofErr w:type="spellStart"/>
      <w:r w:rsidRPr="375F5CCE">
        <w:t>Immuno</w:t>
      </w:r>
      <w:proofErr w:type="spellEnd"/>
    </w:p>
    <w:p w14:paraId="29F9BA51" w14:textId="1CDB77CB" w:rsidR="00573A17" w:rsidRDefault="00573A17" w:rsidP="00573A17">
      <w:pPr>
        <w:jc w:val="center"/>
      </w:pPr>
      <w:r w:rsidRPr="00804322">
        <w:rPr>
          <w:i/>
          <w:iCs/>
          <w:noProof/>
          <w:color w:val="5B9BD5" w:themeColor="accent1"/>
        </w:rPr>
        <w:drawing>
          <wp:inline distT="0" distB="0" distL="0" distR="0" wp14:anchorId="2A8F6982" wp14:editId="5B794B67">
            <wp:extent cx="4546948" cy="3656712"/>
            <wp:effectExtent l="0" t="0" r="6350" b="1270"/>
            <wp:docPr id="408823783" name="Picture 1" descr="A graph of survival, Kaplan Meier curve for overall survival in BEACON-Immuno tri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3783" name="Picture 1" descr="A graph of survival, Kaplan Meier curve for overall survival in BEACON-Immuno trial&#10;&#10;"/>
                    <pic:cNvPicPr/>
                  </pic:nvPicPr>
                  <pic:blipFill>
                    <a:blip r:embed="rId13"/>
                    <a:stretch>
                      <a:fillRect/>
                    </a:stretch>
                  </pic:blipFill>
                  <pic:spPr>
                    <a:xfrm>
                      <a:off x="0" y="0"/>
                      <a:ext cx="4570361" cy="3675541"/>
                    </a:xfrm>
                    <a:prstGeom prst="rect">
                      <a:avLst/>
                    </a:prstGeom>
                  </pic:spPr>
                </pic:pic>
              </a:graphicData>
            </a:graphic>
          </wp:inline>
        </w:drawing>
      </w:r>
    </w:p>
    <w:p w14:paraId="5102B060" w14:textId="0A0CC08E" w:rsidR="00573A17" w:rsidRPr="00573A17" w:rsidRDefault="00573A17" w:rsidP="00573A17">
      <w:pPr>
        <w:rPr>
          <w:rFonts w:ascii="Arial Narrow" w:hAnsi="Arial Narrow"/>
          <w:sz w:val="18"/>
          <w:szCs w:val="18"/>
        </w:rPr>
      </w:pPr>
      <w:r>
        <w:rPr>
          <w:rFonts w:ascii="Arial Narrow" w:hAnsi="Arial Narrow"/>
          <w:sz w:val="18"/>
          <w:szCs w:val="18"/>
        </w:rPr>
        <w:t xml:space="preserve">Source: </w:t>
      </w:r>
      <w:r w:rsidRPr="00573A17">
        <w:rPr>
          <w:rFonts w:ascii="Arial Narrow" w:hAnsi="Arial Narrow"/>
          <w:sz w:val="18"/>
          <w:szCs w:val="18"/>
        </w:rPr>
        <w:t>Slide 12 of Gray 2022 ASCO presentation</w:t>
      </w:r>
    </w:p>
    <w:p w14:paraId="21750F80" w14:textId="08DBB061" w:rsidR="00E22A54" w:rsidRDefault="007C1D70" w:rsidP="00E22A54">
      <w:r w:rsidRPr="007C1D70">
        <w:t xml:space="preserve">An overall OS comparison </w:t>
      </w:r>
      <w:r>
        <w:t>wa</w:t>
      </w:r>
      <w:r w:rsidRPr="007C1D70">
        <w:t>s provided for all the comparative and single-arm cohort studies reporting this outcome, based on median OS (months) and the percent of patients with OS at 1 year, as these were outcomes reported across some of the studies</w:t>
      </w:r>
      <w:r>
        <w:t xml:space="preserve"> </w:t>
      </w:r>
      <w:r w:rsidR="00183B6A">
        <w:t>(</w:t>
      </w:r>
      <w:r>
        <w:t xml:space="preserve">see </w:t>
      </w:r>
      <w:r w:rsidR="00925C28">
        <w:fldChar w:fldCharType="begin"/>
      </w:r>
      <w:r w:rsidR="00925C28">
        <w:instrText xml:space="preserve"> REF _Ref184250716 \h </w:instrText>
      </w:r>
      <w:r w:rsidR="00925C28">
        <w:fldChar w:fldCharType="separate"/>
      </w:r>
      <w:r w:rsidR="00C02A66">
        <w:t xml:space="preserve">Table </w:t>
      </w:r>
      <w:r w:rsidR="00C02A66">
        <w:rPr>
          <w:noProof/>
        </w:rPr>
        <w:t>4</w:t>
      </w:r>
      <w:r w:rsidR="00925C28">
        <w:fldChar w:fldCharType="end"/>
      </w:r>
      <w:r w:rsidR="00183B6A">
        <w:t>)</w:t>
      </w:r>
      <w:r w:rsidR="00925C28">
        <w:t>.</w:t>
      </w:r>
    </w:p>
    <w:p w14:paraId="6D8CB5AF" w14:textId="1F02254D" w:rsidR="00925C28" w:rsidRPr="00925C28" w:rsidRDefault="00925C28" w:rsidP="00925C28">
      <w:r>
        <w:t xml:space="preserve">The </w:t>
      </w:r>
      <w:r w:rsidR="00183B6A">
        <w:t>DB</w:t>
      </w:r>
      <w:r>
        <w:t xml:space="preserve"> + chemotherapy median OS in the studies ranged from median not reached in the ANBL 1221 randomised cohort (33 months in the extension cohort) to 10.3 months in Wieczorek 2023. Wieczorek 2023 included 80% relapsed patients (higher than all other studies that weren’t specifically restricted to relapsed patients), including 40% with ≥2 relapses. Hence, the ADAR claimed it was likely that this study included a particularly difficult to treat population. One-year OS ranged from 47% to 88% with </w:t>
      </w:r>
      <w:r w:rsidR="00BB18F7">
        <w:t xml:space="preserve">DB </w:t>
      </w:r>
      <w:r>
        <w:t>+ chemotherapy treatment, compared with 58% to 65% in the control arms (</w:t>
      </w:r>
      <w:r>
        <w:fldChar w:fldCharType="begin"/>
      </w:r>
      <w:r>
        <w:instrText xml:space="preserve"> REF _Ref184250716 \h </w:instrText>
      </w:r>
      <w:r>
        <w:fldChar w:fldCharType="separate"/>
      </w:r>
      <w:r w:rsidR="00C02A66">
        <w:t xml:space="preserve">Table </w:t>
      </w:r>
      <w:r w:rsidR="00C02A66" w:rsidRPr="4803CD63">
        <w:rPr>
          <w:noProof/>
        </w:rPr>
        <w:t>4</w:t>
      </w:r>
      <w:r>
        <w:fldChar w:fldCharType="end"/>
      </w:r>
      <w:r>
        <w:t>), with limited studies reporting th</w:t>
      </w:r>
      <w:r w:rsidR="00D47C71">
        <w:t>e</w:t>
      </w:r>
      <w:r>
        <w:t>s</w:t>
      </w:r>
      <w:r w:rsidR="00D47C71">
        <w:t>e</w:t>
      </w:r>
      <w:r>
        <w:t xml:space="preserve"> data.</w:t>
      </w:r>
    </w:p>
    <w:p w14:paraId="35919C9D" w14:textId="30F03A9B" w:rsidR="007C1D70" w:rsidRDefault="00925C28" w:rsidP="00925C28">
      <w:pPr>
        <w:pStyle w:val="Caption"/>
      </w:pPr>
      <w:bookmarkStart w:id="22" w:name="_Ref184250716"/>
      <w:r>
        <w:lastRenderedPageBreak/>
        <w:t xml:space="preserve">Table </w:t>
      </w:r>
      <w:r>
        <w:fldChar w:fldCharType="begin"/>
      </w:r>
      <w:r>
        <w:instrText>SEQ Table \* ARABIC</w:instrText>
      </w:r>
      <w:r>
        <w:fldChar w:fldCharType="separate"/>
      </w:r>
      <w:r w:rsidR="00C02A66">
        <w:rPr>
          <w:noProof/>
        </w:rPr>
        <w:t>4</w:t>
      </w:r>
      <w:r>
        <w:fldChar w:fldCharType="end"/>
      </w:r>
      <w:bookmarkEnd w:id="22"/>
      <w:r>
        <w:tab/>
        <w:t xml:space="preserve">Results for OS reported in the </w:t>
      </w:r>
      <w:r w:rsidR="00DE625C">
        <w:t xml:space="preserve">relevant </w:t>
      </w:r>
      <w:r>
        <w:t>trials and studies</w:t>
      </w:r>
    </w:p>
    <w:tbl>
      <w:tblPr>
        <w:tblStyle w:val="TableGrid"/>
        <w:tblW w:w="9209" w:type="dxa"/>
        <w:tblLayout w:type="fixed"/>
        <w:tblCellMar>
          <w:left w:w="28" w:type="dxa"/>
          <w:right w:w="28" w:type="dxa"/>
        </w:tblCellMar>
        <w:tblLook w:val="04A0" w:firstRow="1" w:lastRow="0" w:firstColumn="1" w:lastColumn="0" w:noHBand="0" w:noVBand="1"/>
      </w:tblPr>
      <w:tblGrid>
        <w:gridCol w:w="1271"/>
        <w:gridCol w:w="284"/>
        <w:gridCol w:w="1559"/>
        <w:gridCol w:w="283"/>
        <w:gridCol w:w="1843"/>
        <w:gridCol w:w="284"/>
        <w:gridCol w:w="1701"/>
        <w:gridCol w:w="283"/>
        <w:gridCol w:w="1701"/>
      </w:tblGrid>
      <w:tr w:rsidR="00925C28" w14:paraId="17C1A219" w14:textId="77777777" w:rsidTr="375F5CCE">
        <w:tc>
          <w:tcPr>
            <w:tcW w:w="1271" w:type="dxa"/>
            <w:vMerge w:val="restart"/>
            <w:tcBorders>
              <w:right w:val="double" w:sz="4" w:space="0" w:color="auto"/>
            </w:tcBorders>
            <w:shd w:val="clear" w:color="auto" w:fill="auto"/>
            <w:vAlign w:val="center"/>
          </w:tcPr>
          <w:p w14:paraId="0BC15606" w14:textId="77777777" w:rsidR="00925C28" w:rsidRDefault="00925C28" w:rsidP="00B70B76">
            <w:pPr>
              <w:pStyle w:val="KMC16-TableHeading"/>
              <w:keepNext/>
              <w:jc w:val="left"/>
            </w:pPr>
            <w:r>
              <w:t>Study ID</w:t>
            </w:r>
          </w:p>
        </w:tc>
        <w:tc>
          <w:tcPr>
            <w:tcW w:w="1843" w:type="dxa"/>
            <w:gridSpan w:val="2"/>
            <w:tcBorders>
              <w:left w:val="double" w:sz="4" w:space="0" w:color="auto"/>
            </w:tcBorders>
            <w:shd w:val="clear" w:color="auto" w:fill="auto"/>
          </w:tcPr>
          <w:p w14:paraId="130DE2AC" w14:textId="77777777" w:rsidR="00925C28" w:rsidRDefault="00925C28" w:rsidP="375F5CCE">
            <w:pPr>
              <w:pStyle w:val="KMC16-TableHeading"/>
              <w:keepNext/>
            </w:pPr>
            <w:proofErr w:type="spellStart"/>
            <w:r w:rsidRPr="375F5CCE">
              <w:t>Dinutuximab+chemo</w:t>
            </w:r>
            <w:proofErr w:type="spellEnd"/>
          </w:p>
        </w:tc>
        <w:tc>
          <w:tcPr>
            <w:tcW w:w="2126" w:type="dxa"/>
            <w:gridSpan w:val="2"/>
            <w:tcBorders>
              <w:right w:val="double" w:sz="4" w:space="0" w:color="auto"/>
            </w:tcBorders>
            <w:shd w:val="clear" w:color="auto" w:fill="auto"/>
          </w:tcPr>
          <w:p w14:paraId="16BDA6B2" w14:textId="77777777" w:rsidR="00925C28" w:rsidRDefault="00925C28" w:rsidP="00B70B76">
            <w:pPr>
              <w:pStyle w:val="KMC16-TableHeading"/>
              <w:keepNext/>
            </w:pPr>
            <w:r>
              <w:t>Control</w:t>
            </w:r>
          </w:p>
        </w:tc>
        <w:tc>
          <w:tcPr>
            <w:tcW w:w="1985" w:type="dxa"/>
            <w:gridSpan w:val="2"/>
            <w:tcBorders>
              <w:left w:val="double" w:sz="4" w:space="0" w:color="auto"/>
            </w:tcBorders>
            <w:shd w:val="clear" w:color="auto" w:fill="auto"/>
          </w:tcPr>
          <w:p w14:paraId="04B0B5B6" w14:textId="77777777" w:rsidR="00925C28" w:rsidRDefault="00925C28" w:rsidP="375F5CCE">
            <w:pPr>
              <w:pStyle w:val="KMC16-TableHeading"/>
              <w:keepNext/>
            </w:pPr>
            <w:proofErr w:type="spellStart"/>
            <w:r w:rsidRPr="375F5CCE">
              <w:t>Dinutuximab+chemo</w:t>
            </w:r>
            <w:proofErr w:type="spellEnd"/>
          </w:p>
        </w:tc>
        <w:tc>
          <w:tcPr>
            <w:tcW w:w="1984" w:type="dxa"/>
            <w:gridSpan w:val="2"/>
            <w:tcBorders>
              <w:right w:val="single" w:sz="4" w:space="0" w:color="auto"/>
            </w:tcBorders>
            <w:shd w:val="clear" w:color="auto" w:fill="auto"/>
          </w:tcPr>
          <w:p w14:paraId="0A37BFB1" w14:textId="77777777" w:rsidR="00925C28" w:rsidRDefault="00925C28" w:rsidP="00B70B76">
            <w:pPr>
              <w:pStyle w:val="KMC16-TableHeading"/>
              <w:keepNext/>
            </w:pPr>
            <w:r>
              <w:t>Control</w:t>
            </w:r>
          </w:p>
        </w:tc>
      </w:tr>
      <w:tr w:rsidR="00925C28" w14:paraId="078996CA" w14:textId="77777777" w:rsidTr="375F5CCE">
        <w:tc>
          <w:tcPr>
            <w:tcW w:w="1271" w:type="dxa"/>
            <w:vMerge/>
          </w:tcPr>
          <w:p w14:paraId="7A7466C8" w14:textId="77777777" w:rsidR="00925C28" w:rsidRDefault="00925C28" w:rsidP="00B70B76">
            <w:pPr>
              <w:pStyle w:val="KMC16-TableHeading"/>
              <w:keepNext/>
            </w:pPr>
          </w:p>
        </w:tc>
        <w:tc>
          <w:tcPr>
            <w:tcW w:w="284" w:type="dxa"/>
            <w:tcBorders>
              <w:left w:val="double" w:sz="4" w:space="0" w:color="auto"/>
            </w:tcBorders>
            <w:shd w:val="clear" w:color="auto" w:fill="auto"/>
            <w:vAlign w:val="center"/>
          </w:tcPr>
          <w:p w14:paraId="5E97EE5B" w14:textId="77777777" w:rsidR="00925C28" w:rsidRDefault="00925C28" w:rsidP="0020240C">
            <w:pPr>
              <w:pStyle w:val="KMC16-TableHeading"/>
              <w:keepNext/>
            </w:pPr>
            <w:r>
              <w:t>N</w:t>
            </w:r>
          </w:p>
        </w:tc>
        <w:tc>
          <w:tcPr>
            <w:tcW w:w="1559" w:type="dxa"/>
            <w:shd w:val="clear" w:color="auto" w:fill="auto"/>
            <w:vAlign w:val="center"/>
          </w:tcPr>
          <w:p w14:paraId="05A001E3" w14:textId="77777777" w:rsidR="00925C28" w:rsidRDefault="00925C28" w:rsidP="0020240C">
            <w:pPr>
              <w:pStyle w:val="KMC16-TableHeading"/>
              <w:keepNext/>
            </w:pPr>
            <w:r>
              <w:t xml:space="preserve">Median OS </w:t>
            </w:r>
            <w:r>
              <w:br/>
              <w:t>(95% CI), months</w:t>
            </w:r>
          </w:p>
        </w:tc>
        <w:tc>
          <w:tcPr>
            <w:tcW w:w="283" w:type="dxa"/>
            <w:shd w:val="clear" w:color="auto" w:fill="auto"/>
            <w:vAlign w:val="center"/>
          </w:tcPr>
          <w:p w14:paraId="6675195C" w14:textId="77777777" w:rsidR="00925C28" w:rsidRDefault="00925C28" w:rsidP="0020240C">
            <w:pPr>
              <w:pStyle w:val="KMC16-TableHeading"/>
              <w:keepNext/>
            </w:pPr>
            <w:r>
              <w:t>N</w:t>
            </w:r>
          </w:p>
        </w:tc>
        <w:tc>
          <w:tcPr>
            <w:tcW w:w="1843" w:type="dxa"/>
            <w:tcBorders>
              <w:right w:val="double" w:sz="4" w:space="0" w:color="auto"/>
            </w:tcBorders>
            <w:shd w:val="clear" w:color="auto" w:fill="auto"/>
            <w:vAlign w:val="center"/>
          </w:tcPr>
          <w:p w14:paraId="355ACB98" w14:textId="1AE1C967" w:rsidR="00925C28" w:rsidRDefault="00925C28" w:rsidP="0020240C">
            <w:pPr>
              <w:pStyle w:val="KMC16-TableHeading"/>
              <w:keepNext/>
            </w:pPr>
            <w:r>
              <w:t xml:space="preserve">Median OS </w:t>
            </w:r>
            <w:r w:rsidR="0020240C">
              <w:br/>
            </w:r>
            <w:r>
              <w:t>(95% CI), months</w:t>
            </w:r>
          </w:p>
        </w:tc>
        <w:tc>
          <w:tcPr>
            <w:tcW w:w="284" w:type="dxa"/>
            <w:tcBorders>
              <w:left w:val="double" w:sz="4" w:space="0" w:color="auto"/>
            </w:tcBorders>
            <w:shd w:val="clear" w:color="auto" w:fill="auto"/>
            <w:vAlign w:val="center"/>
          </w:tcPr>
          <w:p w14:paraId="774152A4" w14:textId="77777777" w:rsidR="00925C28" w:rsidRDefault="00925C28" w:rsidP="0020240C">
            <w:pPr>
              <w:pStyle w:val="KMC16-TableHeading"/>
              <w:keepNext/>
            </w:pPr>
            <w:r>
              <w:t>N</w:t>
            </w:r>
          </w:p>
        </w:tc>
        <w:tc>
          <w:tcPr>
            <w:tcW w:w="1701" w:type="dxa"/>
            <w:shd w:val="clear" w:color="auto" w:fill="auto"/>
            <w:vAlign w:val="center"/>
          </w:tcPr>
          <w:p w14:paraId="200C6846" w14:textId="77777777" w:rsidR="00925C28" w:rsidRDefault="00925C28" w:rsidP="0020240C">
            <w:pPr>
              <w:pStyle w:val="KMC16-TableHeading"/>
              <w:keepNext/>
            </w:pPr>
            <w:r>
              <w:t>1-Year OS</w:t>
            </w:r>
            <w:r>
              <w:br/>
              <w:t>(95% CI), % patients</w:t>
            </w:r>
          </w:p>
        </w:tc>
        <w:tc>
          <w:tcPr>
            <w:tcW w:w="283" w:type="dxa"/>
            <w:shd w:val="clear" w:color="auto" w:fill="auto"/>
            <w:vAlign w:val="center"/>
          </w:tcPr>
          <w:p w14:paraId="1709014D" w14:textId="77777777" w:rsidR="00925C28" w:rsidRDefault="00925C28" w:rsidP="0020240C">
            <w:pPr>
              <w:pStyle w:val="KMC16-TableHeading"/>
              <w:keepNext/>
            </w:pPr>
            <w:r>
              <w:t>N</w:t>
            </w:r>
          </w:p>
        </w:tc>
        <w:tc>
          <w:tcPr>
            <w:tcW w:w="1701" w:type="dxa"/>
            <w:tcBorders>
              <w:right w:val="single" w:sz="4" w:space="0" w:color="auto"/>
            </w:tcBorders>
            <w:shd w:val="clear" w:color="auto" w:fill="auto"/>
            <w:vAlign w:val="center"/>
          </w:tcPr>
          <w:p w14:paraId="4F839F78" w14:textId="77777777" w:rsidR="00925C28" w:rsidRDefault="00925C28" w:rsidP="0020240C">
            <w:pPr>
              <w:pStyle w:val="KMC16-TableHeading"/>
              <w:keepNext/>
            </w:pPr>
            <w:r>
              <w:t xml:space="preserve">1-Year OS </w:t>
            </w:r>
            <w:r>
              <w:br/>
              <w:t>(95% CI), % patients</w:t>
            </w:r>
          </w:p>
        </w:tc>
      </w:tr>
      <w:tr w:rsidR="00925C28" w14:paraId="0F94972D" w14:textId="77777777" w:rsidTr="375F5CCE">
        <w:tc>
          <w:tcPr>
            <w:tcW w:w="1271" w:type="dxa"/>
            <w:tcBorders>
              <w:right w:val="double" w:sz="4" w:space="0" w:color="auto"/>
            </w:tcBorders>
          </w:tcPr>
          <w:p w14:paraId="446A6ED7" w14:textId="6D02288B" w:rsidR="00925C28" w:rsidRDefault="00925C28" w:rsidP="00B70B76">
            <w:pPr>
              <w:pStyle w:val="KMC16-Tablecontent"/>
              <w:keepNext/>
            </w:pPr>
            <w:r>
              <w:t>BEACON</w:t>
            </w:r>
            <w:r w:rsidR="00C43CF2">
              <w:t>-</w:t>
            </w:r>
            <w:proofErr w:type="spellStart"/>
            <w:r>
              <w:t>Immuno</w:t>
            </w:r>
            <w:proofErr w:type="spellEnd"/>
          </w:p>
        </w:tc>
        <w:tc>
          <w:tcPr>
            <w:tcW w:w="284" w:type="dxa"/>
            <w:tcBorders>
              <w:left w:val="double" w:sz="4" w:space="0" w:color="auto"/>
            </w:tcBorders>
            <w:vAlign w:val="center"/>
          </w:tcPr>
          <w:p w14:paraId="422B156F" w14:textId="77777777" w:rsidR="00925C28" w:rsidRDefault="00925C28" w:rsidP="00B70B76">
            <w:pPr>
              <w:pStyle w:val="KMC16-Tablecontent"/>
              <w:keepNext/>
              <w:jc w:val="center"/>
            </w:pPr>
            <w:r>
              <w:t>43</w:t>
            </w:r>
          </w:p>
        </w:tc>
        <w:tc>
          <w:tcPr>
            <w:tcW w:w="1559" w:type="dxa"/>
            <w:vAlign w:val="center"/>
          </w:tcPr>
          <w:p w14:paraId="09E20950" w14:textId="77777777" w:rsidR="00925C28" w:rsidRDefault="00925C28" w:rsidP="00B70B76">
            <w:pPr>
              <w:pStyle w:val="KMC16-Tablecontent"/>
              <w:keepNext/>
              <w:jc w:val="center"/>
            </w:pPr>
            <w:r>
              <w:t>-</w:t>
            </w:r>
          </w:p>
        </w:tc>
        <w:tc>
          <w:tcPr>
            <w:tcW w:w="283" w:type="dxa"/>
            <w:vAlign w:val="center"/>
          </w:tcPr>
          <w:p w14:paraId="3F8BE834" w14:textId="77777777" w:rsidR="00925C28" w:rsidRDefault="00925C28" w:rsidP="00B70B76">
            <w:pPr>
              <w:pStyle w:val="KMC16-Tablecontent"/>
              <w:keepNext/>
              <w:jc w:val="center"/>
            </w:pPr>
            <w:r>
              <w:t>22</w:t>
            </w:r>
          </w:p>
        </w:tc>
        <w:tc>
          <w:tcPr>
            <w:tcW w:w="1843" w:type="dxa"/>
            <w:tcBorders>
              <w:right w:val="double" w:sz="4" w:space="0" w:color="auto"/>
            </w:tcBorders>
            <w:vAlign w:val="center"/>
          </w:tcPr>
          <w:p w14:paraId="7557D7D2" w14:textId="77777777" w:rsidR="00925C28" w:rsidRDefault="00925C28" w:rsidP="00B70B76">
            <w:pPr>
              <w:pStyle w:val="KMC16-Tablecontent"/>
              <w:keepNext/>
              <w:jc w:val="center"/>
            </w:pPr>
            <w:r>
              <w:t>-</w:t>
            </w:r>
          </w:p>
        </w:tc>
        <w:tc>
          <w:tcPr>
            <w:tcW w:w="284" w:type="dxa"/>
            <w:tcBorders>
              <w:left w:val="double" w:sz="4" w:space="0" w:color="auto"/>
            </w:tcBorders>
            <w:vAlign w:val="center"/>
          </w:tcPr>
          <w:p w14:paraId="45FF97B0" w14:textId="77777777" w:rsidR="00925C28" w:rsidRDefault="00925C28" w:rsidP="00B70B76">
            <w:pPr>
              <w:pStyle w:val="KMC16-Tablecontent"/>
              <w:keepNext/>
              <w:jc w:val="center"/>
            </w:pPr>
            <w:r>
              <w:t>43</w:t>
            </w:r>
          </w:p>
        </w:tc>
        <w:tc>
          <w:tcPr>
            <w:tcW w:w="1701" w:type="dxa"/>
            <w:vAlign w:val="center"/>
          </w:tcPr>
          <w:p w14:paraId="796B1346" w14:textId="77777777" w:rsidR="00925C28" w:rsidRDefault="00925C28" w:rsidP="00B70B76">
            <w:pPr>
              <w:pStyle w:val="KMC16-Tablecontent"/>
              <w:keepNext/>
              <w:jc w:val="center"/>
            </w:pPr>
            <w:r>
              <w:t>-</w:t>
            </w:r>
          </w:p>
        </w:tc>
        <w:tc>
          <w:tcPr>
            <w:tcW w:w="283" w:type="dxa"/>
            <w:vAlign w:val="center"/>
          </w:tcPr>
          <w:p w14:paraId="1BCF6A8E" w14:textId="77777777" w:rsidR="00925C28" w:rsidRDefault="00925C28" w:rsidP="00B70B76">
            <w:pPr>
              <w:pStyle w:val="KMC16-Tablecontent"/>
              <w:keepNext/>
              <w:jc w:val="center"/>
            </w:pPr>
            <w:r>
              <w:t>22</w:t>
            </w:r>
          </w:p>
        </w:tc>
        <w:tc>
          <w:tcPr>
            <w:tcW w:w="1701" w:type="dxa"/>
            <w:tcBorders>
              <w:right w:val="single" w:sz="4" w:space="0" w:color="auto"/>
            </w:tcBorders>
            <w:vAlign w:val="center"/>
          </w:tcPr>
          <w:p w14:paraId="7F378274" w14:textId="77777777" w:rsidR="00925C28" w:rsidRDefault="00925C28" w:rsidP="00B70B76">
            <w:pPr>
              <w:pStyle w:val="KMC16-Tablecontent"/>
              <w:keepNext/>
              <w:jc w:val="center"/>
            </w:pPr>
            <w:r>
              <w:t>-</w:t>
            </w:r>
          </w:p>
        </w:tc>
      </w:tr>
      <w:tr w:rsidR="00925C28" w14:paraId="3F372E7C" w14:textId="77777777" w:rsidTr="375F5CCE">
        <w:tc>
          <w:tcPr>
            <w:tcW w:w="1271" w:type="dxa"/>
            <w:tcBorders>
              <w:right w:val="double" w:sz="4" w:space="0" w:color="auto"/>
            </w:tcBorders>
          </w:tcPr>
          <w:p w14:paraId="527856B7" w14:textId="7B6792E0" w:rsidR="00925C28" w:rsidRDefault="0063480B" w:rsidP="00B70B76">
            <w:pPr>
              <w:pStyle w:val="KMC16-Tablecontent"/>
              <w:keepNext/>
            </w:pPr>
            <w:r>
              <w:t>ANBL 1221</w:t>
            </w:r>
            <w:r w:rsidR="00925C28">
              <w:t xml:space="preserve"> RCT</w:t>
            </w:r>
          </w:p>
        </w:tc>
        <w:tc>
          <w:tcPr>
            <w:tcW w:w="284" w:type="dxa"/>
            <w:tcBorders>
              <w:left w:val="double" w:sz="4" w:space="0" w:color="auto"/>
            </w:tcBorders>
            <w:vAlign w:val="center"/>
          </w:tcPr>
          <w:p w14:paraId="6DA37B40" w14:textId="77777777" w:rsidR="00925C28" w:rsidRDefault="00925C28" w:rsidP="00B70B76">
            <w:pPr>
              <w:pStyle w:val="KMC16-Tablecontent"/>
              <w:keepNext/>
              <w:jc w:val="center"/>
            </w:pPr>
            <w:r>
              <w:t>18</w:t>
            </w:r>
          </w:p>
        </w:tc>
        <w:tc>
          <w:tcPr>
            <w:tcW w:w="1559" w:type="dxa"/>
            <w:vAlign w:val="center"/>
          </w:tcPr>
          <w:p w14:paraId="33BC3F1C" w14:textId="7820DE79" w:rsidR="00925C28" w:rsidRPr="00CB6AF7" w:rsidRDefault="00925C28" w:rsidP="00B70B76">
            <w:pPr>
              <w:pStyle w:val="KMC16-Tablecontent"/>
              <w:keepNext/>
              <w:jc w:val="center"/>
            </w:pPr>
            <w:r w:rsidRPr="00CB6AF7">
              <w:t>NC (27.7, NC)</w:t>
            </w:r>
          </w:p>
        </w:tc>
        <w:tc>
          <w:tcPr>
            <w:tcW w:w="283" w:type="dxa"/>
            <w:vAlign w:val="center"/>
          </w:tcPr>
          <w:p w14:paraId="57CDEE8F" w14:textId="77777777" w:rsidR="00925C28" w:rsidRPr="00CB6AF7" w:rsidRDefault="00925C28" w:rsidP="00B70B76">
            <w:pPr>
              <w:pStyle w:val="KMC16-Tablecontent"/>
              <w:keepNext/>
              <w:jc w:val="center"/>
            </w:pPr>
            <w:r w:rsidRPr="00CB6AF7">
              <w:t>17</w:t>
            </w:r>
          </w:p>
        </w:tc>
        <w:tc>
          <w:tcPr>
            <w:tcW w:w="1843" w:type="dxa"/>
            <w:tcBorders>
              <w:right w:val="double" w:sz="4" w:space="0" w:color="auto"/>
            </w:tcBorders>
            <w:vAlign w:val="center"/>
          </w:tcPr>
          <w:p w14:paraId="1245D88A" w14:textId="77777777" w:rsidR="00925C28" w:rsidRPr="00CB6AF7" w:rsidRDefault="00925C28" w:rsidP="00B70B76">
            <w:pPr>
              <w:pStyle w:val="KMC16-Tablecontent"/>
              <w:keepNext/>
              <w:jc w:val="center"/>
            </w:pPr>
            <w:r w:rsidRPr="00CB6AF7">
              <w:t>27.1 (5.5, 38.3)</w:t>
            </w:r>
          </w:p>
        </w:tc>
        <w:tc>
          <w:tcPr>
            <w:tcW w:w="284" w:type="dxa"/>
            <w:tcBorders>
              <w:left w:val="double" w:sz="4" w:space="0" w:color="auto"/>
            </w:tcBorders>
            <w:vAlign w:val="center"/>
          </w:tcPr>
          <w:p w14:paraId="1C90F1E3" w14:textId="77777777" w:rsidR="00925C28" w:rsidRDefault="00925C28" w:rsidP="00B70B76">
            <w:pPr>
              <w:pStyle w:val="KMC16-Tablecontent"/>
              <w:keepNext/>
              <w:jc w:val="center"/>
            </w:pPr>
            <w:r>
              <w:t>18</w:t>
            </w:r>
          </w:p>
        </w:tc>
        <w:tc>
          <w:tcPr>
            <w:tcW w:w="1701" w:type="dxa"/>
            <w:vAlign w:val="center"/>
          </w:tcPr>
          <w:p w14:paraId="7F9C5D70" w14:textId="65616AE3" w:rsidR="00925C28" w:rsidRDefault="00925C28" w:rsidP="00B70B76">
            <w:pPr>
              <w:pStyle w:val="KMC16-Tablecontent"/>
              <w:keepNext/>
              <w:jc w:val="center"/>
            </w:pPr>
            <w:r>
              <w:t>88 (72, 100)</w:t>
            </w:r>
          </w:p>
        </w:tc>
        <w:tc>
          <w:tcPr>
            <w:tcW w:w="283" w:type="dxa"/>
            <w:vAlign w:val="center"/>
          </w:tcPr>
          <w:p w14:paraId="2CB998EF" w14:textId="77777777" w:rsidR="00925C28" w:rsidRDefault="00925C28" w:rsidP="00B70B76">
            <w:pPr>
              <w:pStyle w:val="KMC16-Tablecontent"/>
              <w:keepNext/>
              <w:jc w:val="center"/>
            </w:pPr>
            <w:r>
              <w:t>17</w:t>
            </w:r>
          </w:p>
        </w:tc>
        <w:tc>
          <w:tcPr>
            <w:tcW w:w="1701" w:type="dxa"/>
            <w:tcBorders>
              <w:right w:val="single" w:sz="4" w:space="0" w:color="auto"/>
            </w:tcBorders>
            <w:vAlign w:val="center"/>
          </w:tcPr>
          <w:p w14:paraId="672CDD6B" w14:textId="448D5D24" w:rsidR="00925C28" w:rsidRDefault="00925C28" w:rsidP="00B70B76">
            <w:pPr>
              <w:pStyle w:val="KMC16-Tablecontent"/>
              <w:keepNext/>
              <w:jc w:val="center"/>
            </w:pPr>
            <w:r>
              <w:t>65 (41, 89)</w:t>
            </w:r>
          </w:p>
        </w:tc>
      </w:tr>
      <w:tr w:rsidR="00925C28" w14:paraId="613DD7C9" w14:textId="77777777" w:rsidTr="375F5CCE">
        <w:tc>
          <w:tcPr>
            <w:tcW w:w="1271" w:type="dxa"/>
            <w:tcBorders>
              <w:right w:val="double" w:sz="4" w:space="0" w:color="auto"/>
            </w:tcBorders>
          </w:tcPr>
          <w:p w14:paraId="42FF1201" w14:textId="1C226B56" w:rsidR="00925C28" w:rsidRDefault="0063480B" w:rsidP="00B70B76">
            <w:pPr>
              <w:pStyle w:val="KMC16-Tablecontent"/>
              <w:keepNext/>
            </w:pPr>
            <w:r>
              <w:t>ANBL 1221</w:t>
            </w:r>
            <w:r w:rsidR="00925C28">
              <w:t xml:space="preserve"> </w:t>
            </w:r>
            <w:proofErr w:type="spellStart"/>
            <w:r w:rsidR="00925C28">
              <w:t>ext</w:t>
            </w:r>
            <w:proofErr w:type="spellEnd"/>
            <w:r w:rsidR="00925C28">
              <w:t xml:space="preserve"> </w:t>
            </w:r>
          </w:p>
        </w:tc>
        <w:tc>
          <w:tcPr>
            <w:tcW w:w="284" w:type="dxa"/>
            <w:tcBorders>
              <w:left w:val="double" w:sz="4" w:space="0" w:color="auto"/>
            </w:tcBorders>
            <w:vAlign w:val="center"/>
          </w:tcPr>
          <w:p w14:paraId="4E628ABA" w14:textId="77777777" w:rsidR="00925C28" w:rsidRDefault="00925C28" w:rsidP="00B70B76">
            <w:pPr>
              <w:pStyle w:val="KMC16-Tablecontent"/>
              <w:keepNext/>
              <w:jc w:val="center"/>
            </w:pPr>
            <w:r>
              <w:t>36</w:t>
            </w:r>
          </w:p>
        </w:tc>
        <w:tc>
          <w:tcPr>
            <w:tcW w:w="1559" w:type="dxa"/>
            <w:vAlign w:val="center"/>
          </w:tcPr>
          <w:p w14:paraId="3570DDA8" w14:textId="77777777" w:rsidR="00925C28" w:rsidRPr="00CB6AF7" w:rsidRDefault="00925C28" w:rsidP="00B70B76">
            <w:pPr>
              <w:pStyle w:val="KMC16-Tablecontent"/>
              <w:keepNext/>
              <w:jc w:val="center"/>
            </w:pPr>
            <w:r w:rsidRPr="00CB6AF7">
              <w:rPr>
                <w:lang w:val="en-AU"/>
              </w:rPr>
              <w:t>33.2 (24.4, NC)</w:t>
            </w:r>
          </w:p>
        </w:tc>
        <w:tc>
          <w:tcPr>
            <w:tcW w:w="283" w:type="dxa"/>
            <w:vAlign w:val="center"/>
          </w:tcPr>
          <w:p w14:paraId="45F458F0" w14:textId="77777777" w:rsidR="00925C28" w:rsidRPr="00CB6AF7" w:rsidRDefault="00925C28" w:rsidP="00B70B76">
            <w:pPr>
              <w:pStyle w:val="KMC16-Tablecontent"/>
              <w:keepNext/>
              <w:jc w:val="center"/>
            </w:pPr>
            <w:r w:rsidRPr="00CB6AF7">
              <w:t>-</w:t>
            </w:r>
          </w:p>
        </w:tc>
        <w:tc>
          <w:tcPr>
            <w:tcW w:w="1843" w:type="dxa"/>
            <w:tcBorders>
              <w:right w:val="double" w:sz="4" w:space="0" w:color="auto"/>
            </w:tcBorders>
            <w:vAlign w:val="center"/>
          </w:tcPr>
          <w:p w14:paraId="4A04C009" w14:textId="77777777" w:rsidR="00925C28" w:rsidRPr="00CB6AF7" w:rsidRDefault="00925C28" w:rsidP="00B70B76">
            <w:pPr>
              <w:pStyle w:val="KMC16-Tablecontent"/>
              <w:keepNext/>
              <w:jc w:val="center"/>
            </w:pPr>
            <w:r w:rsidRPr="00CB6AF7">
              <w:t>-</w:t>
            </w:r>
          </w:p>
        </w:tc>
        <w:tc>
          <w:tcPr>
            <w:tcW w:w="284" w:type="dxa"/>
            <w:tcBorders>
              <w:left w:val="double" w:sz="4" w:space="0" w:color="auto"/>
            </w:tcBorders>
            <w:vAlign w:val="center"/>
          </w:tcPr>
          <w:p w14:paraId="3347F2BC" w14:textId="77777777" w:rsidR="00925C28" w:rsidRDefault="00925C28" w:rsidP="00B70B76">
            <w:pPr>
              <w:pStyle w:val="KMC16-Tablecontent"/>
              <w:keepNext/>
              <w:jc w:val="center"/>
            </w:pPr>
            <w:r>
              <w:t>36</w:t>
            </w:r>
          </w:p>
        </w:tc>
        <w:tc>
          <w:tcPr>
            <w:tcW w:w="1701" w:type="dxa"/>
            <w:vAlign w:val="center"/>
          </w:tcPr>
          <w:p w14:paraId="6A37EB7D" w14:textId="2003C098" w:rsidR="00925C28" w:rsidRDefault="00925C28" w:rsidP="00B70B76">
            <w:pPr>
              <w:pStyle w:val="KMC16-Tablecontent"/>
              <w:keepNext/>
              <w:jc w:val="center"/>
            </w:pPr>
            <w:r>
              <w:t>NR</w:t>
            </w:r>
          </w:p>
        </w:tc>
        <w:tc>
          <w:tcPr>
            <w:tcW w:w="283" w:type="dxa"/>
            <w:vAlign w:val="center"/>
          </w:tcPr>
          <w:p w14:paraId="7E520867" w14:textId="77777777" w:rsidR="00925C28" w:rsidRDefault="00925C28" w:rsidP="00B70B76">
            <w:pPr>
              <w:pStyle w:val="KMC16-Tablecontent"/>
              <w:keepNext/>
              <w:jc w:val="center"/>
            </w:pPr>
            <w:r>
              <w:t>-</w:t>
            </w:r>
          </w:p>
        </w:tc>
        <w:tc>
          <w:tcPr>
            <w:tcW w:w="1701" w:type="dxa"/>
            <w:tcBorders>
              <w:right w:val="single" w:sz="4" w:space="0" w:color="auto"/>
            </w:tcBorders>
            <w:vAlign w:val="center"/>
          </w:tcPr>
          <w:p w14:paraId="2C194A22" w14:textId="77777777" w:rsidR="00925C28" w:rsidRDefault="00925C28" w:rsidP="00B70B76">
            <w:pPr>
              <w:pStyle w:val="KMC16-Tablecontent"/>
              <w:keepNext/>
              <w:jc w:val="center"/>
            </w:pPr>
            <w:r>
              <w:t>-</w:t>
            </w:r>
          </w:p>
        </w:tc>
      </w:tr>
      <w:tr w:rsidR="00925C28" w14:paraId="4D256619" w14:textId="77777777" w:rsidTr="375F5CCE">
        <w:tc>
          <w:tcPr>
            <w:tcW w:w="1271" w:type="dxa"/>
            <w:tcBorders>
              <w:right w:val="double" w:sz="4" w:space="0" w:color="auto"/>
            </w:tcBorders>
            <w:vAlign w:val="center"/>
          </w:tcPr>
          <w:p w14:paraId="1C8C2744" w14:textId="77777777" w:rsidR="00925C28" w:rsidRDefault="00925C28" w:rsidP="00925C28">
            <w:pPr>
              <w:pStyle w:val="KMC16-Tablecontent"/>
              <w:keepNext/>
            </w:pPr>
            <w:r>
              <w:t>Wieczorek 2023</w:t>
            </w:r>
          </w:p>
        </w:tc>
        <w:tc>
          <w:tcPr>
            <w:tcW w:w="284" w:type="dxa"/>
            <w:tcBorders>
              <w:left w:val="double" w:sz="4" w:space="0" w:color="auto"/>
            </w:tcBorders>
            <w:vAlign w:val="center"/>
          </w:tcPr>
          <w:p w14:paraId="47CB2F19" w14:textId="77777777" w:rsidR="00925C28" w:rsidRDefault="00925C28" w:rsidP="00B70B76">
            <w:pPr>
              <w:pStyle w:val="KMC16-Tablecontent"/>
              <w:keepNext/>
              <w:jc w:val="center"/>
            </w:pPr>
            <w:r>
              <w:t>25</w:t>
            </w:r>
          </w:p>
        </w:tc>
        <w:tc>
          <w:tcPr>
            <w:tcW w:w="1559" w:type="dxa"/>
            <w:vAlign w:val="center"/>
          </w:tcPr>
          <w:p w14:paraId="58DAB24A" w14:textId="18E13797" w:rsidR="00925C28" w:rsidRDefault="00925C28" w:rsidP="00B70B76">
            <w:pPr>
              <w:pStyle w:val="KMC16-Tablecontent"/>
              <w:keepNext/>
              <w:jc w:val="center"/>
            </w:pPr>
            <w:r>
              <w:t xml:space="preserve">10.3 </w:t>
            </w:r>
            <w:r>
              <w:br/>
              <w:t>(range 0.7, 43.0)</w:t>
            </w:r>
          </w:p>
        </w:tc>
        <w:tc>
          <w:tcPr>
            <w:tcW w:w="283" w:type="dxa"/>
            <w:vAlign w:val="center"/>
          </w:tcPr>
          <w:p w14:paraId="58F6A36A" w14:textId="77777777" w:rsidR="00925C28" w:rsidRDefault="00925C28" w:rsidP="00B70B76">
            <w:pPr>
              <w:pStyle w:val="KMC16-Tablecontent"/>
              <w:keepNext/>
              <w:jc w:val="center"/>
            </w:pPr>
            <w:r>
              <w:t>-</w:t>
            </w:r>
          </w:p>
        </w:tc>
        <w:tc>
          <w:tcPr>
            <w:tcW w:w="1843" w:type="dxa"/>
            <w:tcBorders>
              <w:right w:val="double" w:sz="4" w:space="0" w:color="auto"/>
            </w:tcBorders>
            <w:vAlign w:val="center"/>
          </w:tcPr>
          <w:p w14:paraId="08E7EDE1" w14:textId="77777777" w:rsidR="00925C28" w:rsidRDefault="00925C28" w:rsidP="00B70B76">
            <w:pPr>
              <w:pStyle w:val="KMC16-Tablecontent"/>
              <w:keepNext/>
              <w:jc w:val="center"/>
            </w:pPr>
            <w:r>
              <w:t>-</w:t>
            </w:r>
          </w:p>
        </w:tc>
        <w:tc>
          <w:tcPr>
            <w:tcW w:w="284" w:type="dxa"/>
            <w:tcBorders>
              <w:left w:val="double" w:sz="4" w:space="0" w:color="auto"/>
            </w:tcBorders>
            <w:vAlign w:val="center"/>
          </w:tcPr>
          <w:p w14:paraId="449D9872" w14:textId="77777777" w:rsidR="00925C28" w:rsidRDefault="00925C28" w:rsidP="00B70B76">
            <w:pPr>
              <w:pStyle w:val="KMC16-Tablecontent"/>
              <w:keepNext/>
              <w:jc w:val="center"/>
            </w:pPr>
            <w:r>
              <w:t>25</w:t>
            </w:r>
          </w:p>
        </w:tc>
        <w:tc>
          <w:tcPr>
            <w:tcW w:w="1701" w:type="dxa"/>
            <w:vAlign w:val="center"/>
          </w:tcPr>
          <w:p w14:paraId="6CEE20BB" w14:textId="4DFB189C" w:rsidR="00925C28" w:rsidRDefault="00925C28" w:rsidP="00B70B76">
            <w:pPr>
              <w:pStyle w:val="KMC16-Tablecontent"/>
              <w:keepNext/>
              <w:jc w:val="center"/>
            </w:pPr>
            <w:r>
              <w:t>47</w:t>
            </w:r>
          </w:p>
        </w:tc>
        <w:tc>
          <w:tcPr>
            <w:tcW w:w="283" w:type="dxa"/>
            <w:vAlign w:val="center"/>
          </w:tcPr>
          <w:p w14:paraId="066AA58A" w14:textId="77777777" w:rsidR="00925C28" w:rsidRDefault="00925C28" w:rsidP="00B70B76">
            <w:pPr>
              <w:pStyle w:val="KMC16-Tablecontent"/>
              <w:keepNext/>
              <w:jc w:val="center"/>
            </w:pPr>
            <w:r>
              <w:t>-</w:t>
            </w:r>
          </w:p>
        </w:tc>
        <w:tc>
          <w:tcPr>
            <w:tcW w:w="1701" w:type="dxa"/>
            <w:tcBorders>
              <w:right w:val="single" w:sz="4" w:space="0" w:color="auto"/>
            </w:tcBorders>
            <w:vAlign w:val="center"/>
          </w:tcPr>
          <w:p w14:paraId="445D5F7F" w14:textId="77777777" w:rsidR="00925C28" w:rsidRDefault="00925C28" w:rsidP="00B70B76">
            <w:pPr>
              <w:pStyle w:val="KMC16-Tablecontent"/>
              <w:keepNext/>
              <w:jc w:val="center"/>
            </w:pPr>
          </w:p>
        </w:tc>
      </w:tr>
      <w:tr w:rsidR="00925C28" w14:paraId="648BA45B" w14:textId="77777777" w:rsidTr="375F5CCE">
        <w:tc>
          <w:tcPr>
            <w:tcW w:w="1271" w:type="dxa"/>
            <w:tcBorders>
              <w:right w:val="double" w:sz="4" w:space="0" w:color="auto"/>
            </w:tcBorders>
          </w:tcPr>
          <w:p w14:paraId="2ECABA8E" w14:textId="77777777" w:rsidR="00925C28" w:rsidRDefault="00925C28" w:rsidP="00B70B76">
            <w:pPr>
              <w:pStyle w:val="KMC16-Tablecontent"/>
              <w:keepNext/>
            </w:pPr>
            <w:r>
              <w:t>BEACON 1</w:t>
            </w:r>
          </w:p>
        </w:tc>
        <w:tc>
          <w:tcPr>
            <w:tcW w:w="284" w:type="dxa"/>
            <w:tcBorders>
              <w:left w:val="double" w:sz="4" w:space="0" w:color="auto"/>
            </w:tcBorders>
            <w:vAlign w:val="center"/>
          </w:tcPr>
          <w:p w14:paraId="32639B86" w14:textId="77777777" w:rsidR="00925C28" w:rsidRDefault="00925C28" w:rsidP="00B70B76">
            <w:pPr>
              <w:pStyle w:val="KMC16-Tablecontent"/>
              <w:keepNext/>
              <w:jc w:val="center"/>
            </w:pPr>
            <w:r>
              <w:t>-</w:t>
            </w:r>
          </w:p>
        </w:tc>
        <w:tc>
          <w:tcPr>
            <w:tcW w:w="1559" w:type="dxa"/>
            <w:vAlign w:val="center"/>
          </w:tcPr>
          <w:p w14:paraId="32523787" w14:textId="77777777" w:rsidR="00925C28" w:rsidRDefault="00925C28" w:rsidP="00B70B76">
            <w:pPr>
              <w:pStyle w:val="KMC16-Tablecontent"/>
              <w:keepNext/>
              <w:jc w:val="center"/>
            </w:pPr>
            <w:r>
              <w:t>-</w:t>
            </w:r>
          </w:p>
        </w:tc>
        <w:tc>
          <w:tcPr>
            <w:tcW w:w="283" w:type="dxa"/>
            <w:vAlign w:val="center"/>
          </w:tcPr>
          <w:p w14:paraId="1728F356" w14:textId="77777777" w:rsidR="00925C28" w:rsidRDefault="00925C28" w:rsidP="00B70B76">
            <w:pPr>
              <w:pStyle w:val="KMC16-Tablecontent"/>
              <w:keepNext/>
              <w:jc w:val="center"/>
            </w:pPr>
            <w:r>
              <w:t>80</w:t>
            </w:r>
          </w:p>
        </w:tc>
        <w:tc>
          <w:tcPr>
            <w:tcW w:w="1843" w:type="dxa"/>
            <w:tcBorders>
              <w:right w:val="double" w:sz="4" w:space="0" w:color="auto"/>
            </w:tcBorders>
            <w:vAlign w:val="center"/>
          </w:tcPr>
          <w:p w14:paraId="190BF40D" w14:textId="77777777" w:rsidR="00925C28" w:rsidRDefault="00925C28" w:rsidP="00B70B76">
            <w:pPr>
              <w:pStyle w:val="KMC16-Tablecontent"/>
              <w:keepNext/>
              <w:jc w:val="center"/>
            </w:pPr>
            <w:r>
              <w:t>14.5</w:t>
            </w:r>
          </w:p>
        </w:tc>
        <w:tc>
          <w:tcPr>
            <w:tcW w:w="284" w:type="dxa"/>
            <w:tcBorders>
              <w:left w:val="double" w:sz="4" w:space="0" w:color="auto"/>
            </w:tcBorders>
            <w:vAlign w:val="center"/>
          </w:tcPr>
          <w:p w14:paraId="7A9E46F9" w14:textId="77777777" w:rsidR="00925C28" w:rsidRDefault="00925C28" w:rsidP="00B70B76">
            <w:pPr>
              <w:pStyle w:val="KMC16-Tablecontent"/>
              <w:keepNext/>
              <w:jc w:val="center"/>
            </w:pPr>
            <w:r>
              <w:t>-</w:t>
            </w:r>
          </w:p>
        </w:tc>
        <w:tc>
          <w:tcPr>
            <w:tcW w:w="1701" w:type="dxa"/>
            <w:vAlign w:val="center"/>
          </w:tcPr>
          <w:p w14:paraId="2515BDC3" w14:textId="77777777" w:rsidR="00925C28" w:rsidRDefault="00925C28" w:rsidP="00B70B76">
            <w:pPr>
              <w:pStyle w:val="KMC16-Tablecontent"/>
              <w:keepNext/>
              <w:jc w:val="center"/>
            </w:pPr>
            <w:r>
              <w:t>-</w:t>
            </w:r>
          </w:p>
        </w:tc>
        <w:tc>
          <w:tcPr>
            <w:tcW w:w="283" w:type="dxa"/>
            <w:vAlign w:val="center"/>
          </w:tcPr>
          <w:p w14:paraId="4E1DACB1" w14:textId="77777777" w:rsidR="00925C28" w:rsidRDefault="00925C28" w:rsidP="00B70B76">
            <w:pPr>
              <w:pStyle w:val="KMC16-Tablecontent"/>
              <w:keepNext/>
              <w:jc w:val="center"/>
            </w:pPr>
            <w:r>
              <w:t>80</w:t>
            </w:r>
          </w:p>
        </w:tc>
        <w:tc>
          <w:tcPr>
            <w:tcW w:w="1701" w:type="dxa"/>
            <w:tcBorders>
              <w:right w:val="single" w:sz="4" w:space="0" w:color="auto"/>
            </w:tcBorders>
            <w:vAlign w:val="center"/>
          </w:tcPr>
          <w:p w14:paraId="6376EDBF" w14:textId="77777777" w:rsidR="00925C28" w:rsidRDefault="00925C28" w:rsidP="00B70B76">
            <w:pPr>
              <w:pStyle w:val="KMC16-Tablecontent"/>
              <w:keepNext/>
              <w:jc w:val="center"/>
            </w:pPr>
            <w:r>
              <w:t>NR</w:t>
            </w:r>
          </w:p>
        </w:tc>
      </w:tr>
      <w:tr w:rsidR="00925C28" w14:paraId="2F4591FF" w14:textId="77777777" w:rsidTr="375F5CCE">
        <w:tc>
          <w:tcPr>
            <w:tcW w:w="1271" w:type="dxa"/>
            <w:tcBorders>
              <w:right w:val="double" w:sz="4" w:space="0" w:color="auto"/>
            </w:tcBorders>
          </w:tcPr>
          <w:p w14:paraId="5C2D2D72" w14:textId="77777777" w:rsidR="00925C28" w:rsidRDefault="00925C28" w:rsidP="00B70B76">
            <w:pPr>
              <w:pStyle w:val="KMC16-Tablecontent"/>
              <w:keepNext/>
            </w:pPr>
            <w:proofErr w:type="spellStart"/>
            <w:r>
              <w:rPr>
                <w:lang w:val="en-AU"/>
              </w:rPr>
              <w:t>Bagatell</w:t>
            </w:r>
            <w:proofErr w:type="spellEnd"/>
            <w:r>
              <w:rPr>
                <w:lang w:val="en-AU"/>
              </w:rPr>
              <w:t xml:space="preserve"> 2011</w:t>
            </w:r>
          </w:p>
        </w:tc>
        <w:tc>
          <w:tcPr>
            <w:tcW w:w="284" w:type="dxa"/>
            <w:tcBorders>
              <w:left w:val="double" w:sz="4" w:space="0" w:color="auto"/>
            </w:tcBorders>
            <w:vAlign w:val="center"/>
          </w:tcPr>
          <w:p w14:paraId="4C3547F4" w14:textId="77777777" w:rsidR="00925C28" w:rsidRDefault="00925C28" w:rsidP="00B70B76">
            <w:pPr>
              <w:pStyle w:val="KMC16-Tablecontent"/>
              <w:keepNext/>
              <w:jc w:val="center"/>
            </w:pPr>
            <w:r>
              <w:t>-</w:t>
            </w:r>
          </w:p>
        </w:tc>
        <w:tc>
          <w:tcPr>
            <w:tcW w:w="1559" w:type="dxa"/>
            <w:vAlign w:val="center"/>
          </w:tcPr>
          <w:p w14:paraId="331637CE" w14:textId="77777777" w:rsidR="00925C28" w:rsidRDefault="00925C28" w:rsidP="00B70B76">
            <w:pPr>
              <w:pStyle w:val="KMC16-Tablecontent"/>
              <w:keepNext/>
              <w:jc w:val="center"/>
            </w:pPr>
            <w:r>
              <w:t>-</w:t>
            </w:r>
          </w:p>
        </w:tc>
        <w:tc>
          <w:tcPr>
            <w:tcW w:w="283" w:type="dxa"/>
            <w:vAlign w:val="center"/>
          </w:tcPr>
          <w:p w14:paraId="76679D58" w14:textId="77777777" w:rsidR="00925C28" w:rsidRDefault="00925C28" w:rsidP="00B70B76">
            <w:pPr>
              <w:pStyle w:val="KMC16-Tablecontent"/>
              <w:keepNext/>
              <w:jc w:val="center"/>
            </w:pPr>
            <w:r>
              <w:t>55</w:t>
            </w:r>
          </w:p>
        </w:tc>
        <w:tc>
          <w:tcPr>
            <w:tcW w:w="1843" w:type="dxa"/>
            <w:tcBorders>
              <w:right w:val="double" w:sz="4" w:space="0" w:color="auto"/>
            </w:tcBorders>
            <w:vAlign w:val="center"/>
          </w:tcPr>
          <w:p w14:paraId="000C2C10" w14:textId="77777777" w:rsidR="00925C28" w:rsidRDefault="00925C28" w:rsidP="00B70B76">
            <w:pPr>
              <w:pStyle w:val="KMC16-Tablecontent"/>
              <w:keepNext/>
              <w:jc w:val="center"/>
            </w:pPr>
            <w:r>
              <w:t>13.2</w:t>
            </w:r>
          </w:p>
        </w:tc>
        <w:tc>
          <w:tcPr>
            <w:tcW w:w="284" w:type="dxa"/>
            <w:tcBorders>
              <w:left w:val="double" w:sz="4" w:space="0" w:color="auto"/>
            </w:tcBorders>
            <w:vAlign w:val="center"/>
          </w:tcPr>
          <w:p w14:paraId="6E031549" w14:textId="77777777" w:rsidR="00925C28" w:rsidRDefault="00925C28" w:rsidP="00B70B76">
            <w:pPr>
              <w:pStyle w:val="KMC16-Tablecontent"/>
              <w:keepNext/>
              <w:jc w:val="center"/>
            </w:pPr>
            <w:r>
              <w:t>-</w:t>
            </w:r>
          </w:p>
        </w:tc>
        <w:tc>
          <w:tcPr>
            <w:tcW w:w="1701" w:type="dxa"/>
            <w:vAlign w:val="center"/>
          </w:tcPr>
          <w:p w14:paraId="0754898F" w14:textId="77777777" w:rsidR="00925C28" w:rsidRDefault="00925C28" w:rsidP="00B70B76">
            <w:pPr>
              <w:pStyle w:val="KMC16-Tablecontent"/>
              <w:keepNext/>
              <w:jc w:val="center"/>
            </w:pPr>
            <w:r>
              <w:t>-</w:t>
            </w:r>
          </w:p>
        </w:tc>
        <w:tc>
          <w:tcPr>
            <w:tcW w:w="283" w:type="dxa"/>
            <w:vAlign w:val="center"/>
          </w:tcPr>
          <w:p w14:paraId="512DF3C3" w14:textId="77777777" w:rsidR="00925C28" w:rsidRDefault="00925C28" w:rsidP="00B70B76">
            <w:pPr>
              <w:pStyle w:val="KMC16-Tablecontent"/>
              <w:keepNext/>
              <w:jc w:val="center"/>
            </w:pPr>
            <w:r>
              <w:t>55</w:t>
            </w:r>
          </w:p>
        </w:tc>
        <w:tc>
          <w:tcPr>
            <w:tcW w:w="1701" w:type="dxa"/>
            <w:tcBorders>
              <w:right w:val="single" w:sz="4" w:space="0" w:color="auto"/>
            </w:tcBorders>
            <w:vAlign w:val="center"/>
          </w:tcPr>
          <w:p w14:paraId="6AED5E3F" w14:textId="77777777" w:rsidR="00925C28" w:rsidRDefault="00925C28" w:rsidP="00B70B76">
            <w:pPr>
              <w:pStyle w:val="KMC16-Tablecontent"/>
              <w:keepNext/>
              <w:jc w:val="center"/>
            </w:pPr>
            <w:r>
              <w:t>NR</w:t>
            </w:r>
          </w:p>
        </w:tc>
      </w:tr>
      <w:tr w:rsidR="00925C28" w14:paraId="2F794055" w14:textId="77777777" w:rsidTr="375F5CCE">
        <w:tc>
          <w:tcPr>
            <w:tcW w:w="1271" w:type="dxa"/>
            <w:tcBorders>
              <w:right w:val="double" w:sz="4" w:space="0" w:color="auto"/>
            </w:tcBorders>
          </w:tcPr>
          <w:p w14:paraId="1AFEA7E6" w14:textId="77777777" w:rsidR="00925C28" w:rsidRDefault="00925C28" w:rsidP="00B70B76">
            <w:pPr>
              <w:pStyle w:val="KMC16-Tablecontent"/>
              <w:keepNext/>
            </w:pPr>
            <w:r>
              <w:rPr>
                <w:lang w:val="en-AU"/>
              </w:rPr>
              <w:t xml:space="preserve">Di </w:t>
            </w:r>
            <w:proofErr w:type="spellStart"/>
            <w:r>
              <w:rPr>
                <w:lang w:val="en-AU"/>
              </w:rPr>
              <w:t>Giannatale</w:t>
            </w:r>
            <w:proofErr w:type="spellEnd"/>
            <w:r>
              <w:rPr>
                <w:lang w:val="en-AU"/>
              </w:rPr>
              <w:t xml:space="preserve"> 2014</w:t>
            </w:r>
          </w:p>
        </w:tc>
        <w:tc>
          <w:tcPr>
            <w:tcW w:w="284" w:type="dxa"/>
            <w:tcBorders>
              <w:left w:val="double" w:sz="4" w:space="0" w:color="auto"/>
            </w:tcBorders>
            <w:vAlign w:val="center"/>
          </w:tcPr>
          <w:p w14:paraId="367BE83D" w14:textId="77777777" w:rsidR="00925C28" w:rsidRDefault="00925C28" w:rsidP="00B70B76">
            <w:pPr>
              <w:pStyle w:val="KMC16-Tablecontent"/>
              <w:keepNext/>
              <w:jc w:val="center"/>
            </w:pPr>
            <w:r>
              <w:t>-</w:t>
            </w:r>
          </w:p>
        </w:tc>
        <w:tc>
          <w:tcPr>
            <w:tcW w:w="1559" w:type="dxa"/>
            <w:vAlign w:val="center"/>
          </w:tcPr>
          <w:p w14:paraId="4A894327" w14:textId="77777777" w:rsidR="00925C28" w:rsidRDefault="00925C28" w:rsidP="00B70B76">
            <w:pPr>
              <w:pStyle w:val="KMC16-Tablecontent"/>
              <w:keepNext/>
              <w:jc w:val="center"/>
            </w:pPr>
            <w:r>
              <w:t>-</w:t>
            </w:r>
          </w:p>
        </w:tc>
        <w:tc>
          <w:tcPr>
            <w:tcW w:w="283" w:type="dxa"/>
            <w:vAlign w:val="center"/>
          </w:tcPr>
          <w:p w14:paraId="0EE20497" w14:textId="77777777" w:rsidR="00925C28" w:rsidRDefault="00925C28" w:rsidP="00B70B76">
            <w:pPr>
              <w:pStyle w:val="KMC16-Tablecontent"/>
              <w:keepNext/>
              <w:jc w:val="center"/>
            </w:pPr>
            <w:r>
              <w:t>38</w:t>
            </w:r>
          </w:p>
        </w:tc>
        <w:tc>
          <w:tcPr>
            <w:tcW w:w="1843" w:type="dxa"/>
            <w:tcBorders>
              <w:right w:val="double" w:sz="4" w:space="0" w:color="auto"/>
            </w:tcBorders>
            <w:vAlign w:val="center"/>
          </w:tcPr>
          <w:p w14:paraId="0FD6CB08" w14:textId="77777777" w:rsidR="00925C28" w:rsidRDefault="00925C28" w:rsidP="00B70B76">
            <w:pPr>
              <w:pStyle w:val="KMC16-Tablecontent"/>
              <w:keepNext/>
              <w:jc w:val="center"/>
            </w:pPr>
            <w:r>
              <w:t>19.0</w:t>
            </w:r>
          </w:p>
        </w:tc>
        <w:tc>
          <w:tcPr>
            <w:tcW w:w="284" w:type="dxa"/>
            <w:tcBorders>
              <w:left w:val="double" w:sz="4" w:space="0" w:color="auto"/>
            </w:tcBorders>
            <w:vAlign w:val="center"/>
          </w:tcPr>
          <w:p w14:paraId="3E37B1E5" w14:textId="77777777" w:rsidR="00925C28" w:rsidRDefault="00925C28" w:rsidP="00B70B76">
            <w:pPr>
              <w:pStyle w:val="KMC16-Tablecontent"/>
              <w:keepNext/>
              <w:jc w:val="center"/>
            </w:pPr>
            <w:r>
              <w:t>-</w:t>
            </w:r>
          </w:p>
        </w:tc>
        <w:tc>
          <w:tcPr>
            <w:tcW w:w="1701" w:type="dxa"/>
            <w:vAlign w:val="center"/>
          </w:tcPr>
          <w:p w14:paraId="79B07CAC" w14:textId="77777777" w:rsidR="00925C28" w:rsidRDefault="00925C28" w:rsidP="00B70B76">
            <w:pPr>
              <w:pStyle w:val="KMC16-Tablecontent"/>
              <w:keepNext/>
              <w:jc w:val="center"/>
            </w:pPr>
            <w:r>
              <w:t>-</w:t>
            </w:r>
          </w:p>
        </w:tc>
        <w:tc>
          <w:tcPr>
            <w:tcW w:w="283" w:type="dxa"/>
            <w:vAlign w:val="center"/>
          </w:tcPr>
          <w:p w14:paraId="02ABD490" w14:textId="77777777" w:rsidR="00925C28" w:rsidRDefault="00925C28" w:rsidP="00B70B76">
            <w:pPr>
              <w:pStyle w:val="KMC16-Tablecontent"/>
              <w:keepNext/>
              <w:jc w:val="center"/>
            </w:pPr>
            <w:r>
              <w:t>38</w:t>
            </w:r>
          </w:p>
        </w:tc>
        <w:tc>
          <w:tcPr>
            <w:tcW w:w="1701" w:type="dxa"/>
            <w:tcBorders>
              <w:right w:val="single" w:sz="4" w:space="0" w:color="auto"/>
            </w:tcBorders>
            <w:vAlign w:val="center"/>
          </w:tcPr>
          <w:p w14:paraId="15065861" w14:textId="6A83A76C" w:rsidR="00925C28" w:rsidRDefault="00925C28" w:rsidP="00B70B76">
            <w:pPr>
              <w:pStyle w:val="KMC16-Tablecontent"/>
              <w:keepNext/>
              <w:jc w:val="center"/>
            </w:pPr>
            <w:r>
              <w:t>58 (42, 72)</w:t>
            </w:r>
          </w:p>
        </w:tc>
      </w:tr>
    </w:tbl>
    <w:p w14:paraId="535E7F94" w14:textId="30DFA21C" w:rsidR="00573A17" w:rsidRDefault="00573A17" w:rsidP="007B76AE">
      <w:pPr>
        <w:spacing w:after="0"/>
        <w:rPr>
          <w:rFonts w:ascii="Arial Narrow" w:hAnsi="Arial Narrow"/>
          <w:sz w:val="18"/>
          <w:szCs w:val="18"/>
        </w:rPr>
      </w:pPr>
      <w:r>
        <w:rPr>
          <w:rFonts w:ascii="Arial Narrow" w:hAnsi="Arial Narrow"/>
          <w:sz w:val="18"/>
          <w:szCs w:val="18"/>
        </w:rPr>
        <w:t>Source: Table 2-13, p52 of the ADAR</w:t>
      </w:r>
    </w:p>
    <w:p w14:paraId="1B969D0D" w14:textId="4C175A7D" w:rsidR="00F02ABB" w:rsidRPr="00573A17" w:rsidRDefault="00F51C0F" w:rsidP="007B76AE">
      <w:pPr>
        <w:spacing w:before="0"/>
        <w:rPr>
          <w:rFonts w:ascii="Arial Narrow" w:hAnsi="Arial Narrow"/>
          <w:sz w:val="18"/>
          <w:szCs w:val="18"/>
        </w:rPr>
      </w:pPr>
      <w:r>
        <w:rPr>
          <w:rFonts w:ascii="Arial Narrow" w:hAnsi="Arial Narrow"/>
          <w:sz w:val="18"/>
          <w:szCs w:val="18"/>
        </w:rPr>
        <w:t xml:space="preserve">chemo = chemotherapy; CI = confidence interval; N = number of total patients; </w:t>
      </w:r>
      <w:r w:rsidR="00F02ABB">
        <w:rPr>
          <w:rFonts w:ascii="Arial Narrow" w:hAnsi="Arial Narrow"/>
          <w:sz w:val="18"/>
          <w:szCs w:val="18"/>
        </w:rPr>
        <w:t>NC = not calculable; NR = not reported</w:t>
      </w:r>
      <w:r>
        <w:rPr>
          <w:rFonts w:ascii="Arial Narrow" w:hAnsi="Arial Narrow"/>
          <w:sz w:val="18"/>
          <w:szCs w:val="18"/>
        </w:rPr>
        <w:t>; OS = overall survival</w:t>
      </w:r>
    </w:p>
    <w:p w14:paraId="4049C906" w14:textId="4C312A83" w:rsidR="0020240C" w:rsidRDefault="0020240C" w:rsidP="375F5CCE">
      <w:bookmarkStart w:id="23" w:name="_Hlk198907430"/>
      <w:r>
        <w:t>The ADAR also presented OS results from the SCH Cohort (2024), providing a comparison of 12 patients treated with DA + chemotherapy versus eight patients in the control arm (five treated with chemotherapy and three palliatively), reporting 30% and 0%, respectively remaining alive at four years. Median OS was 30.0 months in the DA group versus 9.5 months in the control group. The ADAR stated that the calculated HR of 0.30 (95% CI 0.11, 0.81) p=0.017 support</w:t>
      </w:r>
      <w:r w:rsidR="0056223E">
        <w:t>s</w:t>
      </w:r>
      <w:r>
        <w:t xml:space="preserve"> a statistically significant 70% reduction in the risk of death in the DA + chemotherapy versus control arm. The commentary note</w:t>
      </w:r>
      <w:r w:rsidR="0063480B">
        <w:t>d</w:t>
      </w:r>
      <w:r>
        <w:t xml:space="preserve"> that the SCH 2024 cohort data w</w:t>
      </w:r>
      <w:r w:rsidR="00FA4311">
        <w:t>ere</w:t>
      </w:r>
      <w:r>
        <w:t xml:space="preserve"> not designed for measuring comparative treatment efficacy and</w:t>
      </w:r>
      <w:r w:rsidR="008D72D2">
        <w:t>,</w:t>
      </w:r>
      <w:r>
        <w:t xml:space="preserve"> as such</w:t>
      </w:r>
      <w:r w:rsidR="0063480B">
        <w:t>,</w:t>
      </w:r>
      <w:r>
        <w:t xml:space="preserve"> the estimated </w:t>
      </w:r>
      <w:r w:rsidR="008D72D2">
        <w:t>HR</w:t>
      </w:r>
      <w:r>
        <w:t xml:space="preserve"> for death is highly uncertain. The inclusion of palliative therapy in the control arm, which accounted for three of the eight patients</w:t>
      </w:r>
      <w:r w:rsidR="000B06B8">
        <w:t>,</w:t>
      </w:r>
      <w:r>
        <w:t xml:space="preserve"> likely biased survival in favour of the chemoimmunotherapy group and is unlikely to reflect an accurate difference in risk of death.</w:t>
      </w:r>
      <w:bookmarkEnd w:id="23"/>
      <w:r>
        <w:t xml:space="preserve">  </w:t>
      </w:r>
    </w:p>
    <w:p w14:paraId="2FF3EF24" w14:textId="3A3FE53B" w:rsidR="0020240C" w:rsidRDefault="0020240C" w:rsidP="0020240C">
      <w:pPr>
        <w:pStyle w:val="Heading3"/>
      </w:pPr>
      <w:r>
        <w:t>Progression-free survival (PFS)</w:t>
      </w:r>
    </w:p>
    <w:p w14:paraId="7453C140" w14:textId="36381A2F" w:rsidR="00573A17" w:rsidRDefault="00573A17" w:rsidP="00573A17">
      <w:r w:rsidRPr="375F5CCE">
        <w:t xml:space="preserve">The KM curve for </w:t>
      </w:r>
      <w:r w:rsidR="0063480B" w:rsidRPr="375F5CCE">
        <w:t>PFS</w:t>
      </w:r>
      <w:r w:rsidRPr="375F5CCE">
        <w:t xml:space="preserve"> reported in the BEACON-</w:t>
      </w:r>
      <w:proofErr w:type="spellStart"/>
      <w:r w:rsidRPr="375F5CCE">
        <w:t>Immuno</w:t>
      </w:r>
      <w:proofErr w:type="spellEnd"/>
      <w:r w:rsidRPr="375F5CCE">
        <w:t xml:space="preserve"> trial is presented in </w:t>
      </w:r>
      <w:r>
        <w:fldChar w:fldCharType="begin"/>
      </w:r>
      <w:r>
        <w:instrText xml:space="preserve"> REF _Ref184251482 \h </w:instrText>
      </w:r>
      <w:r>
        <w:fldChar w:fldCharType="separate"/>
      </w:r>
      <w:r w:rsidR="00C02A66" w:rsidRPr="375F5CCE">
        <w:t xml:space="preserve">Figure </w:t>
      </w:r>
      <w:r w:rsidR="00C02A66" w:rsidRPr="375F5CCE">
        <w:rPr>
          <w:noProof/>
        </w:rPr>
        <w:t>2</w:t>
      </w:r>
      <w:r>
        <w:fldChar w:fldCharType="end"/>
      </w:r>
      <w:r w:rsidRPr="375F5CCE">
        <w:t>.</w:t>
      </w:r>
    </w:p>
    <w:p w14:paraId="6545B968" w14:textId="2B28B657" w:rsidR="00C43CF2" w:rsidRDefault="00C43CF2" w:rsidP="00573A17">
      <w:r w:rsidRPr="00C43CF2">
        <w:t>The PFS data should be considered in context of the 2:1 randomisation ratio, which can result in the smaller control group being more sensitive to individual variability, and therefore reduced reliability of results. PFS is additionally a composite outcome, which includes progression events which were not blinded</w:t>
      </w:r>
      <w:r w:rsidR="000B06B8">
        <w:t xml:space="preserve"> and</w:t>
      </w:r>
      <w:r w:rsidRPr="00C43CF2">
        <w:t xml:space="preserve"> assessed </w:t>
      </w:r>
      <w:r w:rsidR="00840A23" w:rsidRPr="00C43CF2">
        <w:t>locally and</w:t>
      </w:r>
      <w:r w:rsidRPr="00C43CF2">
        <w:t xml:space="preserve"> </w:t>
      </w:r>
      <w:r w:rsidR="000B06B8">
        <w:t xml:space="preserve">is </w:t>
      </w:r>
      <w:r w:rsidRPr="00C43CF2">
        <w:t>therefore prone to bias.</w:t>
      </w:r>
    </w:p>
    <w:p w14:paraId="1B35AD55" w14:textId="215907DC" w:rsidR="00C43CF2" w:rsidRDefault="00C43CF2" w:rsidP="00C43CF2">
      <w:r w:rsidRPr="007C1D70">
        <w:t xml:space="preserve">An overall </w:t>
      </w:r>
      <w:r w:rsidR="0063480B">
        <w:t>PF</w:t>
      </w:r>
      <w:r w:rsidRPr="007C1D70">
        <w:t xml:space="preserve">S comparison </w:t>
      </w:r>
      <w:r>
        <w:t>wa</w:t>
      </w:r>
      <w:r w:rsidRPr="007C1D70">
        <w:t xml:space="preserve">s provided for all the comparative and single-arm cohort studies reporting this outcome, based on median </w:t>
      </w:r>
      <w:r>
        <w:t>PF</w:t>
      </w:r>
      <w:r w:rsidRPr="007C1D70">
        <w:t xml:space="preserve">S (months) and the percent of patients with </w:t>
      </w:r>
      <w:r>
        <w:t>PF</w:t>
      </w:r>
      <w:r w:rsidRPr="007C1D70">
        <w:t>S at 1 year, as these were outcomes reported across some of the studies</w:t>
      </w:r>
      <w:r>
        <w:t xml:space="preserve"> </w:t>
      </w:r>
      <w:r w:rsidR="009813E9">
        <w:t>(</w:t>
      </w:r>
      <w:r>
        <w:t xml:space="preserve">see </w:t>
      </w:r>
      <w:r>
        <w:fldChar w:fldCharType="begin"/>
      </w:r>
      <w:r>
        <w:instrText xml:space="preserve"> REF _Ref184252594 \h </w:instrText>
      </w:r>
      <w:r>
        <w:fldChar w:fldCharType="separate"/>
      </w:r>
      <w:r w:rsidR="00C02A66">
        <w:t xml:space="preserve">Table </w:t>
      </w:r>
      <w:r w:rsidR="00C02A66">
        <w:rPr>
          <w:noProof/>
        </w:rPr>
        <w:t>5</w:t>
      </w:r>
      <w:r>
        <w:fldChar w:fldCharType="end"/>
      </w:r>
      <w:r w:rsidR="009813E9">
        <w:t>)</w:t>
      </w:r>
      <w:r>
        <w:t>.</w:t>
      </w:r>
    </w:p>
    <w:p w14:paraId="2D6B337A" w14:textId="6051A324" w:rsidR="00573A17" w:rsidRPr="00573A17" w:rsidRDefault="00573A17" w:rsidP="375F5CCE">
      <w:pPr>
        <w:pStyle w:val="Caption"/>
      </w:pPr>
      <w:bookmarkStart w:id="24" w:name="_Ref184251482"/>
      <w:r w:rsidRPr="375F5CCE">
        <w:lastRenderedPageBreak/>
        <w:t xml:space="preserve">Figure </w:t>
      </w:r>
      <w:r>
        <w:fldChar w:fldCharType="begin"/>
      </w:r>
      <w:r>
        <w:instrText>SEQ Figure \* ARABIC</w:instrText>
      </w:r>
      <w:r>
        <w:fldChar w:fldCharType="separate"/>
      </w:r>
      <w:r w:rsidR="00C02A66" w:rsidRPr="375F5CCE">
        <w:rPr>
          <w:noProof/>
        </w:rPr>
        <w:t>2</w:t>
      </w:r>
      <w:r>
        <w:fldChar w:fldCharType="end"/>
      </w:r>
      <w:bookmarkEnd w:id="24"/>
      <w:r>
        <w:tab/>
      </w:r>
      <w:r w:rsidRPr="375F5CCE">
        <w:t>KM curve for PFS in BEACON-</w:t>
      </w:r>
      <w:proofErr w:type="spellStart"/>
      <w:r w:rsidRPr="375F5CCE">
        <w:t>Immuno</w:t>
      </w:r>
      <w:proofErr w:type="spellEnd"/>
    </w:p>
    <w:p w14:paraId="36E0301A" w14:textId="6B1D29EF" w:rsidR="0020240C" w:rsidRDefault="0020240C" w:rsidP="00C43CF2">
      <w:pPr>
        <w:jc w:val="center"/>
      </w:pPr>
      <w:r w:rsidRPr="00804C4E">
        <w:rPr>
          <w:noProof/>
        </w:rPr>
        <w:drawing>
          <wp:inline distT="0" distB="0" distL="0" distR="0" wp14:anchorId="58DE99DA" wp14:editId="6A185D91">
            <wp:extent cx="4350860" cy="3252158"/>
            <wp:effectExtent l="0" t="0" r="0" b="5715"/>
            <wp:docPr id="482054194" name="Picture 1" descr="A graph of a number of patients, Kaplan Meier curve for progression free survival in the BEACON-Immuno tri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54194" name="Picture 1" descr="A graph of a number of patients, Kaplan Meier curve for progression free survival in the BEACON-Immuno trial&#10;&#10;"/>
                    <pic:cNvPicPr/>
                  </pic:nvPicPr>
                  <pic:blipFill>
                    <a:blip r:embed="rId14"/>
                    <a:stretch>
                      <a:fillRect/>
                    </a:stretch>
                  </pic:blipFill>
                  <pic:spPr>
                    <a:xfrm>
                      <a:off x="0" y="0"/>
                      <a:ext cx="4354330" cy="3254752"/>
                    </a:xfrm>
                    <a:prstGeom prst="rect">
                      <a:avLst/>
                    </a:prstGeom>
                  </pic:spPr>
                </pic:pic>
              </a:graphicData>
            </a:graphic>
          </wp:inline>
        </w:drawing>
      </w:r>
    </w:p>
    <w:p w14:paraId="2896B6C9" w14:textId="0FBAA6DB" w:rsidR="00573A17" w:rsidRPr="00573A17" w:rsidRDefault="00573A17" w:rsidP="00573A17">
      <w:pPr>
        <w:rPr>
          <w:rFonts w:ascii="Arial Narrow" w:hAnsi="Arial Narrow"/>
          <w:sz w:val="18"/>
          <w:szCs w:val="18"/>
        </w:rPr>
      </w:pPr>
      <w:r>
        <w:rPr>
          <w:rFonts w:ascii="Arial Narrow" w:hAnsi="Arial Narrow"/>
          <w:sz w:val="18"/>
          <w:szCs w:val="18"/>
        </w:rPr>
        <w:t>Source: Figure 2-6, p53 of the ADAR</w:t>
      </w:r>
    </w:p>
    <w:p w14:paraId="6568A9F9" w14:textId="6F8F4801" w:rsidR="00C43CF2" w:rsidRDefault="00C43CF2" w:rsidP="00C43CF2">
      <w:pPr>
        <w:pStyle w:val="Caption"/>
      </w:pPr>
      <w:bookmarkStart w:id="25" w:name="_Ref184252594"/>
      <w:r>
        <w:t xml:space="preserve">Table </w:t>
      </w:r>
      <w:r>
        <w:fldChar w:fldCharType="begin"/>
      </w:r>
      <w:r>
        <w:instrText>SEQ Table \* ARABIC</w:instrText>
      </w:r>
      <w:r>
        <w:fldChar w:fldCharType="separate"/>
      </w:r>
      <w:r w:rsidR="00C02A66">
        <w:rPr>
          <w:noProof/>
        </w:rPr>
        <w:t>5</w:t>
      </w:r>
      <w:r>
        <w:fldChar w:fldCharType="end"/>
      </w:r>
      <w:bookmarkEnd w:id="25"/>
      <w:r>
        <w:tab/>
        <w:t>Results for PFS reported in the trials and studies</w:t>
      </w:r>
    </w:p>
    <w:tbl>
      <w:tblPr>
        <w:tblStyle w:val="TableGrid"/>
        <w:tblW w:w="9351" w:type="dxa"/>
        <w:tblLayout w:type="fixed"/>
        <w:tblCellMar>
          <w:left w:w="28" w:type="dxa"/>
          <w:right w:w="28" w:type="dxa"/>
        </w:tblCellMar>
        <w:tblLook w:val="04A0" w:firstRow="1" w:lastRow="0" w:firstColumn="1" w:lastColumn="0" w:noHBand="0" w:noVBand="1"/>
      </w:tblPr>
      <w:tblGrid>
        <w:gridCol w:w="1271"/>
        <w:gridCol w:w="425"/>
        <w:gridCol w:w="1418"/>
        <w:gridCol w:w="283"/>
        <w:gridCol w:w="1843"/>
        <w:gridCol w:w="425"/>
        <w:gridCol w:w="1701"/>
        <w:gridCol w:w="284"/>
        <w:gridCol w:w="1701"/>
      </w:tblGrid>
      <w:tr w:rsidR="00C43CF2" w14:paraId="57CDF813" w14:textId="77777777" w:rsidTr="375F5CCE">
        <w:tc>
          <w:tcPr>
            <w:tcW w:w="1271" w:type="dxa"/>
            <w:vMerge w:val="restart"/>
            <w:tcBorders>
              <w:right w:val="double" w:sz="4" w:space="0" w:color="auto"/>
            </w:tcBorders>
            <w:shd w:val="clear" w:color="auto" w:fill="auto"/>
            <w:vAlign w:val="center"/>
          </w:tcPr>
          <w:p w14:paraId="7B4D9FC7" w14:textId="77777777" w:rsidR="00C43CF2" w:rsidRDefault="00C43CF2" w:rsidP="00B70B76">
            <w:pPr>
              <w:pStyle w:val="KMC16-TableHeading"/>
              <w:keepNext/>
              <w:jc w:val="left"/>
            </w:pPr>
            <w:r>
              <w:t>Study ID</w:t>
            </w:r>
          </w:p>
        </w:tc>
        <w:tc>
          <w:tcPr>
            <w:tcW w:w="1843" w:type="dxa"/>
            <w:gridSpan w:val="2"/>
            <w:tcBorders>
              <w:left w:val="double" w:sz="4" w:space="0" w:color="auto"/>
            </w:tcBorders>
            <w:shd w:val="clear" w:color="auto" w:fill="auto"/>
          </w:tcPr>
          <w:p w14:paraId="6BF78BD4" w14:textId="77777777" w:rsidR="00C43CF2" w:rsidRDefault="00C43CF2" w:rsidP="375F5CCE">
            <w:pPr>
              <w:pStyle w:val="KMC16-TableHeading"/>
              <w:keepNext/>
            </w:pPr>
            <w:proofErr w:type="spellStart"/>
            <w:r w:rsidRPr="375F5CCE">
              <w:t>Dinutuximab+chemo</w:t>
            </w:r>
            <w:proofErr w:type="spellEnd"/>
          </w:p>
        </w:tc>
        <w:tc>
          <w:tcPr>
            <w:tcW w:w="2126" w:type="dxa"/>
            <w:gridSpan w:val="2"/>
            <w:tcBorders>
              <w:right w:val="double" w:sz="4" w:space="0" w:color="auto"/>
            </w:tcBorders>
            <w:shd w:val="clear" w:color="auto" w:fill="auto"/>
          </w:tcPr>
          <w:p w14:paraId="12BC2BA5" w14:textId="77777777" w:rsidR="00C43CF2" w:rsidRDefault="00C43CF2" w:rsidP="00B70B76">
            <w:pPr>
              <w:pStyle w:val="KMC16-TableHeading"/>
              <w:keepNext/>
            </w:pPr>
            <w:r>
              <w:t>Control</w:t>
            </w:r>
          </w:p>
        </w:tc>
        <w:tc>
          <w:tcPr>
            <w:tcW w:w="2126" w:type="dxa"/>
            <w:gridSpan w:val="2"/>
            <w:tcBorders>
              <w:left w:val="double" w:sz="4" w:space="0" w:color="auto"/>
            </w:tcBorders>
            <w:shd w:val="clear" w:color="auto" w:fill="auto"/>
          </w:tcPr>
          <w:p w14:paraId="57E31482" w14:textId="77777777" w:rsidR="00C43CF2" w:rsidRDefault="00C43CF2" w:rsidP="375F5CCE">
            <w:pPr>
              <w:pStyle w:val="KMC16-TableHeading"/>
              <w:keepNext/>
            </w:pPr>
            <w:proofErr w:type="spellStart"/>
            <w:r w:rsidRPr="375F5CCE">
              <w:t>Dinutuximab+chemo</w:t>
            </w:r>
            <w:proofErr w:type="spellEnd"/>
          </w:p>
        </w:tc>
        <w:tc>
          <w:tcPr>
            <w:tcW w:w="1985" w:type="dxa"/>
            <w:gridSpan w:val="2"/>
            <w:tcBorders>
              <w:right w:val="single" w:sz="4" w:space="0" w:color="auto"/>
            </w:tcBorders>
            <w:shd w:val="clear" w:color="auto" w:fill="auto"/>
          </w:tcPr>
          <w:p w14:paraId="3D96A894" w14:textId="77777777" w:rsidR="00C43CF2" w:rsidRDefault="00C43CF2" w:rsidP="00B70B76">
            <w:pPr>
              <w:pStyle w:val="KMC16-TableHeading"/>
              <w:keepNext/>
            </w:pPr>
            <w:r>
              <w:t>Control</w:t>
            </w:r>
          </w:p>
        </w:tc>
      </w:tr>
      <w:tr w:rsidR="00C43CF2" w14:paraId="7504A67B" w14:textId="77777777" w:rsidTr="375F5CCE">
        <w:tc>
          <w:tcPr>
            <w:tcW w:w="1271" w:type="dxa"/>
            <w:vMerge/>
          </w:tcPr>
          <w:p w14:paraId="13B2E797" w14:textId="77777777" w:rsidR="00C43CF2" w:rsidRDefault="00C43CF2" w:rsidP="00B70B76">
            <w:pPr>
              <w:pStyle w:val="KMC16-TableHeading"/>
              <w:keepNext/>
            </w:pPr>
          </w:p>
        </w:tc>
        <w:tc>
          <w:tcPr>
            <w:tcW w:w="425" w:type="dxa"/>
            <w:tcBorders>
              <w:left w:val="double" w:sz="4" w:space="0" w:color="auto"/>
            </w:tcBorders>
            <w:shd w:val="clear" w:color="auto" w:fill="auto"/>
            <w:vAlign w:val="center"/>
          </w:tcPr>
          <w:p w14:paraId="516B5AE7" w14:textId="77777777" w:rsidR="00C43CF2" w:rsidRDefault="00C43CF2" w:rsidP="00B70B76">
            <w:pPr>
              <w:pStyle w:val="KMC16-TableHeading"/>
              <w:keepNext/>
            </w:pPr>
            <w:r>
              <w:t>N</w:t>
            </w:r>
          </w:p>
        </w:tc>
        <w:tc>
          <w:tcPr>
            <w:tcW w:w="1418" w:type="dxa"/>
            <w:shd w:val="clear" w:color="auto" w:fill="auto"/>
            <w:vAlign w:val="center"/>
          </w:tcPr>
          <w:p w14:paraId="1E8B41F6" w14:textId="3DE1B7E5" w:rsidR="00C43CF2" w:rsidRDefault="00C43CF2" w:rsidP="00B70B76">
            <w:pPr>
              <w:pStyle w:val="KMC16-TableHeading"/>
              <w:keepNext/>
            </w:pPr>
            <w:r>
              <w:t xml:space="preserve">Median PFS </w:t>
            </w:r>
            <w:r>
              <w:br/>
              <w:t>(95% CI), months</w:t>
            </w:r>
          </w:p>
        </w:tc>
        <w:tc>
          <w:tcPr>
            <w:tcW w:w="283" w:type="dxa"/>
            <w:shd w:val="clear" w:color="auto" w:fill="auto"/>
            <w:vAlign w:val="center"/>
          </w:tcPr>
          <w:p w14:paraId="5F6E3F60" w14:textId="77777777" w:rsidR="00C43CF2" w:rsidRDefault="00C43CF2" w:rsidP="00B70B76">
            <w:pPr>
              <w:pStyle w:val="KMC16-TableHeading"/>
              <w:keepNext/>
            </w:pPr>
            <w:r>
              <w:t>N</w:t>
            </w:r>
          </w:p>
        </w:tc>
        <w:tc>
          <w:tcPr>
            <w:tcW w:w="1843" w:type="dxa"/>
            <w:tcBorders>
              <w:right w:val="double" w:sz="4" w:space="0" w:color="auto"/>
            </w:tcBorders>
            <w:shd w:val="clear" w:color="auto" w:fill="auto"/>
            <w:vAlign w:val="center"/>
          </w:tcPr>
          <w:p w14:paraId="23822AE1" w14:textId="001D354E" w:rsidR="00C43CF2" w:rsidRDefault="00C43CF2" w:rsidP="00B70B76">
            <w:pPr>
              <w:pStyle w:val="KMC16-TableHeading"/>
              <w:keepNext/>
            </w:pPr>
            <w:r>
              <w:t xml:space="preserve">Median PFS </w:t>
            </w:r>
            <w:r>
              <w:br/>
              <w:t>(95% CI), months</w:t>
            </w:r>
          </w:p>
        </w:tc>
        <w:tc>
          <w:tcPr>
            <w:tcW w:w="425" w:type="dxa"/>
            <w:tcBorders>
              <w:left w:val="double" w:sz="4" w:space="0" w:color="auto"/>
            </w:tcBorders>
            <w:shd w:val="clear" w:color="auto" w:fill="auto"/>
            <w:vAlign w:val="center"/>
          </w:tcPr>
          <w:p w14:paraId="53B3CDE2" w14:textId="77777777" w:rsidR="00C43CF2" w:rsidRDefault="00C43CF2" w:rsidP="00B70B76">
            <w:pPr>
              <w:pStyle w:val="KMC16-TableHeading"/>
              <w:keepNext/>
            </w:pPr>
            <w:r>
              <w:t>N</w:t>
            </w:r>
          </w:p>
        </w:tc>
        <w:tc>
          <w:tcPr>
            <w:tcW w:w="1701" w:type="dxa"/>
            <w:shd w:val="clear" w:color="auto" w:fill="auto"/>
            <w:vAlign w:val="center"/>
          </w:tcPr>
          <w:p w14:paraId="33EE3044" w14:textId="5A878191" w:rsidR="00C43CF2" w:rsidRDefault="00C43CF2" w:rsidP="00B70B76">
            <w:pPr>
              <w:pStyle w:val="KMC16-TableHeading"/>
              <w:keepNext/>
            </w:pPr>
            <w:r>
              <w:t>1-Year PFS</w:t>
            </w:r>
            <w:r>
              <w:br/>
              <w:t>(95% CI), % patients</w:t>
            </w:r>
          </w:p>
        </w:tc>
        <w:tc>
          <w:tcPr>
            <w:tcW w:w="284" w:type="dxa"/>
            <w:shd w:val="clear" w:color="auto" w:fill="auto"/>
            <w:vAlign w:val="center"/>
          </w:tcPr>
          <w:p w14:paraId="53BE8063" w14:textId="77777777" w:rsidR="00C43CF2" w:rsidRDefault="00C43CF2" w:rsidP="00B70B76">
            <w:pPr>
              <w:pStyle w:val="KMC16-TableHeading"/>
              <w:keepNext/>
            </w:pPr>
            <w:r>
              <w:t>N</w:t>
            </w:r>
          </w:p>
        </w:tc>
        <w:tc>
          <w:tcPr>
            <w:tcW w:w="1701" w:type="dxa"/>
            <w:tcBorders>
              <w:right w:val="single" w:sz="4" w:space="0" w:color="auto"/>
            </w:tcBorders>
            <w:shd w:val="clear" w:color="auto" w:fill="auto"/>
            <w:vAlign w:val="center"/>
          </w:tcPr>
          <w:p w14:paraId="4E502E14" w14:textId="72793541" w:rsidR="00C43CF2" w:rsidRDefault="00C43CF2" w:rsidP="00B70B76">
            <w:pPr>
              <w:pStyle w:val="KMC16-TableHeading"/>
              <w:keepNext/>
            </w:pPr>
            <w:r>
              <w:t xml:space="preserve">1-Year PFS </w:t>
            </w:r>
            <w:r>
              <w:br/>
              <w:t>(95% CI), % patients</w:t>
            </w:r>
          </w:p>
        </w:tc>
      </w:tr>
      <w:tr w:rsidR="00C43CF2" w14:paraId="34152655" w14:textId="77777777" w:rsidTr="375F5CCE">
        <w:tc>
          <w:tcPr>
            <w:tcW w:w="1271" w:type="dxa"/>
            <w:tcBorders>
              <w:right w:val="double" w:sz="4" w:space="0" w:color="auto"/>
            </w:tcBorders>
          </w:tcPr>
          <w:p w14:paraId="4E73A821" w14:textId="7A6E0C21" w:rsidR="00C43CF2" w:rsidRDefault="00C43CF2" w:rsidP="00C43CF2">
            <w:pPr>
              <w:pStyle w:val="KMC16-Tablecontent"/>
              <w:keepNext/>
            </w:pPr>
            <w:r>
              <w:t>BEACON-</w:t>
            </w:r>
            <w:proofErr w:type="spellStart"/>
            <w:r>
              <w:t>Immuno</w:t>
            </w:r>
            <w:proofErr w:type="spellEnd"/>
          </w:p>
        </w:tc>
        <w:tc>
          <w:tcPr>
            <w:tcW w:w="425" w:type="dxa"/>
            <w:tcBorders>
              <w:left w:val="double" w:sz="4" w:space="0" w:color="auto"/>
            </w:tcBorders>
            <w:vAlign w:val="center"/>
          </w:tcPr>
          <w:p w14:paraId="4605E61C" w14:textId="77777777" w:rsidR="00C43CF2" w:rsidRDefault="00C43CF2" w:rsidP="00C43CF2">
            <w:pPr>
              <w:pStyle w:val="KMC16-Tablecontent"/>
              <w:keepNext/>
              <w:jc w:val="center"/>
            </w:pPr>
            <w:r>
              <w:t>43</w:t>
            </w:r>
          </w:p>
        </w:tc>
        <w:tc>
          <w:tcPr>
            <w:tcW w:w="1418" w:type="dxa"/>
            <w:vAlign w:val="center"/>
          </w:tcPr>
          <w:p w14:paraId="6B599E21" w14:textId="2BEC35F7" w:rsidR="00C43CF2" w:rsidRDefault="00C43CF2" w:rsidP="00C43CF2">
            <w:pPr>
              <w:pStyle w:val="KMC16-Tablecontent"/>
              <w:keepNext/>
              <w:jc w:val="center"/>
            </w:pPr>
            <w:r>
              <w:t>11.1</w:t>
            </w:r>
          </w:p>
        </w:tc>
        <w:tc>
          <w:tcPr>
            <w:tcW w:w="283" w:type="dxa"/>
            <w:vAlign w:val="center"/>
          </w:tcPr>
          <w:p w14:paraId="68144FA6" w14:textId="48CDB073" w:rsidR="00C43CF2" w:rsidRDefault="00C43CF2" w:rsidP="00C43CF2">
            <w:pPr>
              <w:pStyle w:val="KMC16-Tablecontent"/>
              <w:keepNext/>
              <w:jc w:val="center"/>
            </w:pPr>
            <w:r>
              <w:t>22</w:t>
            </w:r>
          </w:p>
        </w:tc>
        <w:tc>
          <w:tcPr>
            <w:tcW w:w="1843" w:type="dxa"/>
            <w:tcBorders>
              <w:right w:val="double" w:sz="4" w:space="0" w:color="auto"/>
            </w:tcBorders>
            <w:vAlign w:val="center"/>
          </w:tcPr>
          <w:p w14:paraId="6E40704A" w14:textId="53014B39" w:rsidR="00C43CF2" w:rsidRDefault="00C43CF2" w:rsidP="00C43CF2">
            <w:pPr>
              <w:pStyle w:val="KMC16-Tablecontent"/>
              <w:keepNext/>
              <w:jc w:val="center"/>
            </w:pPr>
            <w:r>
              <w:t>4.2</w:t>
            </w:r>
          </w:p>
        </w:tc>
        <w:tc>
          <w:tcPr>
            <w:tcW w:w="425" w:type="dxa"/>
            <w:tcBorders>
              <w:left w:val="double" w:sz="4" w:space="0" w:color="auto"/>
            </w:tcBorders>
            <w:vAlign w:val="center"/>
          </w:tcPr>
          <w:p w14:paraId="3920B0AF" w14:textId="2E6FD57E" w:rsidR="00C43CF2" w:rsidRDefault="00C43CF2" w:rsidP="00C43CF2">
            <w:pPr>
              <w:pStyle w:val="KMC16-Tablecontent"/>
              <w:keepNext/>
              <w:jc w:val="center"/>
            </w:pPr>
            <w:r>
              <w:t>43</w:t>
            </w:r>
          </w:p>
        </w:tc>
        <w:tc>
          <w:tcPr>
            <w:tcW w:w="1701" w:type="dxa"/>
            <w:vAlign w:val="center"/>
          </w:tcPr>
          <w:p w14:paraId="3626EF55" w14:textId="34EBF270" w:rsidR="00C43CF2" w:rsidRDefault="00C43CF2" w:rsidP="00C43CF2">
            <w:pPr>
              <w:pStyle w:val="KMC16-Tablecontent"/>
              <w:keepNext/>
              <w:jc w:val="center"/>
            </w:pPr>
            <w:r>
              <w:t>57</w:t>
            </w:r>
          </w:p>
        </w:tc>
        <w:tc>
          <w:tcPr>
            <w:tcW w:w="284" w:type="dxa"/>
            <w:vAlign w:val="center"/>
          </w:tcPr>
          <w:p w14:paraId="0EB86DD8" w14:textId="18EFB111" w:rsidR="00C43CF2" w:rsidRDefault="00C43CF2" w:rsidP="00C43CF2">
            <w:pPr>
              <w:pStyle w:val="KMC16-Tablecontent"/>
              <w:keepNext/>
              <w:jc w:val="center"/>
            </w:pPr>
            <w:r>
              <w:t>22</w:t>
            </w:r>
          </w:p>
        </w:tc>
        <w:tc>
          <w:tcPr>
            <w:tcW w:w="1701" w:type="dxa"/>
            <w:tcBorders>
              <w:right w:val="single" w:sz="4" w:space="0" w:color="auto"/>
            </w:tcBorders>
            <w:vAlign w:val="center"/>
          </w:tcPr>
          <w:p w14:paraId="545AA267" w14:textId="5AC07D64" w:rsidR="00C43CF2" w:rsidRDefault="00C43CF2" w:rsidP="00C43CF2">
            <w:pPr>
              <w:pStyle w:val="KMC16-Tablecontent"/>
              <w:keepNext/>
              <w:jc w:val="center"/>
            </w:pPr>
            <w:r>
              <w:t>27</w:t>
            </w:r>
          </w:p>
        </w:tc>
      </w:tr>
      <w:tr w:rsidR="00C43CF2" w14:paraId="381CCFBB" w14:textId="77777777" w:rsidTr="375F5CCE">
        <w:tc>
          <w:tcPr>
            <w:tcW w:w="1271" w:type="dxa"/>
            <w:tcBorders>
              <w:right w:val="double" w:sz="4" w:space="0" w:color="auto"/>
            </w:tcBorders>
          </w:tcPr>
          <w:p w14:paraId="2A6C4759" w14:textId="0EEF33D8" w:rsidR="00C43CF2" w:rsidRDefault="0063480B" w:rsidP="00C43CF2">
            <w:pPr>
              <w:pStyle w:val="KMC16-Tablecontent"/>
              <w:keepNext/>
            </w:pPr>
            <w:r>
              <w:t>ANBL 1221</w:t>
            </w:r>
            <w:r w:rsidR="00C43CF2">
              <w:t xml:space="preserve"> RCT</w:t>
            </w:r>
          </w:p>
        </w:tc>
        <w:tc>
          <w:tcPr>
            <w:tcW w:w="425" w:type="dxa"/>
            <w:tcBorders>
              <w:left w:val="double" w:sz="4" w:space="0" w:color="auto"/>
            </w:tcBorders>
            <w:vAlign w:val="center"/>
          </w:tcPr>
          <w:p w14:paraId="16F9EB37" w14:textId="77777777" w:rsidR="00C43CF2" w:rsidRDefault="00C43CF2" w:rsidP="00C43CF2">
            <w:pPr>
              <w:pStyle w:val="KMC16-Tablecontent"/>
              <w:keepNext/>
              <w:jc w:val="center"/>
            </w:pPr>
            <w:r>
              <w:t>18</w:t>
            </w:r>
          </w:p>
        </w:tc>
        <w:tc>
          <w:tcPr>
            <w:tcW w:w="1418" w:type="dxa"/>
          </w:tcPr>
          <w:p w14:paraId="0CC15435" w14:textId="4055EED3" w:rsidR="00C43CF2" w:rsidRPr="00CB6AF7" w:rsidRDefault="00C43CF2" w:rsidP="00C43CF2">
            <w:pPr>
              <w:pStyle w:val="KMC16-Tablecontent"/>
              <w:keepNext/>
              <w:jc w:val="center"/>
            </w:pPr>
            <w:r>
              <w:t>23.3 (6.9, NC)</w:t>
            </w:r>
          </w:p>
        </w:tc>
        <w:tc>
          <w:tcPr>
            <w:tcW w:w="283" w:type="dxa"/>
          </w:tcPr>
          <w:p w14:paraId="6FC823B5" w14:textId="1B843B18" w:rsidR="00C43CF2" w:rsidRPr="00CB6AF7" w:rsidRDefault="00C43CF2" w:rsidP="00C43CF2">
            <w:pPr>
              <w:pStyle w:val="KMC16-Tablecontent"/>
              <w:keepNext/>
              <w:jc w:val="center"/>
            </w:pPr>
            <w:r>
              <w:t>17</w:t>
            </w:r>
          </w:p>
        </w:tc>
        <w:tc>
          <w:tcPr>
            <w:tcW w:w="1843" w:type="dxa"/>
            <w:tcBorders>
              <w:right w:val="double" w:sz="4" w:space="0" w:color="auto"/>
            </w:tcBorders>
          </w:tcPr>
          <w:p w14:paraId="6C0EC845" w14:textId="1B081A92" w:rsidR="00C43CF2" w:rsidRPr="00CB6AF7" w:rsidRDefault="00C43CF2" w:rsidP="00C43CF2">
            <w:pPr>
              <w:pStyle w:val="KMC16-Tablecontent"/>
              <w:keepNext/>
              <w:jc w:val="center"/>
            </w:pPr>
            <w:r>
              <w:t xml:space="preserve">3.0 (1.6, 10.9) </w:t>
            </w:r>
          </w:p>
        </w:tc>
        <w:tc>
          <w:tcPr>
            <w:tcW w:w="425" w:type="dxa"/>
            <w:tcBorders>
              <w:left w:val="double" w:sz="4" w:space="0" w:color="auto"/>
            </w:tcBorders>
          </w:tcPr>
          <w:p w14:paraId="0E25E01A" w14:textId="35C34A45" w:rsidR="00C43CF2" w:rsidRDefault="00C43CF2" w:rsidP="00C43CF2">
            <w:pPr>
              <w:pStyle w:val="KMC16-Tablecontent"/>
              <w:keepNext/>
              <w:jc w:val="center"/>
            </w:pPr>
            <w:r>
              <w:t>18</w:t>
            </w:r>
          </w:p>
        </w:tc>
        <w:tc>
          <w:tcPr>
            <w:tcW w:w="1701" w:type="dxa"/>
          </w:tcPr>
          <w:p w14:paraId="5E13019C" w14:textId="16C72948" w:rsidR="00C43CF2" w:rsidRDefault="00C43CF2" w:rsidP="00C43CF2">
            <w:pPr>
              <w:pStyle w:val="KMC16-Tablecontent"/>
              <w:keepNext/>
              <w:jc w:val="center"/>
            </w:pPr>
            <w:r>
              <w:t>77 (56, 97)</w:t>
            </w:r>
          </w:p>
        </w:tc>
        <w:tc>
          <w:tcPr>
            <w:tcW w:w="284" w:type="dxa"/>
          </w:tcPr>
          <w:p w14:paraId="1A31B868" w14:textId="44C0411F" w:rsidR="00C43CF2" w:rsidRDefault="00C43CF2" w:rsidP="00C43CF2">
            <w:pPr>
              <w:pStyle w:val="KMC16-Tablecontent"/>
              <w:keepNext/>
              <w:jc w:val="center"/>
            </w:pPr>
            <w:r>
              <w:t>17</w:t>
            </w:r>
          </w:p>
        </w:tc>
        <w:tc>
          <w:tcPr>
            <w:tcW w:w="1701" w:type="dxa"/>
            <w:tcBorders>
              <w:right w:val="single" w:sz="4" w:space="0" w:color="auto"/>
            </w:tcBorders>
          </w:tcPr>
          <w:p w14:paraId="007C357E" w14:textId="7291D23A" w:rsidR="00C43CF2" w:rsidRDefault="00C43CF2" w:rsidP="00C43CF2">
            <w:pPr>
              <w:pStyle w:val="KMC16-Tablecontent"/>
              <w:keepNext/>
              <w:jc w:val="center"/>
            </w:pPr>
            <w:r>
              <w:t>25 (0.4, 49)</w:t>
            </w:r>
          </w:p>
        </w:tc>
      </w:tr>
      <w:tr w:rsidR="00C43CF2" w14:paraId="3B540545" w14:textId="77777777" w:rsidTr="375F5CCE">
        <w:tc>
          <w:tcPr>
            <w:tcW w:w="1271" w:type="dxa"/>
            <w:tcBorders>
              <w:right w:val="double" w:sz="4" w:space="0" w:color="auto"/>
            </w:tcBorders>
          </w:tcPr>
          <w:p w14:paraId="445A122D" w14:textId="66CEDF93" w:rsidR="00C43CF2" w:rsidRDefault="0063480B" w:rsidP="00C43CF2">
            <w:pPr>
              <w:pStyle w:val="KMC16-Tablecontent"/>
              <w:keepNext/>
            </w:pPr>
            <w:r>
              <w:t>ANBL 1221</w:t>
            </w:r>
            <w:r w:rsidR="00C43CF2">
              <w:t xml:space="preserve"> </w:t>
            </w:r>
            <w:proofErr w:type="spellStart"/>
            <w:r w:rsidR="00C43CF2">
              <w:t>ext</w:t>
            </w:r>
            <w:proofErr w:type="spellEnd"/>
            <w:r w:rsidR="00C43CF2">
              <w:t xml:space="preserve"> </w:t>
            </w:r>
          </w:p>
        </w:tc>
        <w:tc>
          <w:tcPr>
            <w:tcW w:w="425" w:type="dxa"/>
            <w:tcBorders>
              <w:left w:val="double" w:sz="4" w:space="0" w:color="auto"/>
            </w:tcBorders>
            <w:vAlign w:val="center"/>
          </w:tcPr>
          <w:p w14:paraId="4E781419" w14:textId="77777777" w:rsidR="00C43CF2" w:rsidRDefault="00C43CF2" w:rsidP="00C43CF2">
            <w:pPr>
              <w:pStyle w:val="KMC16-Tablecontent"/>
              <w:keepNext/>
              <w:jc w:val="center"/>
            </w:pPr>
            <w:r>
              <w:t>36</w:t>
            </w:r>
          </w:p>
        </w:tc>
        <w:tc>
          <w:tcPr>
            <w:tcW w:w="1418" w:type="dxa"/>
          </w:tcPr>
          <w:p w14:paraId="6FA7F56C" w14:textId="2F03E1C9" w:rsidR="00C43CF2" w:rsidRPr="00CB6AF7" w:rsidRDefault="00C43CF2" w:rsidP="00C43CF2">
            <w:pPr>
              <w:pStyle w:val="KMC16-Tablecontent"/>
              <w:keepNext/>
              <w:jc w:val="center"/>
            </w:pPr>
            <w:r>
              <w:t>18.8</w:t>
            </w:r>
            <w:r w:rsidRPr="00BC5E4F">
              <w:t xml:space="preserve"> (</w:t>
            </w:r>
            <w:r>
              <w:t>9.8,</w:t>
            </w:r>
            <w:r w:rsidRPr="00BC5E4F">
              <w:t xml:space="preserve"> </w:t>
            </w:r>
            <w:r>
              <w:t>25.5</w:t>
            </w:r>
            <w:r w:rsidRPr="00BC5E4F">
              <w:t>)</w:t>
            </w:r>
            <w:r>
              <w:t xml:space="preserve"> </w:t>
            </w:r>
          </w:p>
        </w:tc>
        <w:tc>
          <w:tcPr>
            <w:tcW w:w="283" w:type="dxa"/>
          </w:tcPr>
          <w:p w14:paraId="197F111F" w14:textId="00A8ABC3" w:rsidR="00C43CF2" w:rsidRPr="00CB6AF7" w:rsidRDefault="00C43CF2" w:rsidP="00C43CF2">
            <w:pPr>
              <w:pStyle w:val="KMC16-Tablecontent"/>
              <w:keepNext/>
              <w:jc w:val="center"/>
            </w:pPr>
            <w:r>
              <w:t>-</w:t>
            </w:r>
          </w:p>
        </w:tc>
        <w:tc>
          <w:tcPr>
            <w:tcW w:w="1843" w:type="dxa"/>
            <w:tcBorders>
              <w:right w:val="double" w:sz="4" w:space="0" w:color="auto"/>
            </w:tcBorders>
          </w:tcPr>
          <w:p w14:paraId="3AC0807E" w14:textId="51C6D713" w:rsidR="00C43CF2" w:rsidRPr="00CB6AF7" w:rsidRDefault="00C43CF2" w:rsidP="00C43CF2">
            <w:pPr>
              <w:pStyle w:val="KMC16-Tablecontent"/>
              <w:keepNext/>
              <w:jc w:val="center"/>
            </w:pPr>
            <w:r>
              <w:t>-</w:t>
            </w:r>
          </w:p>
        </w:tc>
        <w:tc>
          <w:tcPr>
            <w:tcW w:w="425" w:type="dxa"/>
            <w:tcBorders>
              <w:left w:val="double" w:sz="4" w:space="0" w:color="auto"/>
            </w:tcBorders>
          </w:tcPr>
          <w:p w14:paraId="060E3E63" w14:textId="2DBE53BC" w:rsidR="00C43CF2" w:rsidRDefault="00C43CF2" w:rsidP="00C43CF2">
            <w:pPr>
              <w:pStyle w:val="KMC16-Tablecontent"/>
              <w:keepNext/>
              <w:jc w:val="center"/>
            </w:pPr>
            <w:r>
              <w:t>36</w:t>
            </w:r>
          </w:p>
        </w:tc>
        <w:tc>
          <w:tcPr>
            <w:tcW w:w="1701" w:type="dxa"/>
          </w:tcPr>
          <w:p w14:paraId="6B7C22EB" w14:textId="6699D72A" w:rsidR="00C43CF2" w:rsidRDefault="00C43CF2" w:rsidP="00C43CF2">
            <w:pPr>
              <w:pStyle w:val="KMC16-Tablecontent"/>
              <w:keepNext/>
              <w:jc w:val="center"/>
            </w:pPr>
            <w:r>
              <w:t>NR</w:t>
            </w:r>
          </w:p>
        </w:tc>
        <w:tc>
          <w:tcPr>
            <w:tcW w:w="284" w:type="dxa"/>
          </w:tcPr>
          <w:p w14:paraId="1454921A" w14:textId="59DE8D81" w:rsidR="00C43CF2" w:rsidRDefault="00C43CF2" w:rsidP="00C43CF2">
            <w:pPr>
              <w:pStyle w:val="KMC16-Tablecontent"/>
              <w:keepNext/>
              <w:jc w:val="center"/>
            </w:pPr>
            <w:r>
              <w:t>-</w:t>
            </w:r>
          </w:p>
        </w:tc>
        <w:tc>
          <w:tcPr>
            <w:tcW w:w="1701" w:type="dxa"/>
            <w:tcBorders>
              <w:right w:val="single" w:sz="4" w:space="0" w:color="auto"/>
            </w:tcBorders>
          </w:tcPr>
          <w:p w14:paraId="0B75A553" w14:textId="4E3FED87" w:rsidR="00C43CF2" w:rsidRDefault="00C43CF2" w:rsidP="00C43CF2">
            <w:pPr>
              <w:pStyle w:val="KMC16-Tablecontent"/>
              <w:keepNext/>
              <w:jc w:val="center"/>
            </w:pPr>
            <w:r>
              <w:t>-</w:t>
            </w:r>
          </w:p>
        </w:tc>
      </w:tr>
      <w:tr w:rsidR="00C43CF2" w14:paraId="159DE5A7" w14:textId="77777777" w:rsidTr="375F5CCE">
        <w:tc>
          <w:tcPr>
            <w:tcW w:w="1271" w:type="dxa"/>
            <w:tcBorders>
              <w:right w:val="double" w:sz="4" w:space="0" w:color="auto"/>
            </w:tcBorders>
            <w:vAlign w:val="center"/>
          </w:tcPr>
          <w:p w14:paraId="7CA125FE" w14:textId="44B43613" w:rsidR="00C43CF2" w:rsidRDefault="00C43CF2" w:rsidP="00C43CF2">
            <w:pPr>
              <w:pStyle w:val="KMC16-Tablecontent"/>
              <w:keepNext/>
            </w:pPr>
            <w:r>
              <w:t>Lerman 2023</w:t>
            </w:r>
          </w:p>
        </w:tc>
        <w:tc>
          <w:tcPr>
            <w:tcW w:w="425" w:type="dxa"/>
            <w:tcBorders>
              <w:left w:val="double" w:sz="4" w:space="0" w:color="auto"/>
            </w:tcBorders>
            <w:vAlign w:val="center"/>
          </w:tcPr>
          <w:p w14:paraId="4D3B69DF" w14:textId="07335DB1" w:rsidR="00C43CF2" w:rsidRDefault="00C43CF2" w:rsidP="00C43CF2">
            <w:pPr>
              <w:pStyle w:val="KMC16-Tablecontent"/>
              <w:keepNext/>
              <w:jc w:val="center"/>
            </w:pPr>
            <w:r>
              <w:t>146</w:t>
            </w:r>
          </w:p>
        </w:tc>
        <w:tc>
          <w:tcPr>
            <w:tcW w:w="1418" w:type="dxa"/>
            <w:vAlign w:val="center"/>
          </w:tcPr>
          <w:p w14:paraId="7B597FBA" w14:textId="73CC4C2A" w:rsidR="00C43CF2" w:rsidRDefault="00C43CF2" w:rsidP="00C43CF2">
            <w:pPr>
              <w:pStyle w:val="KMC16-Tablecontent"/>
              <w:keepNext/>
              <w:jc w:val="center"/>
            </w:pPr>
            <w:r>
              <w:t>13.1 (9.8, 16.5)</w:t>
            </w:r>
          </w:p>
        </w:tc>
        <w:tc>
          <w:tcPr>
            <w:tcW w:w="283" w:type="dxa"/>
            <w:vAlign w:val="center"/>
          </w:tcPr>
          <w:p w14:paraId="3385FC1B" w14:textId="76F0EB00" w:rsidR="00C43CF2" w:rsidRDefault="00C43CF2" w:rsidP="00C43CF2">
            <w:pPr>
              <w:pStyle w:val="KMC16-Tablecontent"/>
              <w:keepNext/>
              <w:jc w:val="center"/>
            </w:pPr>
            <w:r>
              <w:t>-</w:t>
            </w:r>
          </w:p>
        </w:tc>
        <w:tc>
          <w:tcPr>
            <w:tcW w:w="1843" w:type="dxa"/>
            <w:tcBorders>
              <w:right w:val="double" w:sz="4" w:space="0" w:color="auto"/>
            </w:tcBorders>
            <w:vAlign w:val="center"/>
          </w:tcPr>
          <w:p w14:paraId="36256343" w14:textId="13746679" w:rsidR="00C43CF2" w:rsidRDefault="00C43CF2" w:rsidP="00C43CF2">
            <w:pPr>
              <w:pStyle w:val="KMC16-Tablecontent"/>
              <w:keepNext/>
              <w:jc w:val="center"/>
            </w:pPr>
            <w:r>
              <w:t>-</w:t>
            </w:r>
          </w:p>
        </w:tc>
        <w:tc>
          <w:tcPr>
            <w:tcW w:w="425" w:type="dxa"/>
            <w:tcBorders>
              <w:left w:val="double" w:sz="4" w:space="0" w:color="auto"/>
            </w:tcBorders>
            <w:vAlign w:val="center"/>
          </w:tcPr>
          <w:p w14:paraId="535DD7CE" w14:textId="738BF304" w:rsidR="00C43CF2" w:rsidRDefault="00C43CF2" w:rsidP="00C43CF2">
            <w:pPr>
              <w:pStyle w:val="KMC16-Tablecontent"/>
              <w:keepNext/>
              <w:jc w:val="center"/>
            </w:pPr>
            <w:r>
              <w:t>146</w:t>
            </w:r>
          </w:p>
        </w:tc>
        <w:tc>
          <w:tcPr>
            <w:tcW w:w="1701" w:type="dxa"/>
            <w:vAlign w:val="center"/>
          </w:tcPr>
          <w:p w14:paraId="522CEB34" w14:textId="727A0C52" w:rsidR="00C43CF2" w:rsidRDefault="00C43CF2" w:rsidP="00C43CF2">
            <w:pPr>
              <w:pStyle w:val="KMC16-Tablecontent"/>
              <w:keepNext/>
              <w:jc w:val="center"/>
            </w:pPr>
            <w:r>
              <w:t>51 (43, 60)</w:t>
            </w:r>
          </w:p>
        </w:tc>
        <w:tc>
          <w:tcPr>
            <w:tcW w:w="284" w:type="dxa"/>
            <w:vAlign w:val="center"/>
          </w:tcPr>
          <w:p w14:paraId="2047FCEA" w14:textId="499A1B6F" w:rsidR="00C43CF2" w:rsidRDefault="00C43CF2" w:rsidP="00C43CF2">
            <w:pPr>
              <w:pStyle w:val="KMC16-Tablecontent"/>
              <w:keepNext/>
              <w:jc w:val="center"/>
            </w:pPr>
            <w:r>
              <w:t>-</w:t>
            </w:r>
          </w:p>
        </w:tc>
        <w:tc>
          <w:tcPr>
            <w:tcW w:w="1701" w:type="dxa"/>
            <w:tcBorders>
              <w:right w:val="single" w:sz="4" w:space="0" w:color="auto"/>
            </w:tcBorders>
            <w:vAlign w:val="center"/>
          </w:tcPr>
          <w:p w14:paraId="04BE5A61" w14:textId="381B4EB0" w:rsidR="00C43CF2" w:rsidRDefault="00C43CF2" w:rsidP="00C43CF2">
            <w:pPr>
              <w:pStyle w:val="KMC16-Tablecontent"/>
              <w:keepNext/>
              <w:jc w:val="center"/>
            </w:pPr>
            <w:r>
              <w:t>-</w:t>
            </w:r>
          </w:p>
        </w:tc>
      </w:tr>
      <w:tr w:rsidR="00C43CF2" w14:paraId="742E4D9C" w14:textId="77777777" w:rsidTr="375F5CCE">
        <w:tc>
          <w:tcPr>
            <w:tcW w:w="1271" w:type="dxa"/>
            <w:tcBorders>
              <w:right w:val="double" w:sz="4" w:space="0" w:color="auto"/>
            </w:tcBorders>
            <w:vAlign w:val="center"/>
          </w:tcPr>
          <w:p w14:paraId="215AF0AD" w14:textId="77777777" w:rsidR="00C43CF2" w:rsidRDefault="00C43CF2" w:rsidP="00C43CF2">
            <w:pPr>
              <w:pStyle w:val="KMC16-Tablecontent"/>
              <w:keepNext/>
            </w:pPr>
            <w:r>
              <w:t>Wieczorek 2023</w:t>
            </w:r>
          </w:p>
        </w:tc>
        <w:tc>
          <w:tcPr>
            <w:tcW w:w="425" w:type="dxa"/>
            <w:tcBorders>
              <w:left w:val="double" w:sz="4" w:space="0" w:color="auto"/>
            </w:tcBorders>
            <w:vAlign w:val="center"/>
          </w:tcPr>
          <w:p w14:paraId="38CFD0B3" w14:textId="77777777" w:rsidR="00C43CF2" w:rsidRDefault="00C43CF2" w:rsidP="00C43CF2">
            <w:pPr>
              <w:pStyle w:val="KMC16-Tablecontent"/>
              <w:keepNext/>
              <w:jc w:val="center"/>
            </w:pPr>
            <w:r>
              <w:t>25</w:t>
            </w:r>
          </w:p>
        </w:tc>
        <w:tc>
          <w:tcPr>
            <w:tcW w:w="1418" w:type="dxa"/>
          </w:tcPr>
          <w:p w14:paraId="1786312E" w14:textId="73AFA20B" w:rsidR="00C43CF2" w:rsidRDefault="00C43CF2" w:rsidP="00C43CF2">
            <w:pPr>
              <w:pStyle w:val="KMC16-Tablecontent"/>
              <w:keepNext/>
              <w:jc w:val="center"/>
            </w:pPr>
            <w:r w:rsidRPr="009C2488">
              <w:t xml:space="preserve">6.3 </w:t>
            </w:r>
            <w:r>
              <w:br/>
            </w:r>
            <w:r w:rsidRPr="009C2488">
              <w:t>(range</w:t>
            </w:r>
            <w:r w:rsidRPr="00FE7F22">
              <w:t xml:space="preserve"> 0.2–37.0)</w:t>
            </w:r>
          </w:p>
        </w:tc>
        <w:tc>
          <w:tcPr>
            <w:tcW w:w="283" w:type="dxa"/>
          </w:tcPr>
          <w:p w14:paraId="12197680" w14:textId="0BA21C55" w:rsidR="00C43CF2" w:rsidRDefault="00C43CF2" w:rsidP="00C43CF2">
            <w:pPr>
              <w:pStyle w:val="KMC16-Tablecontent"/>
              <w:keepNext/>
              <w:jc w:val="center"/>
            </w:pPr>
            <w:r>
              <w:t>-</w:t>
            </w:r>
          </w:p>
        </w:tc>
        <w:tc>
          <w:tcPr>
            <w:tcW w:w="1843" w:type="dxa"/>
            <w:tcBorders>
              <w:right w:val="double" w:sz="4" w:space="0" w:color="auto"/>
            </w:tcBorders>
          </w:tcPr>
          <w:p w14:paraId="75E3B63B" w14:textId="6525AB7D" w:rsidR="00C43CF2" w:rsidRDefault="00C43CF2" w:rsidP="00C43CF2">
            <w:pPr>
              <w:pStyle w:val="KMC16-Tablecontent"/>
              <w:keepNext/>
              <w:jc w:val="center"/>
            </w:pPr>
          </w:p>
        </w:tc>
        <w:tc>
          <w:tcPr>
            <w:tcW w:w="425" w:type="dxa"/>
            <w:tcBorders>
              <w:left w:val="double" w:sz="4" w:space="0" w:color="auto"/>
            </w:tcBorders>
            <w:vAlign w:val="center"/>
          </w:tcPr>
          <w:p w14:paraId="3BD2FC4E" w14:textId="77400D3C" w:rsidR="00C43CF2" w:rsidRDefault="00C43CF2" w:rsidP="00C43CF2">
            <w:pPr>
              <w:pStyle w:val="KMC16-Tablecontent"/>
              <w:keepNext/>
              <w:jc w:val="center"/>
            </w:pPr>
            <w:r>
              <w:t>25</w:t>
            </w:r>
          </w:p>
        </w:tc>
        <w:tc>
          <w:tcPr>
            <w:tcW w:w="1701" w:type="dxa"/>
            <w:vAlign w:val="center"/>
          </w:tcPr>
          <w:p w14:paraId="28261461" w14:textId="4F379236" w:rsidR="00C43CF2" w:rsidRDefault="00C43CF2" w:rsidP="00C43CF2">
            <w:pPr>
              <w:pStyle w:val="KMC16-Tablecontent"/>
              <w:keepNext/>
              <w:jc w:val="center"/>
            </w:pPr>
            <w:r>
              <w:t>48</w:t>
            </w:r>
          </w:p>
        </w:tc>
        <w:tc>
          <w:tcPr>
            <w:tcW w:w="284" w:type="dxa"/>
            <w:vAlign w:val="center"/>
          </w:tcPr>
          <w:p w14:paraId="57E8911F" w14:textId="6AC5764B" w:rsidR="00C43CF2" w:rsidRDefault="00C43CF2" w:rsidP="00C43CF2">
            <w:pPr>
              <w:pStyle w:val="KMC16-Tablecontent"/>
              <w:keepNext/>
              <w:jc w:val="center"/>
            </w:pPr>
            <w:r>
              <w:t>-</w:t>
            </w:r>
          </w:p>
        </w:tc>
        <w:tc>
          <w:tcPr>
            <w:tcW w:w="1701" w:type="dxa"/>
            <w:tcBorders>
              <w:right w:val="single" w:sz="4" w:space="0" w:color="auto"/>
            </w:tcBorders>
            <w:vAlign w:val="center"/>
          </w:tcPr>
          <w:p w14:paraId="101441D5" w14:textId="345819CD" w:rsidR="00C43CF2" w:rsidRDefault="00C43CF2" w:rsidP="00C43CF2">
            <w:pPr>
              <w:pStyle w:val="KMC16-Tablecontent"/>
              <w:keepNext/>
              <w:jc w:val="center"/>
            </w:pPr>
            <w:r>
              <w:t>-</w:t>
            </w:r>
          </w:p>
        </w:tc>
      </w:tr>
      <w:tr w:rsidR="00C43CF2" w14:paraId="605BE4C8" w14:textId="77777777" w:rsidTr="375F5CCE">
        <w:tc>
          <w:tcPr>
            <w:tcW w:w="1271" w:type="dxa"/>
            <w:tcBorders>
              <w:right w:val="double" w:sz="4" w:space="0" w:color="auto"/>
            </w:tcBorders>
          </w:tcPr>
          <w:p w14:paraId="2F645395" w14:textId="77777777" w:rsidR="00C43CF2" w:rsidRDefault="00C43CF2" w:rsidP="00C43CF2">
            <w:pPr>
              <w:pStyle w:val="KMC16-Tablecontent"/>
              <w:keepNext/>
            </w:pPr>
            <w:r>
              <w:t>BEACON 1</w:t>
            </w:r>
          </w:p>
        </w:tc>
        <w:tc>
          <w:tcPr>
            <w:tcW w:w="425" w:type="dxa"/>
            <w:tcBorders>
              <w:left w:val="double" w:sz="4" w:space="0" w:color="auto"/>
            </w:tcBorders>
            <w:vAlign w:val="center"/>
          </w:tcPr>
          <w:p w14:paraId="36E742FC" w14:textId="77777777" w:rsidR="00C43CF2" w:rsidRDefault="00C43CF2" w:rsidP="00C43CF2">
            <w:pPr>
              <w:pStyle w:val="KMC16-Tablecontent"/>
              <w:keepNext/>
              <w:jc w:val="center"/>
            </w:pPr>
            <w:r>
              <w:t>-</w:t>
            </w:r>
          </w:p>
        </w:tc>
        <w:tc>
          <w:tcPr>
            <w:tcW w:w="1418" w:type="dxa"/>
          </w:tcPr>
          <w:p w14:paraId="61019ECD" w14:textId="3B08C772" w:rsidR="00C43CF2" w:rsidRDefault="00C43CF2" w:rsidP="00C43CF2">
            <w:pPr>
              <w:pStyle w:val="KMC16-Tablecontent"/>
              <w:keepNext/>
              <w:jc w:val="center"/>
            </w:pPr>
            <w:r>
              <w:t>-</w:t>
            </w:r>
          </w:p>
        </w:tc>
        <w:tc>
          <w:tcPr>
            <w:tcW w:w="283" w:type="dxa"/>
          </w:tcPr>
          <w:p w14:paraId="163615D6" w14:textId="30A7CAAC" w:rsidR="00C43CF2" w:rsidRDefault="00C43CF2" w:rsidP="00C43CF2">
            <w:pPr>
              <w:pStyle w:val="KMC16-Tablecontent"/>
              <w:keepNext/>
              <w:jc w:val="center"/>
            </w:pPr>
            <w:r>
              <w:t>80</w:t>
            </w:r>
          </w:p>
        </w:tc>
        <w:tc>
          <w:tcPr>
            <w:tcW w:w="1843" w:type="dxa"/>
            <w:tcBorders>
              <w:right w:val="double" w:sz="4" w:space="0" w:color="auto"/>
            </w:tcBorders>
          </w:tcPr>
          <w:p w14:paraId="33F073C8" w14:textId="7A17E5FB" w:rsidR="00C43CF2" w:rsidRDefault="00C43CF2" w:rsidP="00C43CF2">
            <w:pPr>
              <w:pStyle w:val="KMC16-Tablecontent"/>
              <w:keepNext/>
              <w:jc w:val="center"/>
            </w:pPr>
            <w:r>
              <w:t>5.3</w:t>
            </w:r>
          </w:p>
        </w:tc>
        <w:tc>
          <w:tcPr>
            <w:tcW w:w="425" w:type="dxa"/>
            <w:tcBorders>
              <w:left w:val="double" w:sz="4" w:space="0" w:color="auto"/>
            </w:tcBorders>
          </w:tcPr>
          <w:p w14:paraId="2A968C9C" w14:textId="5BABFD31" w:rsidR="00C43CF2" w:rsidRDefault="00C43CF2" w:rsidP="00C43CF2">
            <w:pPr>
              <w:pStyle w:val="KMC16-Tablecontent"/>
              <w:keepNext/>
              <w:jc w:val="center"/>
            </w:pPr>
            <w:r>
              <w:t>-</w:t>
            </w:r>
          </w:p>
        </w:tc>
        <w:tc>
          <w:tcPr>
            <w:tcW w:w="1701" w:type="dxa"/>
          </w:tcPr>
          <w:p w14:paraId="6C9D050D" w14:textId="2BD55D3D" w:rsidR="00C43CF2" w:rsidRDefault="00C43CF2" w:rsidP="00C43CF2">
            <w:pPr>
              <w:pStyle w:val="KMC16-Tablecontent"/>
              <w:keepNext/>
              <w:jc w:val="center"/>
            </w:pPr>
            <w:r>
              <w:t>-</w:t>
            </w:r>
          </w:p>
        </w:tc>
        <w:tc>
          <w:tcPr>
            <w:tcW w:w="284" w:type="dxa"/>
          </w:tcPr>
          <w:p w14:paraId="5ED7AF65" w14:textId="09269A17" w:rsidR="00C43CF2" w:rsidRDefault="00C43CF2" w:rsidP="00C43CF2">
            <w:pPr>
              <w:pStyle w:val="KMC16-Tablecontent"/>
              <w:keepNext/>
              <w:jc w:val="center"/>
            </w:pPr>
            <w:r>
              <w:t>80</w:t>
            </w:r>
          </w:p>
        </w:tc>
        <w:tc>
          <w:tcPr>
            <w:tcW w:w="1701" w:type="dxa"/>
            <w:tcBorders>
              <w:right w:val="single" w:sz="4" w:space="0" w:color="auto"/>
            </w:tcBorders>
          </w:tcPr>
          <w:p w14:paraId="13709048" w14:textId="1BDF9DED" w:rsidR="00C43CF2" w:rsidRDefault="00C43CF2" w:rsidP="00C43CF2">
            <w:pPr>
              <w:pStyle w:val="KMC16-Tablecontent"/>
              <w:keepNext/>
              <w:jc w:val="center"/>
            </w:pPr>
            <w:r>
              <w:t>38 (27, 49)</w:t>
            </w:r>
          </w:p>
        </w:tc>
      </w:tr>
      <w:tr w:rsidR="00C43CF2" w14:paraId="315EFE0E" w14:textId="77777777" w:rsidTr="375F5CCE">
        <w:tc>
          <w:tcPr>
            <w:tcW w:w="1271" w:type="dxa"/>
            <w:tcBorders>
              <w:right w:val="double" w:sz="4" w:space="0" w:color="auto"/>
            </w:tcBorders>
          </w:tcPr>
          <w:p w14:paraId="4064C990" w14:textId="77777777" w:rsidR="00C43CF2" w:rsidRDefault="00C43CF2" w:rsidP="00C43CF2">
            <w:pPr>
              <w:pStyle w:val="KMC16-Tablecontent"/>
              <w:keepNext/>
            </w:pPr>
            <w:proofErr w:type="spellStart"/>
            <w:r>
              <w:rPr>
                <w:lang w:val="en-AU"/>
              </w:rPr>
              <w:t>Bagatell</w:t>
            </w:r>
            <w:proofErr w:type="spellEnd"/>
            <w:r>
              <w:rPr>
                <w:lang w:val="en-AU"/>
              </w:rPr>
              <w:t xml:space="preserve"> 2011</w:t>
            </w:r>
          </w:p>
        </w:tc>
        <w:tc>
          <w:tcPr>
            <w:tcW w:w="425" w:type="dxa"/>
            <w:tcBorders>
              <w:left w:val="double" w:sz="4" w:space="0" w:color="auto"/>
            </w:tcBorders>
            <w:vAlign w:val="center"/>
          </w:tcPr>
          <w:p w14:paraId="75956B48" w14:textId="77777777" w:rsidR="00C43CF2" w:rsidRDefault="00C43CF2" w:rsidP="00C43CF2">
            <w:pPr>
              <w:pStyle w:val="KMC16-Tablecontent"/>
              <w:keepNext/>
              <w:jc w:val="center"/>
            </w:pPr>
            <w:r>
              <w:t>-</w:t>
            </w:r>
          </w:p>
        </w:tc>
        <w:tc>
          <w:tcPr>
            <w:tcW w:w="1418" w:type="dxa"/>
          </w:tcPr>
          <w:p w14:paraId="00419E6C" w14:textId="57A36A22" w:rsidR="00C43CF2" w:rsidRDefault="00C43CF2" w:rsidP="00C43CF2">
            <w:pPr>
              <w:pStyle w:val="KMC16-Tablecontent"/>
              <w:keepNext/>
              <w:jc w:val="center"/>
            </w:pPr>
            <w:r>
              <w:t>-</w:t>
            </w:r>
          </w:p>
        </w:tc>
        <w:tc>
          <w:tcPr>
            <w:tcW w:w="283" w:type="dxa"/>
          </w:tcPr>
          <w:p w14:paraId="7067530C" w14:textId="260102DF" w:rsidR="00C43CF2" w:rsidRDefault="00C43CF2" w:rsidP="00C43CF2">
            <w:pPr>
              <w:pStyle w:val="KMC16-Tablecontent"/>
              <w:keepNext/>
              <w:jc w:val="center"/>
            </w:pPr>
            <w:r>
              <w:t>55</w:t>
            </w:r>
          </w:p>
        </w:tc>
        <w:tc>
          <w:tcPr>
            <w:tcW w:w="1843" w:type="dxa"/>
            <w:tcBorders>
              <w:right w:val="double" w:sz="4" w:space="0" w:color="auto"/>
            </w:tcBorders>
          </w:tcPr>
          <w:p w14:paraId="46E9EDF2" w14:textId="67A1792F" w:rsidR="00C43CF2" w:rsidRDefault="00C43CF2" w:rsidP="00C43CF2">
            <w:pPr>
              <w:pStyle w:val="KMC16-Tablecontent"/>
              <w:keepNext/>
              <w:jc w:val="center"/>
            </w:pPr>
            <w:r>
              <w:t>3.7</w:t>
            </w:r>
          </w:p>
        </w:tc>
        <w:tc>
          <w:tcPr>
            <w:tcW w:w="425" w:type="dxa"/>
            <w:tcBorders>
              <w:left w:val="double" w:sz="4" w:space="0" w:color="auto"/>
            </w:tcBorders>
          </w:tcPr>
          <w:p w14:paraId="175A2513" w14:textId="40F9F0B2" w:rsidR="00C43CF2" w:rsidRDefault="00C43CF2" w:rsidP="00C43CF2">
            <w:pPr>
              <w:pStyle w:val="KMC16-Tablecontent"/>
              <w:keepNext/>
              <w:jc w:val="center"/>
            </w:pPr>
            <w:r>
              <w:t>-</w:t>
            </w:r>
          </w:p>
        </w:tc>
        <w:tc>
          <w:tcPr>
            <w:tcW w:w="1701" w:type="dxa"/>
          </w:tcPr>
          <w:p w14:paraId="784CFA4E" w14:textId="71E1381E" w:rsidR="00C43CF2" w:rsidRDefault="00C43CF2" w:rsidP="00C43CF2">
            <w:pPr>
              <w:pStyle w:val="KMC16-Tablecontent"/>
              <w:keepNext/>
              <w:jc w:val="center"/>
            </w:pPr>
            <w:r>
              <w:t>-</w:t>
            </w:r>
          </w:p>
        </w:tc>
        <w:tc>
          <w:tcPr>
            <w:tcW w:w="284" w:type="dxa"/>
          </w:tcPr>
          <w:p w14:paraId="3C2B6937" w14:textId="7F95A7A8" w:rsidR="00C43CF2" w:rsidRDefault="00C43CF2" w:rsidP="00C43CF2">
            <w:pPr>
              <w:pStyle w:val="KMC16-Tablecontent"/>
              <w:keepNext/>
              <w:jc w:val="center"/>
            </w:pPr>
            <w:r>
              <w:t>55</w:t>
            </w:r>
          </w:p>
        </w:tc>
        <w:tc>
          <w:tcPr>
            <w:tcW w:w="1701" w:type="dxa"/>
            <w:tcBorders>
              <w:right w:val="single" w:sz="4" w:space="0" w:color="auto"/>
            </w:tcBorders>
          </w:tcPr>
          <w:p w14:paraId="68702597" w14:textId="64702756" w:rsidR="00C43CF2" w:rsidRDefault="00C43CF2" w:rsidP="00C43CF2">
            <w:pPr>
              <w:pStyle w:val="KMC16-Tablecontent"/>
              <w:keepNext/>
              <w:jc w:val="center"/>
            </w:pPr>
            <w:r>
              <w:t>NR</w:t>
            </w:r>
          </w:p>
        </w:tc>
      </w:tr>
      <w:tr w:rsidR="00C43CF2" w14:paraId="740D42EB" w14:textId="77777777" w:rsidTr="375F5CCE">
        <w:tc>
          <w:tcPr>
            <w:tcW w:w="1271" w:type="dxa"/>
            <w:tcBorders>
              <w:right w:val="double" w:sz="4" w:space="0" w:color="auto"/>
            </w:tcBorders>
          </w:tcPr>
          <w:p w14:paraId="24451DA7" w14:textId="77777777" w:rsidR="00C43CF2" w:rsidRDefault="00C43CF2" w:rsidP="00C43CF2">
            <w:pPr>
              <w:pStyle w:val="KMC16-Tablecontent"/>
              <w:keepNext/>
            </w:pPr>
            <w:r>
              <w:rPr>
                <w:lang w:val="en-AU"/>
              </w:rPr>
              <w:t xml:space="preserve">Di </w:t>
            </w:r>
            <w:proofErr w:type="spellStart"/>
            <w:r>
              <w:rPr>
                <w:lang w:val="en-AU"/>
              </w:rPr>
              <w:t>Giannatale</w:t>
            </w:r>
            <w:proofErr w:type="spellEnd"/>
            <w:r>
              <w:rPr>
                <w:lang w:val="en-AU"/>
              </w:rPr>
              <w:t xml:space="preserve"> 2014</w:t>
            </w:r>
          </w:p>
        </w:tc>
        <w:tc>
          <w:tcPr>
            <w:tcW w:w="425" w:type="dxa"/>
            <w:tcBorders>
              <w:left w:val="double" w:sz="4" w:space="0" w:color="auto"/>
            </w:tcBorders>
            <w:vAlign w:val="center"/>
          </w:tcPr>
          <w:p w14:paraId="0A8F5CD9" w14:textId="77777777" w:rsidR="00C43CF2" w:rsidRDefault="00C43CF2" w:rsidP="00C43CF2">
            <w:pPr>
              <w:pStyle w:val="KMC16-Tablecontent"/>
              <w:keepNext/>
              <w:jc w:val="center"/>
            </w:pPr>
            <w:r>
              <w:t>-</w:t>
            </w:r>
          </w:p>
        </w:tc>
        <w:tc>
          <w:tcPr>
            <w:tcW w:w="1418" w:type="dxa"/>
          </w:tcPr>
          <w:p w14:paraId="38E9A7C1" w14:textId="0C61A4FA" w:rsidR="00C43CF2" w:rsidRDefault="00C43CF2" w:rsidP="00C43CF2">
            <w:pPr>
              <w:pStyle w:val="KMC16-Tablecontent"/>
              <w:keepNext/>
              <w:jc w:val="center"/>
            </w:pPr>
            <w:r>
              <w:t>-</w:t>
            </w:r>
          </w:p>
        </w:tc>
        <w:tc>
          <w:tcPr>
            <w:tcW w:w="283" w:type="dxa"/>
          </w:tcPr>
          <w:p w14:paraId="76D5766B" w14:textId="1C677776" w:rsidR="00C43CF2" w:rsidRDefault="00C43CF2" w:rsidP="00C43CF2">
            <w:pPr>
              <w:pStyle w:val="KMC16-Tablecontent"/>
              <w:keepNext/>
              <w:jc w:val="center"/>
            </w:pPr>
            <w:r>
              <w:t>38</w:t>
            </w:r>
          </w:p>
        </w:tc>
        <w:tc>
          <w:tcPr>
            <w:tcW w:w="1843" w:type="dxa"/>
            <w:tcBorders>
              <w:right w:val="double" w:sz="4" w:space="0" w:color="auto"/>
            </w:tcBorders>
            <w:vAlign w:val="center"/>
          </w:tcPr>
          <w:p w14:paraId="762CE8DE" w14:textId="721D1B40" w:rsidR="00C43CF2" w:rsidRDefault="00C43CF2" w:rsidP="00C43CF2">
            <w:pPr>
              <w:pStyle w:val="KMC16-Tablecontent"/>
              <w:keepNext/>
              <w:jc w:val="center"/>
            </w:pPr>
            <w:r>
              <w:t>10.3 (6.4, 17.8)</w:t>
            </w:r>
          </w:p>
        </w:tc>
        <w:tc>
          <w:tcPr>
            <w:tcW w:w="425" w:type="dxa"/>
            <w:tcBorders>
              <w:left w:val="double" w:sz="4" w:space="0" w:color="auto"/>
            </w:tcBorders>
            <w:vAlign w:val="center"/>
          </w:tcPr>
          <w:p w14:paraId="33EE928C" w14:textId="02F45674" w:rsidR="00C43CF2" w:rsidRDefault="00C43CF2" w:rsidP="00C43CF2">
            <w:pPr>
              <w:pStyle w:val="KMC16-Tablecontent"/>
              <w:keepNext/>
              <w:jc w:val="center"/>
            </w:pPr>
            <w:r>
              <w:t>-</w:t>
            </w:r>
          </w:p>
        </w:tc>
        <w:tc>
          <w:tcPr>
            <w:tcW w:w="1701" w:type="dxa"/>
            <w:vAlign w:val="center"/>
          </w:tcPr>
          <w:p w14:paraId="6278CF1D" w14:textId="49D95958" w:rsidR="00C43CF2" w:rsidRDefault="00C43CF2" w:rsidP="00C43CF2">
            <w:pPr>
              <w:pStyle w:val="KMC16-Tablecontent"/>
              <w:keepNext/>
              <w:jc w:val="center"/>
            </w:pPr>
            <w:r>
              <w:t>-</w:t>
            </w:r>
          </w:p>
        </w:tc>
        <w:tc>
          <w:tcPr>
            <w:tcW w:w="284" w:type="dxa"/>
            <w:vAlign w:val="center"/>
          </w:tcPr>
          <w:p w14:paraId="4FAE6599" w14:textId="27FD17C6" w:rsidR="00C43CF2" w:rsidRDefault="00C43CF2" w:rsidP="00C43CF2">
            <w:pPr>
              <w:pStyle w:val="KMC16-Tablecontent"/>
              <w:keepNext/>
              <w:jc w:val="center"/>
            </w:pPr>
            <w:r>
              <w:t>38</w:t>
            </w:r>
          </w:p>
        </w:tc>
        <w:tc>
          <w:tcPr>
            <w:tcW w:w="1701" w:type="dxa"/>
            <w:tcBorders>
              <w:right w:val="single" w:sz="4" w:space="0" w:color="auto"/>
            </w:tcBorders>
            <w:vAlign w:val="center"/>
          </w:tcPr>
          <w:p w14:paraId="707C8528" w14:textId="1F16B842" w:rsidR="00C43CF2" w:rsidRDefault="00C43CF2" w:rsidP="00C43CF2">
            <w:pPr>
              <w:pStyle w:val="KMC16-Tablecontent"/>
              <w:keepNext/>
              <w:jc w:val="center"/>
            </w:pPr>
            <w:r>
              <w:t>45 (30, 60)</w:t>
            </w:r>
          </w:p>
        </w:tc>
      </w:tr>
      <w:tr w:rsidR="00C43CF2" w14:paraId="2113EEF3" w14:textId="77777777" w:rsidTr="375F5CCE">
        <w:tc>
          <w:tcPr>
            <w:tcW w:w="1271" w:type="dxa"/>
            <w:tcBorders>
              <w:right w:val="double" w:sz="4" w:space="0" w:color="auto"/>
            </w:tcBorders>
          </w:tcPr>
          <w:p w14:paraId="2D8ED705" w14:textId="6E81C739" w:rsidR="00C43CF2" w:rsidRDefault="00C43CF2" w:rsidP="00C43CF2">
            <w:pPr>
              <w:pStyle w:val="KMC16-Tablecontent"/>
              <w:keepNext/>
              <w:rPr>
                <w:lang w:val="en-AU"/>
              </w:rPr>
            </w:pPr>
            <w:r>
              <w:rPr>
                <w:lang w:val="en-AU"/>
              </w:rPr>
              <w:t>DuBois 2018</w:t>
            </w:r>
          </w:p>
        </w:tc>
        <w:tc>
          <w:tcPr>
            <w:tcW w:w="425" w:type="dxa"/>
            <w:tcBorders>
              <w:left w:val="double" w:sz="4" w:space="0" w:color="auto"/>
            </w:tcBorders>
            <w:vAlign w:val="center"/>
          </w:tcPr>
          <w:p w14:paraId="5BDBAB83" w14:textId="03C4C355" w:rsidR="00C43CF2" w:rsidRDefault="00C43CF2" w:rsidP="00C43CF2">
            <w:pPr>
              <w:pStyle w:val="KMC16-Tablecontent"/>
              <w:keepNext/>
              <w:jc w:val="center"/>
            </w:pPr>
            <w:r>
              <w:t>-</w:t>
            </w:r>
          </w:p>
        </w:tc>
        <w:tc>
          <w:tcPr>
            <w:tcW w:w="1418" w:type="dxa"/>
          </w:tcPr>
          <w:p w14:paraId="154FB27C" w14:textId="5ACD01F1" w:rsidR="00C43CF2" w:rsidRDefault="00C43CF2" w:rsidP="00C43CF2">
            <w:pPr>
              <w:pStyle w:val="KMC16-Tablecontent"/>
              <w:keepNext/>
              <w:jc w:val="center"/>
            </w:pPr>
            <w:r>
              <w:t>-</w:t>
            </w:r>
          </w:p>
        </w:tc>
        <w:tc>
          <w:tcPr>
            <w:tcW w:w="283" w:type="dxa"/>
          </w:tcPr>
          <w:p w14:paraId="2D7EF61F" w14:textId="05D0621B" w:rsidR="00C43CF2" w:rsidRDefault="00C43CF2" w:rsidP="00C43CF2">
            <w:pPr>
              <w:pStyle w:val="KMC16-Tablecontent"/>
              <w:keepNext/>
              <w:jc w:val="center"/>
            </w:pPr>
            <w:r>
              <w:t>32</w:t>
            </w:r>
          </w:p>
        </w:tc>
        <w:tc>
          <w:tcPr>
            <w:tcW w:w="1843" w:type="dxa"/>
            <w:tcBorders>
              <w:right w:val="double" w:sz="4" w:space="0" w:color="auto"/>
            </w:tcBorders>
          </w:tcPr>
          <w:p w14:paraId="7AB4CA24" w14:textId="26505A56" w:rsidR="00C43CF2" w:rsidRDefault="00C43CF2" w:rsidP="00C43CF2">
            <w:pPr>
              <w:pStyle w:val="KMC16-Tablecontent"/>
              <w:keepNext/>
              <w:jc w:val="center"/>
            </w:pPr>
            <w:r>
              <w:t>2.3</w:t>
            </w:r>
          </w:p>
        </w:tc>
        <w:tc>
          <w:tcPr>
            <w:tcW w:w="425" w:type="dxa"/>
            <w:tcBorders>
              <w:left w:val="double" w:sz="4" w:space="0" w:color="auto"/>
            </w:tcBorders>
          </w:tcPr>
          <w:p w14:paraId="04BBC0D7" w14:textId="73A65561" w:rsidR="00C43CF2" w:rsidRDefault="00C43CF2" w:rsidP="00C43CF2">
            <w:pPr>
              <w:pStyle w:val="KMC16-Tablecontent"/>
              <w:keepNext/>
              <w:jc w:val="center"/>
            </w:pPr>
            <w:r>
              <w:t>-</w:t>
            </w:r>
          </w:p>
        </w:tc>
        <w:tc>
          <w:tcPr>
            <w:tcW w:w="1701" w:type="dxa"/>
          </w:tcPr>
          <w:p w14:paraId="31E1B207" w14:textId="4F2656A9" w:rsidR="00C43CF2" w:rsidRDefault="00C43CF2" w:rsidP="00C43CF2">
            <w:pPr>
              <w:pStyle w:val="KMC16-Tablecontent"/>
              <w:keepNext/>
              <w:jc w:val="center"/>
            </w:pPr>
            <w:r>
              <w:t>-</w:t>
            </w:r>
          </w:p>
        </w:tc>
        <w:tc>
          <w:tcPr>
            <w:tcW w:w="284" w:type="dxa"/>
          </w:tcPr>
          <w:p w14:paraId="3A7779AE" w14:textId="0CD764F1" w:rsidR="00C43CF2" w:rsidRDefault="00C43CF2" w:rsidP="00C43CF2">
            <w:pPr>
              <w:pStyle w:val="KMC16-Tablecontent"/>
              <w:keepNext/>
              <w:jc w:val="center"/>
            </w:pPr>
            <w:r>
              <w:t>32</w:t>
            </w:r>
          </w:p>
        </w:tc>
        <w:tc>
          <w:tcPr>
            <w:tcW w:w="1701" w:type="dxa"/>
            <w:tcBorders>
              <w:right w:val="single" w:sz="4" w:space="0" w:color="auto"/>
            </w:tcBorders>
          </w:tcPr>
          <w:p w14:paraId="1483D876" w14:textId="3E483955" w:rsidR="00C43CF2" w:rsidRDefault="00C43CF2" w:rsidP="00C43CF2">
            <w:pPr>
              <w:pStyle w:val="KMC16-Tablecontent"/>
              <w:keepNext/>
              <w:jc w:val="center"/>
            </w:pPr>
            <w:r>
              <w:t>NR</w:t>
            </w:r>
          </w:p>
        </w:tc>
      </w:tr>
    </w:tbl>
    <w:p w14:paraId="3BCD2716" w14:textId="3988DFDF" w:rsidR="00C43CF2" w:rsidRDefault="00C43CF2" w:rsidP="007B76AE">
      <w:pPr>
        <w:spacing w:after="0"/>
        <w:rPr>
          <w:rFonts w:ascii="Arial Narrow" w:hAnsi="Arial Narrow"/>
          <w:sz w:val="18"/>
          <w:szCs w:val="18"/>
        </w:rPr>
      </w:pPr>
      <w:r>
        <w:rPr>
          <w:rFonts w:ascii="Arial Narrow" w:hAnsi="Arial Narrow"/>
          <w:sz w:val="18"/>
          <w:szCs w:val="18"/>
        </w:rPr>
        <w:t>Source: Table 2-15, p57 of the ADAR</w:t>
      </w:r>
    </w:p>
    <w:p w14:paraId="19CCC947" w14:textId="09909E00" w:rsidR="00F51C0F" w:rsidRPr="00573A17" w:rsidRDefault="00F51C0F" w:rsidP="007B76AE">
      <w:pPr>
        <w:spacing w:before="0"/>
        <w:rPr>
          <w:rFonts w:ascii="Arial Narrow" w:hAnsi="Arial Narrow"/>
          <w:sz w:val="18"/>
          <w:szCs w:val="18"/>
        </w:rPr>
      </w:pPr>
      <w:r>
        <w:rPr>
          <w:rFonts w:ascii="Arial Narrow" w:hAnsi="Arial Narrow"/>
          <w:sz w:val="18"/>
          <w:szCs w:val="18"/>
        </w:rPr>
        <w:t>chemo = chemotherapy; CI = confidence interval; N = number of total patients; NC = not calculable; NR = not reported; PFS = progression-free survival</w:t>
      </w:r>
    </w:p>
    <w:p w14:paraId="213924C6" w14:textId="027725DB" w:rsidR="00772829" w:rsidRDefault="00772829" w:rsidP="00223664">
      <w:pPr>
        <w:tabs>
          <w:tab w:val="left" w:pos="720"/>
          <w:tab w:val="left" w:pos="1140"/>
        </w:tabs>
        <w:spacing w:before="240" w:after="120"/>
        <w:rPr>
          <w:b/>
          <w:bCs/>
        </w:rPr>
      </w:pPr>
      <w:r w:rsidRPr="00223664">
        <w:rPr>
          <w:b/>
          <w:bCs/>
        </w:rPr>
        <w:t>Clinical claim</w:t>
      </w:r>
    </w:p>
    <w:p w14:paraId="4E0A1671" w14:textId="6B431D9B" w:rsidR="00597B8C" w:rsidRDefault="00597B8C" w:rsidP="00597B8C">
      <w:pPr>
        <w:tabs>
          <w:tab w:val="left" w:pos="720"/>
          <w:tab w:val="left" w:pos="1140"/>
        </w:tabs>
        <w:spacing w:before="240" w:after="120"/>
      </w:pPr>
      <w:r w:rsidRPr="375F5CCE">
        <w:t xml:space="preserve">The ADAR claimed the use of DB + chemotherapy results in superior effectiveness compared with the comparator chemotherapy. Chemotherapy in both arms </w:t>
      </w:r>
      <w:r w:rsidR="006B1282" w:rsidRPr="375F5CCE">
        <w:t>comprised</w:t>
      </w:r>
      <w:r w:rsidRPr="375F5CCE">
        <w:t xml:space="preserve"> the standard of care regimens TOTEM or TEMIRI. The claim is based on the key outcomes ORR, OS and PFS. </w:t>
      </w:r>
    </w:p>
    <w:p w14:paraId="0B834CD4" w14:textId="6D8C6DB5" w:rsidR="00597B8C" w:rsidRDefault="00597B8C" w:rsidP="00597B8C">
      <w:pPr>
        <w:tabs>
          <w:tab w:val="left" w:pos="720"/>
          <w:tab w:val="left" w:pos="1140"/>
        </w:tabs>
        <w:spacing w:before="240" w:after="120"/>
      </w:pPr>
      <w:r>
        <w:lastRenderedPageBreak/>
        <w:t>The use of DB + chemotherapy results in inferior (may be preventable and manageable) safety compared with the comparator chemotherapy.</w:t>
      </w:r>
    </w:p>
    <w:p w14:paraId="22EF32C6" w14:textId="45416B34" w:rsidR="00C43CF2" w:rsidRDefault="00C43CF2" w:rsidP="00C43CF2">
      <w:pPr>
        <w:tabs>
          <w:tab w:val="left" w:pos="720"/>
          <w:tab w:val="left" w:pos="1140"/>
        </w:tabs>
        <w:spacing w:before="240" w:after="120"/>
      </w:pPr>
      <w:r>
        <w:t>Overall, the commentary consider</w:t>
      </w:r>
      <w:r w:rsidR="00D463C3">
        <w:t>ed that</w:t>
      </w:r>
      <w:r>
        <w:t xml:space="preserve"> the key uncertainties with the comparative clinical evidence presented by the ADAR were:</w:t>
      </w:r>
    </w:p>
    <w:p w14:paraId="4D7B8F66" w14:textId="79BA7797" w:rsidR="00C43CF2" w:rsidRDefault="00C43CF2" w:rsidP="00EE5979">
      <w:pPr>
        <w:pStyle w:val="ListParagraph"/>
        <w:numPr>
          <w:ilvl w:val="0"/>
          <w:numId w:val="17"/>
        </w:numPr>
        <w:tabs>
          <w:tab w:val="left" w:pos="284"/>
          <w:tab w:val="left" w:pos="720"/>
        </w:tabs>
        <w:spacing w:before="240" w:after="120"/>
        <w:ind w:left="284" w:hanging="284"/>
      </w:pPr>
      <w:r w:rsidRPr="375F5CCE">
        <w:t>Open-label, exploratory randomised trials with small sample sizes provide an uncertain and unreliable basis for comparative survival data, with the primary outcome, ORR, being at greater risk of assessment bias. In addition, the BEACON</w:t>
      </w:r>
      <w:r w:rsidR="003303BB" w:rsidRPr="375F5CCE">
        <w:t>-</w:t>
      </w:r>
      <w:proofErr w:type="spellStart"/>
      <w:r w:rsidRPr="375F5CCE">
        <w:t>Immuno</w:t>
      </w:r>
      <w:proofErr w:type="spellEnd"/>
      <w:r w:rsidRPr="375F5CCE">
        <w:t xml:space="preserve"> CSR or full publication was not available for verification</w:t>
      </w:r>
      <w:r w:rsidR="000776E1" w:rsidRPr="375F5CCE">
        <w:t>.</w:t>
      </w:r>
    </w:p>
    <w:p w14:paraId="1839221C" w14:textId="437D0769" w:rsidR="00C43CF2" w:rsidRDefault="00C43CF2" w:rsidP="00EE5979">
      <w:pPr>
        <w:pStyle w:val="ListParagraph"/>
        <w:numPr>
          <w:ilvl w:val="0"/>
          <w:numId w:val="17"/>
        </w:numPr>
        <w:tabs>
          <w:tab w:val="left" w:pos="284"/>
          <w:tab w:val="left" w:pos="720"/>
        </w:tabs>
        <w:spacing w:before="240" w:after="120"/>
        <w:ind w:left="284" w:hanging="284"/>
      </w:pPr>
      <w:r w:rsidRPr="375F5CCE">
        <w:t>The most patient</w:t>
      </w:r>
      <w:r w:rsidR="000776E1" w:rsidRPr="375F5CCE">
        <w:t>-</w:t>
      </w:r>
      <w:r w:rsidRPr="375F5CCE">
        <w:t>relevant outcome of OS from BEACON</w:t>
      </w:r>
      <w:r w:rsidR="003303BB" w:rsidRPr="375F5CCE">
        <w:t>-</w:t>
      </w:r>
      <w:proofErr w:type="spellStart"/>
      <w:r w:rsidRPr="375F5CCE">
        <w:t>Immuno</w:t>
      </w:r>
      <w:proofErr w:type="spellEnd"/>
      <w:r w:rsidRPr="375F5CCE">
        <w:t xml:space="preserve"> was not able to be reliably interpreted due to extensive cross-over of more than half of the control arm</w:t>
      </w:r>
      <w:r w:rsidR="000776E1" w:rsidRPr="375F5CCE">
        <w:t>.</w:t>
      </w:r>
      <w:r w:rsidRPr="375F5CCE">
        <w:t xml:space="preserve"> </w:t>
      </w:r>
    </w:p>
    <w:p w14:paraId="62DE4EC8" w14:textId="2E14323A" w:rsidR="00C43CF2" w:rsidRDefault="00C43CF2" w:rsidP="00EE5979">
      <w:pPr>
        <w:pStyle w:val="ListParagraph"/>
        <w:numPr>
          <w:ilvl w:val="0"/>
          <w:numId w:val="17"/>
        </w:numPr>
        <w:tabs>
          <w:tab w:val="left" w:pos="284"/>
          <w:tab w:val="left" w:pos="720"/>
        </w:tabs>
        <w:spacing w:before="240" w:after="120"/>
        <w:ind w:left="284" w:hanging="284"/>
      </w:pPr>
      <w:r w:rsidRPr="375F5CCE">
        <w:t xml:space="preserve">The ADAR relied on DB and DA having interchangeable clinical efficacy, </w:t>
      </w:r>
      <w:r w:rsidR="00BC3276" w:rsidRPr="375F5CCE">
        <w:t xml:space="preserve">although they are </w:t>
      </w:r>
      <w:r w:rsidRPr="375F5CCE">
        <w:t>not considered biosimilars</w:t>
      </w:r>
      <w:r w:rsidR="000776E1" w:rsidRPr="375F5CCE">
        <w:t>. While</w:t>
      </w:r>
      <w:r w:rsidRPr="375F5CCE">
        <w:t xml:space="preserve"> the antibodies have similar specificity for GD2, they should be considered as distinct agents </w:t>
      </w:r>
      <w:r w:rsidR="000776E1" w:rsidRPr="375F5CCE">
        <w:t xml:space="preserve">that </w:t>
      </w:r>
      <w:r w:rsidRPr="375F5CCE">
        <w:t>potentially have different pharmacokinetics, efficacy and safety</w:t>
      </w:r>
      <w:r w:rsidR="000776E1" w:rsidRPr="375F5CCE">
        <w:t>.</w:t>
      </w:r>
    </w:p>
    <w:p w14:paraId="05813ADB" w14:textId="5E200277" w:rsidR="00C43CF2" w:rsidRDefault="00C43CF2" w:rsidP="00EE5979">
      <w:pPr>
        <w:pStyle w:val="ListParagraph"/>
        <w:numPr>
          <w:ilvl w:val="0"/>
          <w:numId w:val="17"/>
        </w:numPr>
        <w:tabs>
          <w:tab w:val="left" w:pos="284"/>
          <w:tab w:val="left" w:pos="720"/>
        </w:tabs>
        <w:spacing w:before="240" w:after="120"/>
        <w:ind w:left="284" w:hanging="284"/>
      </w:pPr>
      <w:r>
        <w:t xml:space="preserve">Patient characteristics, including important prognostic variables such as relapsed versus refractory disease and </w:t>
      </w:r>
      <w:r w:rsidRPr="4803CD63">
        <w:rPr>
          <w:i/>
          <w:iCs/>
        </w:rPr>
        <w:t>MYCN</w:t>
      </w:r>
      <w:r>
        <w:t xml:space="preserve"> oncogene amplification</w:t>
      </w:r>
      <w:r w:rsidR="000776E1">
        <w:t>,</w:t>
      </w:r>
      <w:r>
        <w:t xml:space="preserve"> varied significantly between studies, and between Australian cohort data and studies. The Australian cohort data by Padhye 2024 w</w:t>
      </w:r>
      <w:r w:rsidR="00C043C8">
        <w:t>ere</w:t>
      </w:r>
      <w:r>
        <w:t xml:space="preserve"> also not provided and therefore could not be verified for validity. </w:t>
      </w:r>
      <w:r w:rsidR="00840A23">
        <w:t>Overall,</w:t>
      </w:r>
      <w:r>
        <w:t xml:space="preserve"> it is uncertain how generalisable the results of BEACON</w:t>
      </w:r>
      <w:r w:rsidR="003303BB">
        <w:t>-</w:t>
      </w:r>
      <w:proofErr w:type="spellStart"/>
      <w:r>
        <w:t>Immuno</w:t>
      </w:r>
      <w:proofErr w:type="spellEnd"/>
      <w:r>
        <w:t xml:space="preserve"> and ANBL</w:t>
      </w:r>
      <w:r w:rsidR="0063480B">
        <w:t xml:space="preserve"> </w:t>
      </w:r>
      <w:r>
        <w:t>1221 are to Australian patients with RRHRNB</w:t>
      </w:r>
      <w:r w:rsidR="0056223E">
        <w:t>L</w:t>
      </w:r>
      <w:r w:rsidR="003303BB">
        <w:t>.</w:t>
      </w:r>
    </w:p>
    <w:p w14:paraId="6C4A595D" w14:textId="49BBA220" w:rsidR="00C43CF2" w:rsidRPr="00597B8C" w:rsidRDefault="00C43CF2" w:rsidP="00C43CF2">
      <w:pPr>
        <w:tabs>
          <w:tab w:val="left" w:pos="720"/>
          <w:tab w:val="left" w:pos="1140"/>
        </w:tabs>
        <w:spacing w:before="240" w:after="120"/>
      </w:pPr>
      <w:r>
        <w:t>However, the uncertainty surrounding the presented clinical evidence must also be balanced with consideration of equity of access issues, with patients currently reliant on clinical trials or compassionate access.</w:t>
      </w:r>
    </w:p>
    <w:p w14:paraId="0D09C9E4" w14:textId="1BF02220" w:rsidR="00772829" w:rsidRPr="00CE28E3" w:rsidRDefault="00772829" w:rsidP="00EE5979">
      <w:pPr>
        <w:pStyle w:val="Heading2"/>
        <w:numPr>
          <w:ilvl w:val="0"/>
          <w:numId w:val="22"/>
        </w:numPr>
        <w:ind w:hanging="720"/>
      </w:pPr>
      <w:bookmarkStart w:id="26" w:name="_Toc69491425"/>
      <w:r w:rsidRPr="00CE28E3">
        <w:t>Economic evaluation</w:t>
      </w:r>
      <w:bookmarkEnd w:id="26"/>
    </w:p>
    <w:p w14:paraId="59E5E469" w14:textId="702518AA" w:rsidR="00917A9D" w:rsidRDefault="00ED1BA8" w:rsidP="005F558B">
      <w:pPr>
        <w:spacing w:after="240"/>
      </w:pPr>
      <w:r w:rsidRPr="375F5CCE">
        <w:t xml:space="preserve">The </w:t>
      </w:r>
      <w:r w:rsidR="007369CF" w:rsidRPr="375F5CCE">
        <w:t>ADAR</w:t>
      </w:r>
      <w:r w:rsidRPr="375F5CCE">
        <w:t xml:space="preserve"> presented </w:t>
      </w:r>
      <w:r w:rsidR="00994249" w:rsidRPr="375F5CCE">
        <w:t>c</w:t>
      </w:r>
      <w:r w:rsidR="00245D6E" w:rsidRPr="375F5CCE">
        <w:t>ost</w:t>
      </w:r>
      <w:r w:rsidR="00994249" w:rsidRPr="375F5CCE">
        <w:t>-</w:t>
      </w:r>
      <w:r w:rsidR="00245D6E" w:rsidRPr="375F5CCE">
        <w:t>effectiven</w:t>
      </w:r>
      <w:r w:rsidR="00994249" w:rsidRPr="375F5CCE">
        <w:t>ess and cost-utility analyses</w:t>
      </w:r>
      <w:r w:rsidR="00E7116A" w:rsidRPr="375F5CCE">
        <w:t xml:space="preserve"> </w:t>
      </w:r>
      <w:r w:rsidR="00994249" w:rsidRPr="375F5CCE">
        <w:t xml:space="preserve">estimating </w:t>
      </w:r>
      <w:r w:rsidR="007369CF" w:rsidRPr="375F5CCE">
        <w:t xml:space="preserve">the </w:t>
      </w:r>
      <w:r w:rsidR="00275B2C" w:rsidRPr="375F5CCE">
        <w:t xml:space="preserve">incremental </w:t>
      </w:r>
      <w:r w:rsidR="00994249" w:rsidRPr="375F5CCE">
        <w:t xml:space="preserve">cost per </w:t>
      </w:r>
      <w:r w:rsidR="00275B2C" w:rsidRPr="375F5CCE">
        <w:t>life-year</w:t>
      </w:r>
      <w:r w:rsidR="00F76486" w:rsidRPr="375F5CCE">
        <w:t xml:space="preserve"> (LY)</w:t>
      </w:r>
      <w:r w:rsidR="00275B2C" w:rsidRPr="375F5CCE">
        <w:t xml:space="preserve"> gained and per quality-adjusted </w:t>
      </w:r>
      <w:r w:rsidR="00F76486" w:rsidRPr="375F5CCE">
        <w:t>l</w:t>
      </w:r>
      <w:r w:rsidR="00275B2C" w:rsidRPr="375F5CCE">
        <w:t>ife year</w:t>
      </w:r>
      <w:r w:rsidR="006B6E3A" w:rsidRPr="375F5CCE">
        <w:t xml:space="preserve"> (QALY) gained</w:t>
      </w:r>
      <w:r w:rsidR="007369CF" w:rsidRPr="375F5CCE">
        <w:t>,</w:t>
      </w:r>
      <w:r w:rsidR="00275B2C" w:rsidRPr="375F5CCE">
        <w:t xml:space="preserve"> respectively</w:t>
      </w:r>
      <w:r w:rsidR="006B6E3A" w:rsidRPr="375F5CCE">
        <w:t>.</w:t>
      </w:r>
      <w:r w:rsidR="00025170" w:rsidRPr="375F5CCE">
        <w:t xml:space="preserve"> </w:t>
      </w:r>
      <w:r w:rsidR="00B57046" w:rsidRPr="375F5CCE">
        <w:t xml:space="preserve">The ADAR argued that </w:t>
      </w:r>
      <w:r w:rsidR="007440E7" w:rsidRPr="375F5CCE">
        <w:t>because of the conceptual and practical difficulties associated with Health-related Quality of Life (</w:t>
      </w:r>
      <w:proofErr w:type="spellStart"/>
      <w:r w:rsidR="007440E7" w:rsidRPr="375F5CCE">
        <w:t>HRQoL</w:t>
      </w:r>
      <w:proofErr w:type="spellEnd"/>
      <w:r w:rsidR="007440E7" w:rsidRPr="375F5CCE">
        <w:t xml:space="preserve">) assessments in children and young people that MSAC consider the cost per LY gained as an important performance measure. </w:t>
      </w:r>
      <w:r w:rsidR="00840A23" w:rsidRPr="375F5CCE">
        <w:t>However,</w:t>
      </w:r>
      <w:r w:rsidR="007440E7" w:rsidRPr="375F5CCE">
        <w:t xml:space="preserve"> the </w:t>
      </w:r>
      <w:r w:rsidR="00C5595A" w:rsidRPr="375F5CCE">
        <w:t xml:space="preserve">commentary considered that </w:t>
      </w:r>
      <w:r w:rsidR="00917A9D" w:rsidRPr="375F5CCE">
        <w:t>LYs are not a substitute for QALYs, which is a universal</w:t>
      </w:r>
      <w:r w:rsidR="007C7017" w:rsidRPr="375F5CCE">
        <w:t>ly accepted outcome informing HTA decision making.</w:t>
      </w:r>
    </w:p>
    <w:p w14:paraId="589334DE" w14:textId="721663F6" w:rsidR="00A85BF0" w:rsidRPr="005F558B" w:rsidRDefault="00AB5990" w:rsidP="005F558B">
      <w:pPr>
        <w:spacing w:after="240"/>
      </w:pPr>
      <w:r w:rsidRPr="375F5CCE">
        <w:t xml:space="preserve">The modelled economic evaluation </w:t>
      </w:r>
      <w:r w:rsidR="00F10FFB" w:rsidRPr="375F5CCE">
        <w:t xml:space="preserve">was a </w:t>
      </w:r>
      <w:r w:rsidRPr="375F5CCE">
        <w:t>par</w:t>
      </w:r>
      <w:r w:rsidR="008148A1" w:rsidRPr="375F5CCE">
        <w:t>titioned</w:t>
      </w:r>
      <w:r w:rsidRPr="375F5CCE">
        <w:t xml:space="preserve"> </w:t>
      </w:r>
      <w:r w:rsidR="00F10FFB" w:rsidRPr="375F5CCE">
        <w:t xml:space="preserve">survival </w:t>
      </w:r>
      <w:r w:rsidR="00E65FE1" w:rsidRPr="375F5CCE">
        <w:t xml:space="preserve">model </w:t>
      </w:r>
      <w:r w:rsidR="004E3F40" w:rsidRPr="375F5CCE">
        <w:t>(PS</w:t>
      </w:r>
      <w:r w:rsidR="00E65FE1" w:rsidRPr="375F5CCE">
        <w:t>M</w:t>
      </w:r>
      <w:r w:rsidR="004E3F40" w:rsidRPr="375F5CCE">
        <w:t>)</w:t>
      </w:r>
      <w:r w:rsidR="00322E80" w:rsidRPr="375F5CCE">
        <w:t>.</w:t>
      </w:r>
      <w:r w:rsidR="004C752D" w:rsidRPr="375F5CCE">
        <w:t xml:space="preserve"> </w:t>
      </w:r>
      <w:r w:rsidR="006262E3" w:rsidRPr="375F5CCE">
        <w:t>The</w:t>
      </w:r>
      <w:r w:rsidR="007369CF" w:rsidRPr="375F5CCE">
        <w:t xml:space="preserve"> commentary considered there were</w:t>
      </w:r>
      <w:r w:rsidR="006262E3" w:rsidRPr="375F5CCE">
        <w:t xml:space="preserve"> structural problems with the model</w:t>
      </w:r>
      <w:r w:rsidR="00441F87" w:rsidRPr="375F5CCE">
        <w:t xml:space="preserve"> (as discussed below)</w:t>
      </w:r>
      <w:r w:rsidR="006262E3" w:rsidRPr="375F5CCE">
        <w:t xml:space="preserve"> </w:t>
      </w:r>
      <w:r w:rsidR="007369CF" w:rsidRPr="375F5CCE">
        <w:t>that</w:t>
      </w:r>
      <w:r w:rsidR="00CF0563" w:rsidRPr="375F5CCE">
        <w:t xml:space="preserve"> </w:t>
      </w:r>
      <w:r w:rsidR="00C850D0" w:rsidRPr="375F5CCE">
        <w:t>relate</w:t>
      </w:r>
      <w:r w:rsidR="00FD7938" w:rsidRPr="375F5CCE">
        <w:t>d</w:t>
      </w:r>
      <w:r w:rsidR="00C850D0" w:rsidRPr="375F5CCE">
        <w:t xml:space="preserve"> to</w:t>
      </w:r>
      <w:r w:rsidR="00CF0563" w:rsidRPr="375F5CCE">
        <w:t xml:space="preserve"> the choice of clinical evidence</w:t>
      </w:r>
      <w:r w:rsidR="00C850D0" w:rsidRPr="375F5CCE">
        <w:t xml:space="preserve"> </w:t>
      </w:r>
      <w:r w:rsidR="005F2B8B">
        <w:t xml:space="preserve">used </w:t>
      </w:r>
      <w:r w:rsidR="00334345" w:rsidRPr="375F5CCE">
        <w:t xml:space="preserve">and </w:t>
      </w:r>
      <w:r w:rsidR="000745FB" w:rsidRPr="375F5CCE">
        <w:t xml:space="preserve">how the evidence </w:t>
      </w:r>
      <w:r w:rsidR="00E65FE1" w:rsidRPr="375F5CCE">
        <w:t>wa</w:t>
      </w:r>
      <w:r w:rsidR="00D2383F" w:rsidRPr="375F5CCE">
        <w:t xml:space="preserve">s combined/transformed </w:t>
      </w:r>
      <w:r w:rsidR="00E65FE1" w:rsidRPr="375F5CCE">
        <w:t>and subsequently</w:t>
      </w:r>
      <w:r w:rsidR="00271831" w:rsidRPr="375F5CCE">
        <w:t xml:space="preserve"> u</w:t>
      </w:r>
      <w:r w:rsidR="00D2383F" w:rsidRPr="375F5CCE">
        <w:t>sed</w:t>
      </w:r>
      <w:r w:rsidR="00271831" w:rsidRPr="375F5CCE">
        <w:t xml:space="preserve"> in </w:t>
      </w:r>
      <w:r w:rsidR="00EF6E2D" w:rsidRPr="375F5CCE">
        <w:t xml:space="preserve">the </w:t>
      </w:r>
      <w:r w:rsidR="00441F87" w:rsidRPr="375F5CCE">
        <w:t xml:space="preserve">model which </w:t>
      </w:r>
      <w:r w:rsidR="00722795" w:rsidRPr="375F5CCE">
        <w:t xml:space="preserve">cast significant doubt on the validity of the </w:t>
      </w:r>
      <w:r w:rsidR="009908B0" w:rsidRPr="375F5CCE">
        <w:t>incremental cost-effectiveness ratio (</w:t>
      </w:r>
      <w:r w:rsidR="008F0BAB" w:rsidRPr="375F5CCE">
        <w:t>ICER</w:t>
      </w:r>
      <w:r w:rsidR="009908B0" w:rsidRPr="375F5CCE">
        <w:t>)</w:t>
      </w:r>
      <w:r w:rsidR="008F0BAB" w:rsidRPr="375F5CCE">
        <w:t xml:space="preserve"> estimates </w:t>
      </w:r>
      <w:r w:rsidR="00722795" w:rsidRPr="375F5CCE">
        <w:t>generated by the model.</w:t>
      </w:r>
    </w:p>
    <w:p w14:paraId="6E2F587A" w14:textId="08D3BD38" w:rsidR="00C11376" w:rsidRPr="00CE28E3" w:rsidRDefault="00C11376" w:rsidP="007F19BD">
      <w:pPr>
        <w:pStyle w:val="TableHeading"/>
      </w:pPr>
      <w:bookmarkStart w:id="27" w:name="_Ref69725820"/>
      <w:r w:rsidRPr="00CE28E3">
        <w:lastRenderedPageBreak/>
        <w:t>Table</w:t>
      </w:r>
      <w:r>
        <w:t> </w:t>
      </w:r>
      <w:r w:rsidRPr="00CE28E3">
        <w:rPr>
          <w:noProof/>
        </w:rPr>
        <w:fldChar w:fldCharType="begin"/>
      </w:r>
      <w:r w:rsidRPr="00CE28E3">
        <w:rPr>
          <w:noProof/>
        </w:rPr>
        <w:instrText xml:space="preserve"> SEQ Table \* ARABIC </w:instrText>
      </w:r>
      <w:r w:rsidRPr="00CE28E3">
        <w:rPr>
          <w:noProof/>
        </w:rPr>
        <w:fldChar w:fldCharType="separate"/>
      </w:r>
      <w:r w:rsidR="00C02A66">
        <w:rPr>
          <w:noProof/>
        </w:rPr>
        <w:t>6</w:t>
      </w:r>
      <w:r w:rsidRPr="00CE28E3">
        <w:rPr>
          <w:noProof/>
        </w:rPr>
        <w:fldChar w:fldCharType="end"/>
      </w:r>
      <w:bookmarkEnd w:id="27"/>
      <w:r w:rsidRPr="00CE28E3">
        <w:tab/>
        <w:t xml:space="preserve">Summary of the economic evaluation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7064"/>
      </w:tblGrid>
      <w:tr w:rsidR="00A1203F" w:rsidRPr="007369CF" w14:paraId="6BF8B50A" w14:textId="77777777" w:rsidTr="375F5CCE">
        <w:trPr>
          <w:tblHeader/>
        </w:trPr>
        <w:tc>
          <w:tcPr>
            <w:tcW w:w="2003" w:type="dxa"/>
          </w:tcPr>
          <w:p w14:paraId="296241A6" w14:textId="77777777" w:rsidR="00A1203F" w:rsidRPr="004C4799" w:rsidRDefault="00A1203F" w:rsidP="375F5CCE">
            <w:pPr>
              <w:pStyle w:val="TableHeading"/>
            </w:pPr>
            <w:bookmarkStart w:id="28" w:name="Title_Table5"/>
            <w:bookmarkStart w:id="29" w:name="_Hlk68276446"/>
            <w:bookmarkEnd w:id="28"/>
            <w:r w:rsidRPr="375F5CCE">
              <w:t>Component</w:t>
            </w:r>
          </w:p>
        </w:tc>
        <w:tc>
          <w:tcPr>
            <w:tcW w:w="7064" w:type="dxa"/>
          </w:tcPr>
          <w:p w14:paraId="397D4490" w14:textId="77777777" w:rsidR="00A1203F" w:rsidRPr="004C4799" w:rsidRDefault="00A1203F" w:rsidP="00B70B76">
            <w:pPr>
              <w:pStyle w:val="TableHeading"/>
              <w:rPr>
                <w:szCs w:val="20"/>
              </w:rPr>
            </w:pPr>
            <w:r w:rsidRPr="004C4799">
              <w:rPr>
                <w:szCs w:val="20"/>
              </w:rPr>
              <w:t>Description</w:t>
            </w:r>
          </w:p>
        </w:tc>
      </w:tr>
      <w:tr w:rsidR="00A1203F" w:rsidRPr="007369CF" w14:paraId="25FD748E" w14:textId="77777777" w:rsidTr="375F5CCE">
        <w:tc>
          <w:tcPr>
            <w:tcW w:w="2003" w:type="dxa"/>
          </w:tcPr>
          <w:p w14:paraId="3F462509" w14:textId="77777777" w:rsidR="00A1203F" w:rsidRPr="004C4799" w:rsidRDefault="00A1203F" w:rsidP="00B70B76">
            <w:pPr>
              <w:pStyle w:val="TableText"/>
              <w:keepNext/>
              <w:rPr>
                <w:szCs w:val="20"/>
              </w:rPr>
            </w:pPr>
            <w:r w:rsidRPr="004C4799">
              <w:rPr>
                <w:szCs w:val="20"/>
              </w:rPr>
              <w:t>Perspective</w:t>
            </w:r>
          </w:p>
        </w:tc>
        <w:tc>
          <w:tcPr>
            <w:tcW w:w="7064" w:type="dxa"/>
          </w:tcPr>
          <w:p w14:paraId="0107B366" w14:textId="04C6935A" w:rsidR="00A1203F" w:rsidRPr="004C4799" w:rsidRDefault="00A1203F" w:rsidP="00B70B76">
            <w:pPr>
              <w:pStyle w:val="TableText"/>
              <w:keepNext/>
              <w:rPr>
                <w:szCs w:val="20"/>
              </w:rPr>
            </w:pPr>
            <w:r w:rsidRPr="004C4799">
              <w:rPr>
                <w:szCs w:val="20"/>
              </w:rPr>
              <w:t xml:space="preserve">Australian </w:t>
            </w:r>
            <w:r w:rsidR="009908B0">
              <w:rPr>
                <w:szCs w:val="20"/>
              </w:rPr>
              <w:t>h</w:t>
            </w:r>
            <w:r w:rsidRPr="004C4799">
              <w:rPr>
                <w:szCs w:val="20"/>
              </w:rPr>
              <w:t>ealth care system</w:t>
            </w:r>
          </w:p>
        </w:tc>
      </w:tr>
      <w:tr w:rsidR="00A1203F" w:rsidRPr="007369CF" w14:paraId="5C40059D" w14:textId="77777777" w:rsidTr="375F5CCE">
        <w:trPr>
          <w:tblHeader/>
        </w:trPr>
        <w:tc>
          <w:tcPr>
            <w:tcW w:w="2003" w:type="dxa"/>
          </w:tcPr>
          <w:p w14:paraId="076D4504" w14:textId="77777777" w:rsidR="00A1203F" w:rsidRPr="004C4799" w:rsidRDefault="00A1203F" w:rsidP="00E15A4B">
            <w:pPr>
              <w:pStyle w:val="TableText"/>
              <w:keepNext/>
              <w:rPr>
                <w:szCs w:val="20"/>
              </w:rPr>
            </w:pPr>
            <w:r w:rsidRPr="004C4799">
              <w:rPr>
                <w:szCs w:val="20"/>
              </w:rPr>
              <w:t>Population</w:t>
            </w:r>
          </w:p>
        </w:tc>
        <w:tc>
          <w:tcPr>
            <w:tcW w:w="7064" w:type="dxa"/>
          </w:tcPr>
          <w:p w14:paraId="05FD68FC" w14:textId="6EA81EDB" w:rsidR="00A1203F" w:rsidRPr="004C4799" w:rsidRDefault="00A1203F" w:rsidP="00E15A4B">
            <w:pPr>
              <w:pStyle w:val="TableText"/>
              <w:keepNext/>
              <w:rPr>
                <w:szCs w:val="20"/>
              </w:rPr>
            </w:pPr>
            <w:r w:rsidRPr="004C4799">
              <w:rPr>
                <w:szCs w:val="20"/>
              </w:rPr>
              <w:t>Relapsed and Refractory High Risk Neuroblastoma (RRHRNBL)</w:t>
            </w:r>
          </w:p>
        </w:tc>
      </w:tr>
      <w:tr w:rsidR="00A1203F" w:rsidRPr="007369CF" w14:paraId="3EA3735F" w14:textId="77777777" w:rsidTr="375F5CCE">
        <w:tc>
          <w:tcPr>
            <w:tcW w:w="2003" w:type="dxa"/>
          </w:tcPr>
          <w:p w14:paraId="1F243732" w14:textId="77777777" w:rsidR="00A1203F" w:rsidRPr="004C4799" w:rsidRDefault="00A1203F" w:rsidP="00E15A4B">
            <w:pPr>
              <w:pStyle w:val="TableText"/>
              <w:keepNext/>
              <w:rPr>
                <w:szCs w:val="20"/>
              </w:rPr>
            </w:pPr>
            <w:r w:rsidRPr="004C4799">
              <w:rPr>
                <w:szCs w:val="20"/>
              </w:rPr>
              <w:t>Prior testing</w:t>
            </w:r>
          </w:p>
        </w:tc>
        <w:tc>
          <w:tcPr>
            <w:tcW w:w="7064" w:type="dxa"/>
          </w:tcPr>
          <w:p w14:paraId="4B6646DD" w14:textId="594646DA" w:rsidR="00A1203F" w:rsidRPr="004C4799" w:rsidRDefault="00A1203F" w:rsidP="00E15A4B">
            <w:pPr>
              <w:pStyle w:val="TableText"/>
              <w:keepNext/>
              <w:rPr>
                <w:szCs w:val="20"/>
              </w:rPr>
            </w:pPr>
            <w:r w:rsidRPr="004C4799">
              <w:rPr>
                <w:szCs w:val="20"/>
              </w:rPr>
              <w:t>Test(s) to confirm the diagnosis of RRHRNBL</w:t>
            </w:r>
          </w:p>
        </w:tc>
      </w:tr>
      <w:tr w:rsidR="00A1203F" w:rsidRPr="007369CF" w14:paraId="34A55A52" w14:textId="77777777" w:rsidTr="375F5CCE">
        <w:tc>
          <w:tcPr>
            <w:tcW w:w="2003" w:type="dxa"/>
          </w:tcPr>
          <w:p w14:paraId="1F8DE1C6" w14:textId="77777777" w:rsidR="00A1203F" w:rsidRPr="004C4799" w:rsidRDefault="00A1203F" w:rsidP="00E15A4B">
            <w:pPr>
              <w:pStyle w:val="TableText"/>
              <w:keepNext/>
              <w:rPr>
                <w:szCs w:val="20"/>
              </w:rPr>
            </w:pPr>
            <w:r w:rsidRPr="004C4799">
              <w:rPr>
                <w:szCs w:val="20"/>
              </w:rPr>
              <w:t>Comparator</w:t>
            </w:r>
          </w:p>
        </w:tc>
        <w:tc>
          <w:tcPr>
            <w:tcW w:w="7064" w:type="dxa"/>
          </w:tcPr>
          <w:p w14:paraId="211B2FBD" w14:textId="1911783F" w:rsidR="00A1203F" w:rsidRPr="004C4799" w:rsidRDefault="00A1203F" w:rsidP="00E15A4B">
            <w:pPr>
              <w:pStyle w:val="TableText"/>
              <w:keepNext/>
              <w:rPr>
                <w:szCs w:val="20"/>
              </w:rPr>
            </w:pPr>
            <w:r w:rsidRPr="004C4799">
              <w:rPr>
                <w:szCs w:val="20"/>
              </w:rPr>
              <w:t>Chemotherapy + BSC</w:t>
            </w:r>
          </w:p>
        </w:tc>
      </w:tr>
      <w:tr w:rsidR="00A1203F" w:rsidRPr="007369CF" w14:paraId="1B7EF641" w14:textId="77777777" w:rsidTr="375F5CCE">
        <w:tc>
          <w:tcPr>
            <w:tcW w:w="2003" w:type="dxa"/>
          </w:tcPr>
          <w:p w14:paraId="4686DDF2" w14:textId="77777777" w:rsidR="00A1203F" w:rsidRPr="004C4799" w:rsidRDefault="00A1203F" w:rsidP="00E15A4B">
            <w:pPr>
              <w:pStyle w:val="TableText"/>
              <w:keepNext/>
              <w:rPr>
                <w:szCs w:val="20"/>
              </w:rPr>
            </w:pPr>
            <w:r w:rsidRPr="004C4799">
              <w:rPr>
                <w:szCs w:val="20"/>
              </w:rPr>
              <w:t>Type(s) of analysis</w:t>
            </w:r>
          </w:p>
        </w:tc>
        <w:tc>
          <w:tcPr>
            <w:tcW w:w="7064" w:type="dxa"/>
          </w:tcPr>
          <w:p w14:paraId="3EFD64CE" w14:textId="1A2F6BD3" w:rsidR="00A1203F" w:rsidRPr="004C4799" w:rsidRDefault="00A1203F" w:rsidP="00E15A4B">
            <w:pPr>
              <w:pStyle w:val="TableText"/>
              <w:keepNext/>
              <w:rPr>
                <w:szCs w:val="20"/>
              </w:rPr>
            </w:pPr>
            <w:r w:rsidRPr="004C4799">
              <w:rPr>
                <w:szCs w:val="20"/>
              </w:rPr>
              <w:t>Cost-effectiveness analysis, Cost-utility analysis</w:t>
            </w:r>
          </w:p>
        </w:tc>
      </w:tr>
      <w:tr w:rsidR="00A1203F" w:rsidRPr="007369CF" w14:paraId="643B3CF2" w14:textId="77777777" w:rsidTr="375F5CCE">
        <w:tc>
          <w:tcPr>
            <w:tcW w:w="2003" w:type="dxa"/>
          </w:tcPr>
          <w:p w14:paraId="70B9E018" w14:textId="77777777" w:rsidR="00A1203F" w:rsidRPr="004C4799" w:rsidRDefault="00A1203F" w:rsidP="00E15A4B">
            <w:pPr>
              <w:pStyle w:val="TableText"/>
              <w:keepNext/>
              <w:rPr>
                <w:szCs w:val="20"/>
              </w:rPr>
            </w:pPr>
            <w:r w:rsidRPr="004C4799">
              <w:rPr>
                <w:szCs w:val="20"/>
              </w:rPr>
              <w:t>Outcomes</w:t>
            </w:r>
          </w:p>
        </w:tc>
        <w:tc>
          <w:tcPr>
            <w:tcW w:w="7064" w:type="dxa"/>
          </w:tcPr>
          <w:p w14:paraId="25D6F9AC" w14:textId="1D953BF2" w:rsidR="00A1203F" w:rsidRPr="004C4799" w:rsidRDefault="00A1203F" w:rsidP="00E15A4B">
            <w:pPr>
              <w:pStyle w:val="TableText"/>
              <w:keepNext/>
              <w:rPr>
                <w:szCs w:val="20"/>
              </w:rPr>
            </w:pPr>
            <w:r w:rsidRPr="004C4799">
              <w:rPr>
                <w:szCs w:val="20"/>
              </w:rPr>
              <w:t>Progression free survival, overall survival, Life Years and QALYs gained.</w:t>
            </w:r>
          </w:p>
        </w:tc>
      </w:tr>
      <w:tr w:rsidR="00A1203F" w:rsidRPr="007369CF" w14:paraId="01E2DBD3" w14:textId="77777777" w:rsidTr="375F5CCE">
        <w:tc>
          <w:tcPr>
            <w:tcW w:w="2003" w:type="dxa"/>
          </w:tcPr>
          <w:p w14:paraId="4F9E0421" w14:textId="77777777" w:rsidR="00A1203F" w:rsidRPr="004C4799" w:rsidRDefault="00A1203F" w:rsidP="00E15A4B">
            <w:pPr>
              <w:pStyle w:val="TableText"/>
              <w:keepNext/>
              <w:rPr>
                <w:szCs w:val="20"/>
              </w:rPr>
            </w:pPr>
            <w:r w:rsidRPr="004C4799">
              <w:rPr>
                <w:szCs w:val="20"/>
              </w:rPr>
              <w:t>Time horizon</w:t>
            </w:r>
          </w:p>
        </w:tc>
        <w:tc>
          <w:tcPr>
            <w:tcW w:w="7064" w:type="dxa"/>
          </w:tcPr>
          <w:p w14:paraId="7C113542" w14:textId="3C4D022B" w:rsidR="00A1203F" w:rsidRPr="004C4799" w:rsidRDefault="00A1203F" w:rsidP="00E15A4B">
            <w:pPr>
              <w:pStyle w:val="TableText"/>
              <w:keepNext/>
              <w:rPr>
                <w:szCs w:val="20"/>
              </w:rPr>
            </w:pPr>
            <w:r w:rsidRPr="004C4799">
              <w:rPr>
                <w:szCs w:val="20"/>
              </w:rPr>
              <w:t>20 years in the model base case</w:t>
            </w:r>
          </w:p>
        </w:tc>
      </w:tr>
      <w:tr w:rsidR="00A1203F" w:rsidRPr="007369CF" w14:paraId="2627FDD7" w14:textId="77777777" w:rsidTr="375F5CCE">
        <w:tc>
          <w:tcPr>
            <w:tcW w:w="2003" w:type="dxa"/>
          </w:tcPr>
          <w:p w14:paraId="7717CE05" w14:textId="77777777" w:rsidR="00A1203F" w:rsidRPr="004C4799" w:rsidRDefault="00A1203F" w:rsidP="008469C4">
            <w:pPr>
              <w:pStyle w:val="TableText"/>
              <w:keepNext/>
              <w:rPr>
                <w:szCs w:val="20"/>
              </w:rPr>
            </w:pPr>
            <w:r w:rsidRPr="004C4799">
              <w:rPr>
                <w:szCs w:val="20"/>
              </w:rPr>
              <w:t>Computational method</w:t>
            </w:r>
          </w:p>
        </w:tc>
        <w:tc>
          <w:tcPr>
            <w:tcW w:w="7064" w:type="dxa"/>
          </w:tcPr>
          <w:p w14:paraId="674781A3" w14:textId="126A7E78" w:rsidR="00A1203F" w:rsidRPr="004C4799" w:rsidRDefault="00A1203F" w:rsidP="008469C4">
            <w:pPr>
              <w:pStyle w:val="TableText"/>
              <w:keepNext/>
              <w:rPr>
                <w:szCs w:val="20"/>
              </w:rPr>
            </w:pPr>
            <w:r w:rsidRPr="004C4799">
              <w:rPr>
                <w:szCs w:val="20"/>
              </w:rPr>
              <w:t>Partitioned Survival Model (PSM)</w:t>
            </w:r>
          </w:p>
        </w:tc>
      </w:tr>
      <w:tr w:rsidR="00A1203F" w:rsidRPr="007369CF" w14:paraId="12D5BB27" w14:textId="77777777" w:rsidTr="375F5CCE">
        <w:tc>
          <w:tcPr>
            <w:tcW w:w="2003" w:type="dxa"/>
          </w:tcPr>
          <w:p w14:paraId="6741D6FA" w14:textId="77777777" w:rsidR="00A1203F" w:rsidRPr="004C4799" w:rsidRDefault="00A1203F" w:rsidP="008469C4">
            <w:pPr>
              <w:pStyle w:val="TableText"/>
              <w:keepNext/>
              <w:rPr>
                <w:szCs w:val="20"/>
              </w:rPr>
            </w:pPr>
            <w:r w:rsidRPr="004C4799">
              <w:rPr>
                <w:szCs w:val="20"/>
              </w:rPr>
              <w:t>Generation of the base case</w:t>
            </w:r>
          </w:p>
        </w:tc>
        <w:tc>
          <w:tcPr>
            <w:tcW w:w="7064" w:type="dxa"/>
          </w:tcPr>
          <w:p w14:paraId="4F6EB35D" w14:textId="78172F81" w:rsidR="00A1203F" w:rsidRPr="004C4799" w:rsidRDefault="00A1203F" w:rsidP="008469C4">
            <w:pPr>
              <w:pStyle w:val="TableText"/>
              <w:keepNext/>
              <w:rPr>
                <w:szCs w:val="20"/>
              </w:rPr>
            </w:pPr>
            <w:r w:rsidRPr="004C4799">
              <w:rPr>
                <w:szCs w:val="20"/>
              </w:rPr>
              <w:t xml:space="preserve">Modelled economic evaluation </w:t>
            </w:r>
          </w:p>
        </w:tc>
      </w:tr>
      <w:tr w:rsidR="00A1203F" w:rsidRPr="007369CF" w14:paraId="6838E7A9" w14:textId="77777777" w:rsidTr="375F5CCE">
        <w:tc>
          <w:tcPr>
            <w:tcW w:w="2003" w:type="dxa"/>
          </w:tcPr>
          <w:p w14:paraId="2C798BF4" w14:textId="77777777" w:rsidR="00A1203F" w:rsidRPr="004C4799" w:rsidRDefault="00A1203F" w:rsidP="00CF6D1D">
            <w:pPr>
              <w:pStyle w:val="TableText"/>
              <w:keepNext/>
              <w:rPr>
                <w:szCs w:val="20"/>
              </w:rPr>
            </w:pPr>
            <w:r w:rsidRPr="004C4799">
              <w:rPr>
                <w:szCs w:val="20"/>
              </w:rPr>
              <w:t>Health states</w:t>
            </w:r>
          </w:p>
        </w:tc>
        <w:tc>
          <w:tcPr>
            <w:tcW w:w="7064" w:type="dxa"/>
          </w:tcPr>
          <w:p w14:paraId="4DFADFBD" w14:textId="7287C8DB" w:rsidR="00A1203F" w:rsidRPr="004C4799" w:rsidRDefault="00A1203F" w:rsidP="00CF6D1D">
            <w:pPr>
              <w:pStyle w:val="TableText"/>
              <w:keepNext/>
              <w:rPr>
                <w:szCs w:val="20"/>
              </w:rPr>
            </w:pPr>
            <w:r w:rsidRPr="004C4799">
              <w:rPr>
                <w:szCs w:val="20"/>
              </w:rPr>
              <w:t>Stable disease (Progression Free Survival), failure state (Progressed disease) and Death.</w:t>
            </w:r>
          </w:p>
        </w:tc>
      </w:tr>
      <w:tr w:rsidR="00A1203F" w:rsidRPr="007369CF" w14:paraId="574FDC4C" w14:textId="77777777" w:rsidTr="375F5CCE">
        <w:tc>
          <w:tcPr>
            <w:tcW w:w="2003" w:type="dxa"/>
            <w:vAlign w:val="center"/>
          </w:tcPr>
          <w:p w14:paraId="4D4717D2" w14:textId="2E6C78A2" w:rsidR="00A1203F" w:rsidRPr="004C4799" w:rsidRDefault="00A1203F" w:rsidP="375F5CCE">
            <w:pPr>
              <w:pStyle w:val="TableText"/>
              <w:keepNext/>
            </w:pPr>
            <w:r w:rsidRPr="375F5CCE">
              <w:t xml:space="preserve"> </w:t>
            </w:r>
            <w:proofErr w:type="spellStart"/>
            <w:r w:rsidRPr="375F5CCE">
              <w:t>HRQoL</w:t>
            </w:r>
            <w:proofErr w:type="spellEnd"/>
          </w:p>
        </w:tc>
        <w:tc>
          <w:tcPr>
            <w:tcW w:w="7064" w:type="dxa"/>
          </w:tcPr>
          <w:p w14:paraId="3B69A69C" w14:textId="125C9EFE" w:rsidR="00A1203F" w:rsidRPr="004C4799" w:rsidRDefault="00A1203F" w:rsidP="00723CBD">
            <w:pPr>
              <w:pStyle w:val="TableText"/>
              <w:keepNext/>
              <w:rPr>
                <w:szCs w:val="20"/>
              </w:rPr>
            </w:pPr>
            <w:r w:rsidRPr="004C4799">
              <w:rPr>
                <w:szCs w:val="20"/>
              </w:rPr>
              <w:t>Health state utility is based on HUI2 and HUI3 values from Portwine et al 2016 and Barr et al 1999 (as presented in the 2020 PBAC/MSAC submission).</w:t>
            </w:r>
          </w:p>
        </w:tc>
      </w:tr>
      <w:tr w:rsidR="00A1203F" w:rsidRPr="007369CF" w14:paraId="7765312D" w14:textId="77777777" w:rsidTr="375F5CCE">
        <w:tc>
          <w:tcPr>
            <w:tcW w:w="2003" w:type="dxa"/>
          </w:tcPr>
          <w:p w14:paraId="6A1C28A4" w14:textId="77777777" w:rsidR="00A1203F" w:rsidRPr="004C4799" w:rsidRDefault="00A1203F" w:rsidP="008469C4">
            <w:pPr>
              <w:pStyle w:val="TableText"/>
              <w:keepNext/>
              <w:rPr>
                <w:szCs w:val="20"/>
              </w:rPr>
            </w:pPr>
            <w:r w:rsidRPr="004C4799">
              <w:rPr>
                <w:szCs w:val="20"/>
              </w:rPr>
              <w:t>Cycle length</w:t>
            </w:r>
          </w:p>
        </w:tc>
        <w:tc>
          <w:tcPr>
            <w:tcW w:w="7064" w:type="dxa"/>
          </w:tcPr>
          <w:p w14:paraId="55500B25" w14:textId="2D02D886" w:rsidR="00A1203F" w:rsidRPr="004C4799" w:rsidRDefault="00A1203F" w:rsidP="008469C4">
            <w:pPr>
              <w:pStyle w:val="TableText"/>
              <w:keepNext/>
              <w:rPr>
                <w:szCs w:val="20"/>
              </w:rPr>
            </w:pPr>
            <w:r w:rsidRPr="004C4799">
              <w:rPr>
                <w:szCs w:val="20"/>
              </w:rPr>
              <w:t>28 days (reflective of the background chemotherapy cycles).</w:t>
            </w:r>
          </w:p>
        </w:tc>
      </w:tr>
      <w:tr w:rsidR="00A1203F" w:rsidRPr="007369CF" w14:paraId="70AF1B3D" w14:textId="77777777" w:rsidTr="375F5CCE">
        <w:tc>
          <w:tcPr>
            <w:tcW w:w="2003" w:type="dxa"/>
          </w:tcPr>
          <w:p w14:paraId="001C7992" w14:textId="77777777" w:rsidR="00A1203F" w:rsidRPr="004C4799" w:rsidRDefault="00A1203F" w:rsidP="008469C4">
            <w:pPr>
              <w:pStyle w:val="TableText"/>
              <w:keepNext/>
              <w:rPr>
                <w:szCs w:val="20"/>
              </w:rPr>
            </w:pPr>
            <w:r w:rsidRPr="004C4799">
              <w:rPr>
                <w:szCs w:val="20"/>
              </w:rPr>
              <w:t>Transition probabilities</w:t>
            </w:r>
          </w:p>
        </w:tc>
        <w:tc>
          <w:tcPr>
            <w:tcW w:w="7064" w:type="dxa"/>
          </w:tcPr>
          <w:p w14:paraId="1BB464F8" w14:textId="2A3F6750" w:rsidR="00A1203F" w:rsidRPr="004C4799" w:rsidRDefault="00A1203F" w:rsidP="008469C4">
            <w:pPr>
              <w:pStyle w:val="TableText"/>
              <w:keepNext/>
              <w:rPr>
                <w:szCs w:val="20"/>
              </w:rPr>
            </w:pPr>
            <w:r w:rsidRPr="004C4799">
              <w:rPr>
                <w:szCs w:val="20"/>
              </w:rPr>
              <w:t>Transitions in the model are based on KM data (from various data sources) and extrapolated parametric functions. In scenarios where OS is not available, it is derived from PFS data and vice versa.</w:t>
            </w:r>
          </w:p>
        </w:tc>
      </w:tr>
      <w:tr w:rsidR="00A1203F" w:rsidRPr="007369CF" w14:paraId="303B5251" w14:textId="77777777" w:rsidTr="375F5CCE">
        <w:tc>
          <w:tcPr>
            <w:tcW w:w="2003" w:type="dxa"/>
          </w:tcPr>
          <w:p w14:paraId="76CE76BA" w14:textId="25C42175" w:rsidR="00A1203F" w:rsidRPr="004C4799" w:rsidRDefault="00A1203F" w:rsidP="00CF5F0A">
            <w:pPr>
              <w:pStyle w:val="TableText"/>
              <w:keepNext/>
              <w:rPr>
                <w:szCs w:val="20"/>
              </w:rPr>
            </w:pPr>
            <w:r w:rsidRPr="004C4799">
              <w:rPr>
                <w:szCs w:val="20"/>
              </w:rPr>
              <w:t>Costs</w:t>
            </w:r>
          </w:p>
        </w:tc>
        <w:tc>
          <w:tcPr>
            <w:tcW w:w="7064" w:type="dxa"/>
          </w:tcPr>
          <w:p w14:paraId="69ADC7E3" w14:textId="70443AA0" w:rsidR="00A1203F" w:rsidRPr="004C4799" w:rsidRDefault="00A1203F" w:rsidP="00CF5F0A">
            <w:pPr>
              <w:pStyle w:val="TableText"/>
              <w:keepNext/>
              <w:rPr>
                <w:szCs w:val="20"/>
              </w:rPr>
            </w:pPr>
            <w:r w:rsidRPr="004C4799">
              <w:rPr>
                <w:szCs w:val="20"/>
              </w:rPr>
              <w:t xml:space="preserve">Estimated costs for treatment, administration, concomitant medications, monitoring, ongoing health state costs and the cost of death. </w:t>
            </w:r>
          </w:p>
        </w:tc>
      </w:tr>
      <w:tr w:rsidR="00A1203F" w:rsidRPr="007369CF" w14:paraId="3D432EAD" w14:textId="77777777" w:rsidTr="375F5CCE">
        <w:tc>
          <w:tcPr>
            <w:tcW w:w="2003" w:type="dxa"/>
          </w:tcPr>
          <w:p w14:paraId="08B4E7AD" w14:textId="77777777" w:rsidR="00A1203F" w:rsidRPr="004C4799" w:rsidRDefault="00A1203F" w:rsidP="008469C4">
            <w:pPr>
              <w:pStyle w:val="TableText"/>
              <w:keepNext/>
              <w:rPr>
                <w:szCs w:val="20"/>
              </w:rPr>
            </w:pPr>
            <w:r w:rsidRPr="004C4799">
              <w:rPr>
                <w:szCs w:val="20"/>
              </w:rPr>
              <w:t>Discount rate</w:t>
            </w:r>
          </w:p>
        </w:tc>
        <w:tc>
          <w:tcPr>
            <w:tcW w:w="7064" w:type="dxa"/>
          </w:tcPr>
          <w:p w14:paraId="1F289CB6" w14:textId="66115C9F" w:rsidR="00A1203F" w:rsidRPr="004C4799" w:rsidRDefault="00A1203F" w:rsidP="008469C4">
            <w:pPr>
              <w:pStyle w:val="TableText"/>
              <w:keepNext/>
              <w:rPr>
                <w:szCs w:val="20"/>
              </w:rPr>
            </w:pPr>
            <w:r w:rsidRPr="004C4799">
              <w:rPr>
                <w:szCs w:val="20"/>
              </w:rPr>
              <w:t>5% for both costs and outcomes</w:t>
            </w:r>
          </w:p>
        </w:tc>
      </w:tr>
      <w:tr w:rsidR="00A1203F" w:rsidRPr="007369CF" w14:paraId="3C358763" w14:textId="77777777" w:rsidTr="375F5CCE">
        <w:tc>
          <w:tcPr>
            <w:tcW w:w="2003" w:type="dxa"/>
          </w:tcPr>
          <w:p w14:paraId="55627B56" w14:textId="77777777" w:rsidR="00A1203F" w:rsidRPr="004C4799" w:rsidRDefault="00A1203F" w:rsidP="008469C4">
            <w:pPr>
              <w:pStyle w:val="TableText"/>
              <w:keepNext/>
              <w:rPr>
                <w:szCs w:val="20"/>
              </w:rPr>
            </w:pPr>
            <w:r w:rsidRPr="004C4799">
              <w:rPr>
                <w:szCs w:val="20"/>
              </w:rPr>
              <w:t>Software</w:t>
            </w:r>
          </w:p>
        </w:tc>
        <w:tc>
          <w:tcPr>
            <w:tcW w:w="7064" w:type="dxa"/>
          </w:tcPr>
          <w:p w14:paraId="3E227FF0" w14:textId="7E625DE6" w:rsidR="00A1203F" w:rsidRPr="004C4799" w:rsidRDefault="00A1203F" w:rsidP="008469C4">
            <w:pPr>
              <w:pStyle w:val="TableText"/>
              <w:keepNext/>
              <w:rPr>
                <w:szCs w:val="20"/>
              </w:rPr>
            </w:pPr>
            <w:r w:rsidRPr="004C4799">
              <w:rPr>
                <w:szCs w:val="20"/>
              </w:rPr>
              <w:t>Microsoft Excel</w:t>
            </w:r>
          </w:p>
        </w:tc>
      </w:tr>
    </w:tbl>
    <w:bookmarkEnd w:id="29"/>
    <w:p w14:paraId="209C24EF" w14:textId="22173418" w:rsidR="00C922A2" w:rsidRPr="00C64DEA" w:rsidRDefault="00C64DEA" w:rsidP="375F5CCE">
      <w:pPr>
        <w:rPr>
          <w:rFonts w:ascii="Arial Narrow" w:hAnsi="Arial Narrow"/>
          <w:sz w:val="18"/>
          <w:szCs w:val="18"/>
        </w:rPr>
      </w:pPr>
      <w:r w:rsidRPr="375F5CCE">
        <w:rPr>
          <w:rFonts w:ascii="Arial Narrow" w:hAnsi="Arial Narrow"/>
          <w:sz w:val="18"/>
          <w:szCs w:val="18"/>
        </w:rPr>
        <w:t>BSC=</w:t>
      </w:r>
      <w:r w:rsidR="009515C9" w:rsidRPr="375F5CCE">
        <w:rPr>
          <w:rFonts w:ascii="Arial Narrow" w:hAnsi="Arial Narrow"/>
          <w:sz w:val="18"/>
          <w:szCs w:val="18"/>
        </w:rPr>
        <w:t>best supportive care</w:t>
      </w:r>
      <w:r w:rsidR="00DE19A9" w:rsidRPr="375F5CCE">
        <w:rPr>
          <w:rFonts w:ascii="Arial Narrow" w:hAnsi="Arial Narrow"/>
          <w:sz w:val="18"/>
          <w:szCs w:val="18"/>
        </w:rPr>
        <w:t xml:space="preserve">; </w:t>
      </w:r>
      <w:proofErr w:type="spellStart"/>
      <w:r w:rsidR="00DE19A9" w:rsidRPr="375F5CCE">
        <w:rPr>
          <w:rFonts w:ascii="Arial Narrow" w:hAnsi="Arial Narrow"/>
          <w:sz w:val="18"/>
          <w:szCs w:val="18"/>
        </w:rPr>
        <w:t>HRQoL</w:t>
      </w:r>
      <w:proofErr w:type="spellEnd"/>
      <w:r w:rsidR="00DE19A9" w:rsidRPr="375F5CCE">
        <w:rPr>
          <w:rFonts w:ascii="Arial Narrow" w:hAnsi="Arial Narrow"/>
          <w:sz w:val="18"/>
          <w:szCs w:val="18"/>
        </w:rPr>
        <w:t>= health-related quality of life</w:t>
      </w:r>
      <w:r w:rsidR="00DC1A93" w:rsidRPr="375F5CCE">
        <w:rPr>
          <w:rFonts w:ascii="Arial Narrow" w:hAnsi="Arial Narrow"/>
          <w:sz w:val="18"/>
          <w:szCs w:val="18"/>
        </w:rPr>
        <w:t>; HUI = health utility index; KM = Kaplan-Meier; OS = overall survival; PFS = progression-free survival</w:t>
      </w:r>
    </w:p>
    <w:p w14:paraId="45B300C8" w14:textId="40806B26" w:rsidR="002E1A40" w:rsidRDefault="1C4A9E38" w:rsidP="005F558B">
      <w:pPr>
        <w:spacing w:after="240"/>
      </w:pPr>
      <w:r>
        <w:t>T</w:t>
      </w:r>
      <w:r w:rsidR="62567DF6">
        <w:t>he</w:t>
      </w:r>
      <w:r w:rsidR="0FE0C3C0">
        <w:t xml:space="preserve">re </w:t>
      </w:r>
      <w:r w:rsidR="0507AE26">
        <w:t>was</w:t>
      </w:r>
      <w:r w:rsidR="170D5F0A">
        <w:t xml:space="preserve"> </w:t>
      </w:r>
      <w:r w:rsidR="62567DF6">
        <w:t xml:space="preserve">paucity of clinical evidence for the comparative </w:t>
      </w:r>
      <w:r w:rsidR="38D1EB78">
        <w:t xml:space="preserve">effectiveness and safety </w:t>
      </w:r>
      <w:r w:rsidR="62567DF6">
        <w:t xml:space="preserve">of </w:t>
      </w:r>
      <w:r w:rsidR="17B037FD">
        <w:t>DB</w:t>
      </w:r>
      <w:r w:rsidR="62567DF6">
        <w:t xml:space="preserve"> + chemotherapy and the nominated comparator of TEMIRI or TOTEM</w:t>
      </w:r>
      <w:r w:rsidR="3B21A44B">
        <w:t xml:space="preserve">. </w:t>
      </w:r>
      <w:r w:rsidR="737E2F4C">
        <w:t xml:space="preserve">The </w:t>
      </w:r>
      <w:r w:rsidR="38D1EB78">
        <w:t xml:space="preserve">ADAR </w:t>
      </w:r>
      <w:r w:rsidR="737E2F4C">
        <w:t xml:space="preserve">acknowledged </w:t>
      </w:r>
      <w:r w:rsidR="24227CD2">
        <w:t xml:space="preserve">the lack of comparative data </w:t>
      </w:r>
      <w:r w:rsidR="36085FF9">
        <w:t xml:space="preserve">making it </w:t>
      </w:r>
      <w:r w:rsidR="24227CD2">
        <w:t xml:space="preserve">necessary </w:t>
      </w:r>
      <w:r w:rsidR="36085FF9">
        <w:t>“</w:t>
      </w:r>
      <w:r w:rsidR="24227CD2">
        <w:t>to either interpolate PFS from OS (or OS from PFS, depending on the data source), or alternatively to combine different sources of PFS and OS data</w:t>
      </w:r>
      <w:r w:rsidR="36085FF9">
        <w:t>”</w:t>
      </w:r>
      <w:r w:rsidR="24227CD2">
        <w:t>.</w:t>
      </w:r>
      <w:r w:rsidR="14657C74" w:rsidRPr="149474C2">
        <w:rPr>
          <w:color w:val="0070C0"/>
        </w:rPr>
        <w:t xml:space="preserve"> </w:t>
      </w:r>
      <w:r w:rsidR="5A846BA6">
        <w:t xml:space="preserve">The </w:t>
      </w:r>
      <w:r w:rsidR="38D1EB78">
        <w:t xml:space="preserve">ADAR </w:t>
      </w:r>
      <w:r w:rsidR="6AA26D97">
        <w:t xml:space="preserve">described </w:t>
      </w:r>
      <w:r w:rsidR="5A846BA6">
        <w:t xml:space="preserve">that </w:t>
      </w:r>
      <w:r w:rsidR="453A20CC">
        <w:t xml:space="preserve">OS data from the </w:t>
      </w:r>
      <w:r w:rsidR="135762D7">
        <w:t>BEACON-</w:t>
      </w:r>
      <w:proofErr w:type="spellStart"/>
      <w:r w:rsidR="135762D7">
        <w:t>Immuno</w:t>
      </w:r>
      <w:proofErr w:type="spellEnd"/>
      <w:r w:rsidR="5A846BA6">
        <w:t xml:space="preserve"> </w:t>
      </w:r>
      <w:r w:rsidR="453A20CC">
        <w:t xml:space="preserve">trial </w:t>
      </w:r>
      <w:r w:rsidR="56B40CBD">
        <w:t xml:space="preserve">are </w:t>
      </w:r>
      <w:r w:rsidR="5A846BA6">
        <w:t xml:space="preserve">impacted by early crossover from the control arm to </w:t>
      </w:r>
      <w:r w:rsidR="38D1EB78">
        <w:t xml:space="preserve">DB </w:t>
      </w:r>
      <w:r w:rsidR="5A846BA6">
        <w:t xml:space="preserve">(allowed after 2 cycles of treatment), and 12 patients out of 22 in the control arm crossed over. The </w:t>
      </w:r>
      <w:r w:rsidR="38D1EB78">
        <w:t xml:space="preserve">ADAR </w:t>
      </w:r>
      <w:r w:rsidR="5A846BA6">
        <w:t>also stated that it was not possible to analyse the impact of crossover using any accepted statistical means</w:t>
      </w:r>
      <w:r w:rsidR="53AE4A48">
        <w:t>,</w:t>
      </w:r>
      <w:r w:rsidR="5A846BA6">
        <w:t xml:space="preserve"> e.g. inverse probability of censoring of weights (IPCW) or by separately analysing the crossover </w:t>
      </w:r>
      <w:r w:rsidR="18085048">
        <w:t>versus</w:t>
      </w:r>
      <w:r w:rsidR="5A846BA6">
        <w:t xml:space="preserve"> non-crossover control patients.</w:t>
      </w:r>
      <w:r w:rsidR="2F82E48F">
        <w:t xml:space="preserve"> </w:t>
      </w:r>
    </w:p>
    <w:p w14:paraId="4AFAD78C" w14:textId="1EA189F2" w:rsidR="00EA7284" w:rsidRDefault="005E0917" w:rsidP="005F558B">
      <w:pPr>
        <w:spacing w:after="240"/>
      </w:pPr>
      <w:r>
        <w:t xml:space="preserve">To compensate for the paucity of comparative clinical evidence supporting the </w:t>
      </w:r>
      <w:r w:rsidR="00BE27A2">
        <w:t xml:space="preserve">superiority </w:t>
      </w:r>
      <w:r>
        <w:t xml:space="preserve">claim of </w:t>
      </w:r>
      <w:r w:rsidR="00D47687">
        <w:t>D</w:t>
      </w:r>
      <w:r>
        <w:t xml:space="preserve">B + chemotherapy, the </w:t>
      </w:r>
      <w:r w:rsidR="00D47687">
        <w:t xml:space="preserve">ADAR </w:t>
      </w:r>
      <w:r>
        <w:t xml:space="preserve">complemented </w:t>
      </w:r>
      <w:r w:rsidR="00D47687">
        <w:t xml:space="preserve">data </w:t>
      </w:r>
      <w:r>
        <w:t xml:space="preserve">from </w:t>
      </w:r>
      <w:r w:rsidR="00DB78B4">
        <w:t xml:space="preserve">the key </w:t>
      </w:r>
      <w:r w:rsidR="00C510FD">
        <w:t>BEACON-</w:t>
      </w:r>
      <w:proofErr w:type="spellStart"/>
      <w:r w:rsidR="00C510FD">
        <w:t>Immuno</w:t>
      </w:r>
      <w:proofErr w:type="spellEnd"/>
      <w:r>
        <w:t xml:space="preserve"> </w:t>
      </w:r>
      <w:r w:rsidR="00DB78B4">
        <w:t xml:space="preserve">trial </w:t>
      </w:r>
      <w:r>
        <w:t xml:space="preserve">with data from two comparative studies of </w:t>
      </w:r>
      <w:r w:rsidR="00D47687">
        <w:t>D</w:t>
      </w:r>
      <w:r>
        <w:t>A</w:t>
      </w:r>
      <w:r w:rsidR="00A50889">
        <w:t xml:space="preserve"> </w:t>
      </w:r>
      <w:r>
        <w:t>+ chemotherapy</w:t>
      </w:r>
      <w:r w:rsidR="0005396C">
        <w:t xml:space="preserve"> </w:t>
      </w:r>
      <w:r>
        <w:t>(ANBL 1221 and SCH 2024) and from</w:t>
      </w:r>
      <w:r w:rsidR="00D47687">
        <w:t xml:space="preserve"> </w:t>
      </w:r>
      <w:r>
        <w:t xml:space="preserve">observational cohorts. </w:t>
      </w:r>
      <w:r w:rsidR="00284E1B">
        <w:t xml:space="preserve">The rationale for selecting one study </w:t>
      </w:r>
      <w:r w:rsidR="15213568">
        <w:t xml:space="preserve">or the other </w:t>
      </w:r>
      <w:r w:rsidR="00284E1B">
        <w:t xml:space="preserve">to parameterise </w:t>
      </w:r>
      <w:r w:rsidR="004C4799">
        <w:t>PFS</w:t>
      </w:r>
      <w:r w:rsidR="000900C4">
        <w:t xml:space="preserve"> </w:t>
      </w:r>
      <w:r w:rsidR="00284E1B">
        <w:t xml:space="preserve">or OS curves in either the </w:t>
      </w:r>
      <w:r w:rsidR="00D47687">
        <w:t>DB/DA</w:t>
      </w:r>
      <w:r w:rsidR="00284E1B">
        <w:t xml:space="preserve"> + chemotherapy arm or </w:t>
      </w:r>
      <w:r w:rsidR="00A50889">
        <w:t xml:space="preserve">the </w:t>
      </w:r>
      <w:r w:rsidR="00284E1B">
        <w:t>comparator arm was not clearly explained</w:t>
      </w:r>
      <w:r w:rsidR="009F1717">
        <w:t>;</w:t>
      </w:r>
      <w:r w:rsidR="00284E1B">
        <w:t xml:space="preserve"> however</w:t>
      </w:r>
      <w:r w:rsidR="009F1717">
        <w:t>,</w:t>
      </w:r>
      <w:r w:rsidR="00284E1B">
        <w:t xml:space="preserve"> </w:t>
      </w:r>
      <w:r w:rsidR="00640885">
        <w:t xml:space="preserve">it </w:t>
      </w:r>
      <w:r w:rsidR="00284E1B">
        <w:t xml:space="preserve">seems to </w:t>
      </w:r>
      <w:r w:rsidR="00640885">
        <w:t>have been</w:t>
      </w:r>
      <w:r w:rsidR="00284E1B">
        <w:t xml:space="preserve"> driven by statistical considerations (statistical significance of </w:t>
      </w:r>
      <w:r w:rsidR="009F1717">
        <w:t>HR</w:t>
      </w:r>
      <w:r w:rsidR="00284E1B">
        <w:t xml:space="preserve">) rather than clinical, biological or data quality considerations. </w:t>
      </w:r>
      <w:r w:rsidR="00D15678">
        <w:t>All</w:t>
      </w:r>
      <w:r w:rsidR="00495FB9">
        <w:t xml:space="preserve"> </w:t>
      </w:r>
      <w:r w:rsidR="00AC5358">
        <w:t>ICER</w:t>
      </w:r>
      <w:r w:rsidR="009606FB">
        <w:t xml:space="preserve"> estimate</w:t>
      </w:r>
      <w:r w:rsidR="00495FB9">
        <w:t>s</w:t>
      </w:r>
      <w:r w:rsidR="009606FB">
        <w:t xml:space="preserve"> </w:t>
      </w:r>
      <w:r w:rsidR="00D15678">
        <w:t xml:space="preserve">in the </w:t>
      </w:r>
      <w:r w:rsidR="00E65FE1">
        <w:t xml:space="preserve">ADAR </w:t>
      </w:r>
      <w:r w:rsidR="009F1717">
        <w:t>we</w:t>
      </w:r>
      <w:r w:rsidR="00A0378F">
        <w:t>re derived from n</w:t>
      </w:r>
      <w:r w:rsidR="006503C0">
        <w:t>umerous variation</w:t>
      </w:r>
      <w:r w:rsidR="00A0378F">
        <w:t>s</w:t>
      </w:r>
      <w:r w:rsidR="006503C0">
        <w:t xml:space="preserve"> of </w:t>
      </w:r>
      <w:r w:rsidR="00243B0E">
        <w:t>the same PSM</w:t>
      </w:r>
      <w:r w:rsidR="00EA70FB">
        <w:t>,</w:t>
      </w:r>
      <w:r w:rsidR="004B744F">
        <w:t xml:space="preserve"> </w:t>
      </w:r>
      <w:r w:rsidR="00850503">
        <w:t>by</w:t>
      </w:r>
      <w:r w:rsidR="005A261F">
        <w:t xml:space="preserve"> choosing a data source</w:t>
      </w:r>
      <w:r w:rsidR="001C5CA7">
        <w:t xml:space="preserve"> and the best-fitting parametric distribution</w:t>
      </w:r>
      <w:r w:rsidR="00487D0B">
        <w:t xml:space="preserve"> via an </w:t>
      </w:r>
      <w:r w:rsidR="002C0E24">
        <w:t>Excel</w:t>
      </w:r>
      <w:r w:rsidR="00487D0B">
        <w:t xml:space="preserve"> toggle option</w:t>
      </w:r>
      <w:r w:rsidR="00E05D7F">
        <w:t>.</w:t>
      </w:r>
    </w:p>
    <w:p w14:paraId="2401E8A4" w14:textId="77777777" w:rsidR="009F1717" w:rsidRDefault="006842FD" w:rsidP="000621C9">
      <w:pPr>
        <w:keepNext/>
        <w:keepLines/>
        <w:spacing w:after="240"/>
      </w:pPr>
      <w:r>
        <w:lastRenderedPageBreak/>
        <w:t xml:space="preserve">The </w:t>
      </w:r>
      <w:r w:rsidR="00D47687">
        <w:t>ADAR</w:t>
      </w:r>
      <w:r w:rsidR="00A27EE7" w:rsidRPr="0090188E">
        <w:t xml:space="preserve"> presented two modelling </w:t>
      </w:r>
      <w:r>
        <w:t>methods:</w:t>
      </w:r>
      <w:r w:rsidR="00A27EE7" w:rsidRPr="0090188E">
        <w:t xml:space="preserve"> </w:t>
      </w:r>
    </w:p>
    <w:p w14:paraId="251C8907" w14:textId="0454C768" w:rsidR="009F1717" w:rsidRPr="00590F18" w:rsidRDefault="009F1717" w:rsidP="000621C9">
      <w:pPr>
        <w:pStyle w:val="ListParagraph"/>
        <w:keepNext/>
        <w:keepLines/>
        <w:numPr>
          <w:ilvl w:val="0"/>
          <w:numId w:val="19"/>
        </w:numPr>
        <w:spacing w:after="240"/>
        <w:rPr>
          <w:color w:val="0070C0"/>
        </w:rPr>
      </w:pPr>
      <w:r>
        <w:t>A</w:t>
      </w:r>
      <w:r w:rsidR="00511937" w:rsidRPr="0090188E">
        <w:t>ggregating</w:t>
      </w:r>
      <w:r w:rsidR="00277197" w:rsidRPr="0090188E">
        <w:t xml:space="preserve"> digitalised individual </w:t>
      </w:r>
      <w:r w:rsidR="00D87203" w:rsidRPr="0090188E">
        <w:t xml:space="preserve">patient </w:t>
      </w:r>
      <w:r w:rsidR="00277197" w:rsidRPr="0090188E">
        <w:t>observations</w:t>
      </w:r>
      <w:r w:rsidR="00D87203" w:rsidRPr="0090188E">
        <w:t xml:space="preserve"> across the </w:t>
      </w:r>
      <w:r w:rsidR="003C4C05" w:rsidRPr="005F558B">
        <w:rPr>
          <w:iCs/>
        </w:rPr>
        <w:t>selected</w:t>
      </w:r>
      <w:r w:rsidR="003C4C05" w:rsidRPr="0090188E">
        <w:t xml:space="preserve"> </w:t>
      </w:r>
      <w:r w:rsidR="00D87203" w:rsidRPr="0090188E">
        <w:t>studies</w:t>
      </w:r>
      <w:r w:rsidR="00277197" w:rsidRPr="0090188E">
        <w:t xml:space="preserve"> </w:t>
      </w:r>
      <w:r w:rsidR="00CC07F9" w:rsidRPr="0090188E">
        <w:t>to</w:t>
      </w:r>
      <w:r w:rsidR="003C4C05" w:rsidRPr="0090188E">
        <w:t xml:space="preserve"> </w:t>
      </w:r>
      <w:r w:rsidR="005F489F">
        <w:t>inform</w:t>
      </w:r>
      <w:r w:rsidR="00A27EE7" w:rsidRPr="0090188E">
        <w:t xml:space="preserve"> </w:t>
      </w:r>
      <w:r w:rsidR="00D47687">
        <w:t>PFS</w:t>
      </w:r>
      <w:r w:rsidR="00A27EE7" w:rsidRPr="0090188E">
        <w:t xml:space="preserve"> and </w:t>
      </w:r>
      <w:r w:rsidR="00D47687">
        <w:t>OS</w:t>
      </w:r>
      <w:r w:rsidR="00BB14DB">
        <w:t xml:space="preserve"> in both arms of the model</w:t>
      </w:r>
      <w:r>
        <w:t>.</w:t>
      </w:r>
      <w:r w:rsidR="00BB14DB">
        <w:t xml:space="preserve"> </w:t>
      </w:r>
    </w:p>
    <w:p w14:paraId="692735C4" w14:textId="43729A67" w:rsidR="005E1231" w:rsidRPr="00D41AED" w:rsidRDefault="009F1717" w:rsidP="00EE5979">
      <w:pPr>
        <w:pStyle w:val="ListParagraph"/>
        <w:numPr>
          <w:ilvl w:val="0"/>
          <w:numId w:val="19"/>
        </w:numPr>
        <w:spacing w:after="240"/>
        <w:rPr>
          <w:color w:val="0070C0"/>
        </w:rPr>
      </w:pPr>
      <w:r>
        <w:t>I</w:t>
      </w:r>
      <w:r w:rsidR="00A27EE7" w:rsidRPr="0090188E">
        <w:t xml:space="preserve">nterpolating </w:t>
      </w:r>
      <w:r w:rsidR="00A96478">
        <w:t xml:space="preserve">missing </w:t>
      </w:r>
      <w:r w:rsidR="00A96478" w:rsidRPr="0090188E">
        <w:t xml:space="preserve">OS from </w:t>
      </w:r>
      <w:r w:rsidR="00A27EE7" w:rsidRPr="0090188E">
        <w:t xml:space="preserve">PFS (or </w:t>
      </w:r>
      <w:r w:rsidR="00A96478" w:rsidRPr="0090188E">
        <w:t xml:space="preserve">PFS from </w:t>
      </w:r>
      <w:r w:rsidR="00A27EE7" w:rsidRPr="0090188E">
        <w:t>OS</w:t>
      </w:r>
      <w:r w:rsidR="000277CD">
        <w:t>)</w:t>
      </w:r>
      <w:r w:rsidR="00903C21">
        <w:t>.</w:t>
      </w:r>
      <w:r w:rsidR="00C04F37" w:rsidRPr="0090188E">
        <w:t xml:space="preserve"> </w:t>
      </w:r>
    </w:p>
    <w:p w14:paraId="4F052DBF" w14:textId="51A96B87" w:rsidR="00D91D91" w:rsidRDefault="001100F4" w:rsidP="005F558B">
      <w:pPr>
        <w:spacing w:after="240"/>
      </w:pPr>
      <w:bookmarkStart w:id="30" w:name="_Hlk183609451"/>
      <w:r>
        <w:rPr>
          <w:u w:val="single"/>
        </w:rPr>
        <w:t>Method 1</w:t>
      </w:r>
      <w:r w:rsidR="00527CE7" w:rsidRPr="0096359D">
        <w:rPr>
          <w:u w:val="single"/>
        </w:rPr>
        <w:t xml:space="preserve">: combining different </w:t>
      </w:r>
      <w:r w:rsidR="00266364" w:rsidRPr="0096359D">
        <w:rPr>
          <w:u w:val="single"/>
        </w:rPr>
        <w:t xml:space="preserve">data </w:t>
      </w:r>
      <w:r w:rsidR="00527CE7" w:rsidRPr="0096359D">
        <w:rPr>
          <w:u w:val="single"/>
        </w:rPr>
        <w:t xml:space="preserve">sources </w:t>
      </w:r>
      <w:r w:rsidR="00266364">
        <w:rPr>
          <w:u w:val="single"/>
        </w:rPr>
        <w:t>to estimate</w:t>
      </w:r>
      <w:r w:rsidR="00527CE7" w:rsidRPr="0096359D">
        <w:rPr>
          <w:u w:val="single"/>
        </w:rPr>
        <w:t xml:space="preserve"> PFS and OS</w:t>
      </w:r>
      <w:bookmarkEnd w:id="30"/>
      <w:r w:rsidR="00527CE7">
        <w:t xml:space="preserve">. </w:t>
      </w:r>
    </w:p>
    <w:p w14:paraId="71225A55" w14:textId="67654666" w:rsidR="00B425B2" w:rsidRDefault="00D91D91" w:rsidP="005F558B">
      <w:pPr>
        <w:spacing w:after="240"/>
      </w:pPr>
      <w:r>
        <w:t xml:space="preserve">The </w:t>
      </w:r>
      <w:r w:rsidR="00017CA3">
        <w:t>evidence</w:t>
      </w:r>
      <w:r w:rsidR="00FD79CC">
        <w:t xml:space="preserve"> that </w:t>
      </w:r>
      <w:r w:rsidR="00FD79CC" w:rsidRPr="005F558B">
        <w:rPr>
          <w:iCs/>
        </w:rPr>
        <w:t>the</w:t>
      </w:r>
      <w:r w:rsidR="00FD79CC">
        <w:t xml:space="preserve"> </w:t>
      </w:r>
      <w:r w:rsidR="00D47687">
        <w:t xml:space="preserve">ADAR </w:t>
      </w:r>
      <w:r w:rsidR="00FD79CC">
        <w:t xml:space="preserve">considered relevant for the </w:t>
      </w:r>
      <w:r w:rsidR="00E65FE1">
        <w:t xml:space="preserve">PSM </w:t>
      </w:r>
      <w:r w:rsidR="00017CA3">
        <w:t>consists of</w:t>
      </w:r>
      <w:r w:rsidR="00CC6CA9">
        <w:t>:</w:t>
      </w:r>
    </w:p>
    <w:p w14:paraId="2916E8BE" w14:textId="7A85F479" w:rsidR="007878E1" w:rsidRDefault="00C510FD" w:rsidP="00EE5979">
      <w:pPr>
        <w:pStyle w:val="ListParagraph"/>
        <w:numPr>
          <w:ilvl w:val="0"/>
          <w:numId w:val="10"/>
        </w:numPr>
        <w:spacing w:after="240"/>
        <w:ind w:left="284" w:hanging="284"/>
      </w:pPr>
      <w:r w:rsidRPr="375F5CCE">
        <w:t>BEACON-</w:t>
      </w:r>
      <w:proofErr w:type="spellStart"/>
      <w:r w:rsidRPr="375F5CCE">
        <w:t>Immuno</w:t>
      </w:r>
      <w:proofErr w:type="spellEnd"/>
      <w:r w:rsidR="00D91D91" w:rsidRPr="375F5CCE">
        <w:t xml:space="preserve"> phase II RCT (Gray 2022, N=65)</w:t>
      </w:r>
      <w:r w:rsidR="007A64FC" w:rsidRPr="375F5CCE">
        <w:t xml:space="preserve">; </w:t>
      </w:r>
      <w:r w:rsidR="00BF4F49" w:rsidRPr="375F5CCE">
        <w:t>used to estimate parameters</w:t>
      </w:r>
      <w:r w:rsidR="00187A45" w:rsidRPr="375F5CCE">
        <w:t xml:space="preserve"> </w:t>
      </w:r>
      <w:r w:rsidR="0096517E" w:rsidRPr="375F5CCE">
        <w:t xml:space="preserve">of </w:t>
      </w:r>
      <w:r w:rsidR="00187A45" w:rsidRPr="375F5CCE">
        <w:t>PFS curves in both the intervention</w:t>
      </w:r>
      <w:r w:rsidR="00673EC7" w:rsidRPr="375F5CCE">
        <w:t xml:space="preserve"> (N=43) </w:t>
      </w:r>
      <w:r w:rsidR="00187A45" w:rsidRPr="375F5CCE">
        <w:t xml:space="preserve">and </w:t>
      </w:r>
      <w:r w:rsidR="001A6979" w:rsidRPr="375F5CCE">
        <w:t xml:space="preserve">the </w:t>
      </w:r>
      <w:r w:rsidR="00187A45" w:rsidRPr="375F5CCE">
        <w:t>comparator arms</w:t>
      </w:r>
      <w:r w:rsidR="00673EC7" w:rsidRPr="375F5CCE">
        <w:t xml:space="preserve"> (N=22)</w:t>
      </w:r>
      <w:r w:rsidR="001E6EC1" w:rsidRPr="375F5CCE">
        <w:t>.</w:t>
      </w:r>
    </w:p>
    <w:p w14:paraId="6AB9E5C1" w14:textId="2D474001" w:rsidR="001436DA" w:rsidRDefault="007878E1" w:rsidP="00EE5979">
      <w:pPr>
        <w:pStyle w:val="ListParagraph"/>
        <w:numPr>
          <w:ilvl w:val="0"/>
          <w:numId w:val="10"/>
        </w:numPr>
        <w:spacing w:after="240"/>
        <w:ind w:left="284" w:hanging="284"/>
      </w:pPr>
      <w:r w:rsidRPr="375F5CCE">
        <w:t>Wieczorek (2023, N=25)</w:t>
      </w:r>
      <w:r w:rsidR="007A64FC" w:rsidRPr="375F5CCE">
        <w:t xml:space="preserve">; </w:t>
      </w:r>
      <w:r w:rsidR="00370F87" w:rsidRPr="375F5CCE">
        <w:t xml:space="preserve">used for PFS in </w:t>
      </w:r>
      <w:r w:rsidR="0076292D" w:rsidRPr="375F5CCE">
        <w:t xml:space="preserve">the </w:t>
      </w:r>
      <w:r w:rsidR="007A64FC" w:rsidRPr="375F5CCE">
        <w:t>D</w:t>
      </w:r>
      <w:r w:rsidR="00370F87" w:rsidRPr="375F5CCE">
        <w:t>B arm</w:t>
      </w:r>
      <w:r w:rsidR="00336338" w:rsidRPr="375F5CCE">
        <w:t xml:space="preserve"> either on its own or in combination with </w:t>
      </w:r>
      <w:r w:rsidR="00C510FD" w:rsidRPr="375F5CCE">
        <w:t>BEACON-</w:t>
      </w:r>
      <w:proofErr w:type="spellStart"/>
      <w:r w:rsidR="00C510FD" w:rsidRPr="375F5CCE">
        <w:t>Immuno</w:t>
      </w:r>
      <w:proofErr w:type="spellEnd"/>
      <w:r w:rsidR="00F56C12" w:rsidRPr="375F5CCE">
        <w:t xml:space="preserve"> as in the base case</w:t>
      </w:r>
      <w:r w:rsidR="00540776" w:rsidRPr="375F5CCE">
        <w:t>.</w:t>
      </w:r>
      <w:r w:rsidRPr="375F5CCE">
        <w:t xml:space="preserve"> </w:t>
      </w:r>
    </w:p>
    <w:p w14:paraId="048C1456" w14:textId="38291B24" w:rsidR="00C81B5E" w:rsidRPr="001E6EC1" w:rsidRDefault="231D1D70" w:rsidP="00EE5979">
      <w:pPr>
        <w:pStyle w:val="ListParagraph"/>
        <w:numPr>
          <w:ilvl w:val="0"/>
          <w:numId w:val="10"/>
        </w:numPr>
        <w:spacing w:after="240"/>
        <w:ind w:left="284" w:hanging="284"/>
      </w:pPr>
      <w:r>
        <w:t xml:space="preserve">PFS in the </w:t>
      </w:r>
      <w:r w:rsidR="7B063938">
        <w:t xml:space="preserve">comparator arm </w:t>
      </w:r>
      <w:r w:rsidR="60F5C63A">
        <w:t>was informed by</w:t>
      </w:r>
      <w:r w:rsidR="65FF348E">
        <w:t xml:space="preserve"> </w:t>
      </w:r>
      <w:r w:rsidR="134218B6">
        <w:t xml:space="preserve">the entire </w:t>
      </w:r>
      <w:r w:rsidR="2C9651F6">
        <w:t xml:space="preserve">dataset </w:t>
      </w:r>
      <w:r w:rsidR="1D81B1A2">
        <w:t>from</w:t>
      </w:r>
      <w:r w:rsidR="2C9651F6">
        <w:t xml:space="preserve"> the studies that </w:t>
      </w:r>
      <w:r w:rsidR="73BF4017">
        <w:t>used chemotherapy regimens</w:t>
      </w:r>
      <w:r w:rsidR="2C9651F6">
        <w:t xml:space="preserve">, whether </w:t>
      </w:r>
      <w:r w:rsidR="665B202C">
        <w:t xml:space="preserve">consisting </w:t>
      </w:r>
      <w:r w:rsidR="2F1D75BA">
        <w:t xml:space="preserve">solely </w:t>
      </w:r>
      <w:r w:rsidR="665B202C">
        <w:t>of</w:t>
      </w:r>
      <w:r w:rsidR="6DA38E0B">
        <w:t xml:space="preserve"> TOTEM and TEMIRI, as in the </w:t>
      </w:r>
      <w:r w:rsidR="135762D7">
        <w:t>BEACON-</w:t>
      </w:r>
      <w:proofErr w:type="spellStart"/>
      <w:r w:rsidR="135762D7">
        <w:t>Immuno</w:t>
      </w:r>
      <w:proofErr w:type="spellEnd"/>
      <w:r w:rsidR="6DA38E0B">
        <w:t xml:space="preserve"> comparator arm</w:t>
      </w:r>
      <w:r w:rsidR="395F0990">
        <w:t>,</w:t>
      </w:r>
      <w:r w:rsidR="2F1D75BA">
        <w:t xml:space="preserve"> or in combination </w:t>
      </w:r>
      <w:r w:rsidR="21ACEB0C">
        <w:t xml:space="preserve">with different drugs. </w:t>
      </w:r>
      <w:r w:rsidR="7BE0819E">
        <w:t xml:space="preserve">In </w:t>
      </w:r>
      <w:r w:rsidR="21ACEB0C">
        <w:t xml:space="preserve">the </w:t>
      </w:r>
      <w:r w:rsidR="7BE0819E">
        <w:t>base case</w:t>
      </w:r>
      <w:r w:rsidR="4843F99F">
        <w:t>,</w:t>
      </w:r>
      <w:r w:rsidR="7BE0819E">
        <w:t xml:space="preserve"> </w:t>
      </w:r>
      <w:r w:rsidR="21ACEB0C">
        <w:t>pooled PFS data from six studies</w:t>
      </w:r>
      <w:r w:rsidR="4843F99F">
        <w:t xml:space="preserve"> w</w:t>
      </w:r>
      <w:r w:rsidR="56B40CBD">
        <w:t>ere</w:t>
      </w:r>
      <w:r w:rsidR="4843F99F">
        <w:t xml:space="preserve"> used</w:t>
      </w:r>
      <w:r w:rsidR="2823B7E5">
        <w:t>:</w:t>
      </w:r>
      <w:r w:rsidR="73BF4017">
        <w:t xml:space="preserve"> </w:t>
      </w:r>
      <w:r w:rsidR="7B063938">
        <w:t xml:space="preserve">comparator arms from the ANBL 1221 (Mody 2017, N=18) and </w:t>
      </w:r>
      <w:r w:rsidR="135762D7">
        <w:t>BEACON-</w:t>
      </w:r>
      <w:proofErr w:type="spellStart"/>
      <w:r w:rsidR="135762D7">
        <w:t>Immuno</w:t>
      </w:r>
      <w:proofErr w:type="spellEnd"/>
      <w:r w:rsidR="7B063938">
        <w:t xml:space="preserve"> (N=22); TOTEM and TEMIRI arms from BEACON</w:t>
      </w:r>
      <w:r w:rsidR="4E040AE4">
        <w:t>-</w:t>
      </w:r>
      <w:r w:rsidR="7B063938">
        <w:t xml:space="preserve">1 (Moreno 2024, N=80), and the single-arm studies by </w:t>
      </w:r>
      <w:proofErr w:type="spellStart"/>
      <w:r w:rsidR="38D2917F">
        <w:t>Bagatell</w:t>
      </w:r>
      <w:proofErr w:type="spellEnd"/>
      <w:r w:rsidR="7B063938">
        <w:t xml:space="preserve"> (2011, N=55), Di </w:t>
      </w:r>
      <w:proofErr w:type="spellStart"/>
      <w:r w:rsidR="7B063938">
        <w:t>Giannatale</w:t>
      </w:r>
      <w:proofErr w:type="spellEnd"/>
      <w:r w:rsidR="7B063938">
        <w:t xml:space="preserve"> (2014, N=38) and </w:t>
      </w:r>
      <w:bookmarkStart w:id="31" w:name="_Hlk183188214"/>
      <w:r w:rsidR="7B063938">
        <w:t>DuBois</w:t>
      </w:r>
      <w:bookmarkEnd w:id="31"/>
      <w:r w:rsidR="7B063938">
        <w:t xml:space="preserve"> (2018, N=32). </w:t>
      </w:r>
      <w:r w:rsidR="3BA72EDE">
        <w:t xml:space="preserve">In </w:t>
      </w:r>
      <w:r w:rsidR="53AA0DBD">
        <w:t>alternative</w:t>
      </w:r>
      <w:r w:rsidR="3BA72EDE">
        <w:t xml:space="preserve"> versions of the model</w:t>
      </w:r>
      <w:r w:rsidR="224143E2">
        <w:t>,</w:t>
      </w:r>
      <w:r w:rsidR="3BA72EDE">
        <w:t xml:space="preserve"> </w:t>
      </w:r>
      <w:r w:rsidR="224143E2">
        <w:t>e</w:t>
      </w:r>
      <w:r w:rsidR="08D542FA">
        <w:t>ach of the</w:t>
      </w:r>
      <w:r w:rsidR="224143E2">
        <w:t>se</w:t>
      </w:r>
      <w:r w:rsidR="08D542FA">
        <w:t xml:space="preserve"> studies could be used </w:t>
      </w:r>
      <w:r w:rsidR="30921302">
        <w:t xml:space="preserve">on its own </w:t>
      </w:r>
      <w:r w:rsidR="08D542FA">
        <w:t>to inform PFS in the comp</w:t>
      </w:r>
      <w:r w:rsidR="30921302">
        <w:t>arator arm</w:t>
      </w:r>
      <w:r w:rsidR="0305DD70">
        <w:t xml:space="preserve">. </w:t>
      </w:r>
      <w:r w:rsidR="00C83CDA">
        <w:fldChar w:fldCharType="begin"/>
      </w:r>
      <w:r w:rsidR="00C83CDA">
        <w:instrText xml:space="preserve"> REF _Ref184183788 \h  \* MERGEFORMAT </w:instrText>
      </w:r>
      <w:r w:rsidR="00C83CDA">
        <w:fldChar w:fldCharType="separate"/>
      </w:r>
      <w:r w:rsidR="7A001FCE">
        <w:t>Figure 3</w:t>
      </w:r>
      <w:r w:rsidR="00C83CDA">
        <w:fldChar w:fldCharType="end"/>
      </w:r>
      <w:r w:rsidR="0305DD70">
        <w:t xml:space="preserve"> presents the </w:t>
      </w:r>
      <w:r w:rsidR="4A6789DE">
        <w:t xml:space="preserve">modelled </w:t>
      </w:r>
      <w:r w:rsidR="0305DD70">
        <w:t xml:space="preserve">KM curves </w:t>
      </w:r>
      <w:r w:rsidR="4A6789DE">
        <w:t>for</w:t>
      </w:r>
      <w:r w:rsidR="0305DD70">
        <w:t xml:space="preserve"> PFS for the comparator arm across the </w:t>
      </w:r>
      <w:r w:rsidR="4A6789DE">
        <w:t>various</w:t>
      </w:r>
      <w:r w:rsidR="0305DD70">
        <w:t xml:space="preserve"> studies. </w:t>
      </w:r>
      <w:r w:rsidR="4A6789DE">
        <w:t>The commentary considered that p</w:t>
      </w:r>
      <w:r w:rsidR="0305DD70">
        <w:t>ooling these data in the base case analysis call</w:t>
      </w:r>
      <w:r w:rsidR="5AB3BB30">
        <w:t>s</w:t>
      </w:r>
      <w:r w:rsidR="0305DD70">
        <w:t xml:space="preserve"> into question the study selection criteria (see heterogeneity concerns </w:t>
      </w:r>
      <w:r w:rsidR="0DF27A3D">
        <w:t>below</w:t>
      </w:r>
      <w:r w:rsidR="0305DD70">
        <w:t>) and challenges the validity of the parameter estimates used to model PFS based on these sources.</w:t>
      </w:r>
    </w:p>
    <w:p w14:paraId="0CF4DE51" w14:textId="53B2378D" w:rsidR="00C81B5E" w:rsidRPr="0052532F" w:rsidRDefault="00C81B5E" w:rsidP="000900C4">
      <w:pPr>
        <w:pStyle w:val="Caption"/>
        <w:ind w:left="284"/>
      </w:pPr>
      <w:bookmarkStart w:id="32" w:name="_Ref184183788"/>
      <w:r w:rsidRPr="0052532F">
        <w:t xml:space="preserve">Figure </w:t>
      </w:r>
      <w:r>
        <w:fldChar w:fldCharType="begin"/>
      </w:r>
      <w:r>
        <w:instrText>SEQ Figure \* ARABIC</w:instrText>
      </w:r>
      <w:r>
        <w:fldChar w:fldCharType="separate"/>
      </w:r>
      <w:r w:rsidR="00C02A66">
        <w:rPr>
          <w:noProof/>
        </w:rPr>
        <w:t>3</w:t>
      </w:r>
      <w:r>
        <w:fldChar w:fldCharType="end"/>
      </w:r>
      <w:bookmarkEnd w:id="32"/>
      <w:r>
        <w:tab/>
      </w:r>
      <w:r w:rsidRPr="0052532F">
        <w:t>Modelled PFS in the control arm varying the data source informing PFS in the control arm.</w:t>
      </w:r>
    </w:p>
    <w:p w14:paraId="2901904F" w14:textId="77777777" w:rsidR="00C81B5E" w:rsidRDefault="00C81B5E" w:rsidP="000900C4">
      <w:pPr>
        <w:pStyle w:val="KMC16-Text"/>
        <w:keepNext/>
        <w:keepLines/>
        <w:spacing w:after="0" w:line="240" w:lineRule="auto"/>
        <w:ind w:left="284"/>
        <w:rPr>
          <w:color w:val="auto"/>
        </w:rPr>
      </w:pPr>
      <w:r>
        <w:rPr>
          <w:i/>
          <w:iCs/>
          <w:noProof/>
        </w:rPr>
        <w:drawing>
          <wp:inline distT="0" distB="0" distL="0" distR="0" wp14:anchorId="20E61CDC" wp14:editId="7D06CDAA">
            <wp:extent cx="5233495" cy="2631440"/>
            <wp:effectExtent l="0" t="0" r="5715" b="0"/>
            <wp:docPr id="175389299" name="Picture 4" descr="A graph with colourful lines and numbers, modelled progression free survival in the control arm varying the data source informing progression free survival in the control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9299" name="Picture 4" descr="A graph with colourful lines and numbers, modelled progression free survival in the control arm varying the data source informing progression free survival in the control a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51" cy="2651982"/>
                    </a:xfrm>
                    <a:prstGeom prst="rect">
                      <a:avLst/>
                    </a:prstGeom>
                    <a:noFill/>
                  </pic:spPr>
                </pic:pic>
              </a:graphicData>
            </a:graphic>
          </wp:inline>
        </w:drawing>
      </w:r>
    </w:p>
    <w:p w14:paraId="3C09FA18" w14:textId="77777777" w:rsidR="00C81B5E" w:rsidRPr="0052532F" w:rsidRDefault="00C81B5E" w:rsidP="00467D73">
      <w:pPr>
        <w:pStyle w:val="KMC16-Text"/>
        <w:keepNext/>
        <w:keepLines/>
        <w:spacing w:line="240" w:lineRule="auto"/>
        <w:ind w:left="284"/>
        <w:rPr>
          <w:rFonts w:ascii="Arial Narrow" w:hAnsi="Arial Narrow"/>
          <w:color w:val="auto"/>
          <w:sz w:val="18"/>
          <w:szCs w:val="18"/>
        </w:rPr>
      </w:pPr>
      <w:r w:rsidRPr="0052532F">
        <w:rPr>
          <w:rFonts w:ascii="Arial Narrow" w:hAnsi="Arial Narrow"/>
          <w:color w:val="auto"/>
          <w:sz w:val="18"/>
          <w:szCs w:val="18"/>
        </w:rPr>
        <w:t>Source: constructed during the evaluation</w:t>
      </w:r>
    </w:p>
    <w:p w14:paraId="6548A2C6" w14:textId="0EB2852C" w:rsidR="007C01CD" w:rsidRPr="00C81B5E" w:rsidRDefault="4A6789DE" w:rsidP="00EE5979">
      <w:pPr>
        <w:pStyle w:val="ListParagraph"/>
        <w:numPr>
          <w:ilvl w:val="0"/>
          <w:numId w:val="10"/>
        </w:numPr>
        <w:spacing w:after="240"/>
        <w:ind w:left="284" w:hanging="284"/>
      </w:pPr>
      <w:bookmarkStart w:id="33" w:name="_Hlk198907467"/>
      <w:r>
        <w:t>T</w:t>
      </w:r>
      <w:r w:rsidR="5EBD6B85">
        <w:t>he</w:t>
      </w:r>
      <w:r w:rsidR="3E94C5A4">
        <w:t xml:space="preserve"> </w:t>
      </w:r>
      <w:r w:rsidR="5BC37E51">
        <w:t xml:space="preserve">OS curves </w:t>
      </w:r>
      <w:r w:rsidR="3E94C5A4">
        <w:t xml:space="preserve">in </w:t>
      </w:r>
      <w:r w:rsidR="097FFC97">
        <w:t>both</w:t>
      </w:r>
      <w:r w:rsidR="3E94C5A4">
        <w:t xml:space="preserve"> </w:t>
      </w:r>
      <w:r w:rsidR="097FFC97">
        <w:t xml:space="preserve">arms </w:t>
      </w:r>
      <w:r w:rsidR="0302D351">
        <w:t>were informed by</w:t>
      </w:r>
      <w:r w:rsidR="5BC37E51">
        <w:t xml:space="preserve"> mortality data from the </w:t>
      </w:r>
      <w:r w:rsidR="73CBCB3A">
        <w:t xml:space="preserve">SCH Cohort 2024 </w:t>
      </w:r>
      <w:r w:rsidR="77A47CF7">
        <w:t>(</w:t>
      </w:r>
      <w:r w:rsidR="73CBCB3A">
        <w:t>N=20)</w:t>
      </w:r>
      <w:r w:rsidR="71C54D38">
        <w:t>.</w:t>
      </w:r>
      <w:r w:rsidR="55F5A73A">
        <w:t xml:space="preserve"> </w:t>
      </w:r>
      <w:r w:rsidR="1ADECF4C">
        <w:t>Th</w:t>
      </w:r>
      <w:r w:rsidR="56B40CBD">
        <w:t>e data</w:t>
      </w:r>
      <w:r w:rsidR="1ADECF4C">
        <w:t xml:space="preserve"> consisted of</w:t>
      </w:r>
      <w:r w:rsidR="6B14D893">
        <w:t xml:space="preserve"> the intervention group of</w:t>
      </w:r>
      <w:r w:rsidR="1ADECF4C">
        <w:t xml:space="preserve"> 12 patients who received chemoimmunotherapy (</w:t>
      </w:r>
      <w:r w:rsidR="38D1EB78">
        <w:t>D</w:t>
      </w:r>
      <w:r w:rsidR="1ADECF4C">
        <w:t xml:space="preserve">A + chemotherapy) </w:t>
      </w:r>
      <w:r w:rsidR="119E37EA">
        <w:t xml:space="preserve">while the OS data in the comparator </w:t>
      </w:r>
      <w:r w:rsidR="6030F373">
        <w:t xml:space="preserve">group of eight </w:t>
      </w:r>
      <w:r w:rsidR="140DA8C2">
        <w:t>patients</w:t>
      </w:r>
      <w:r w:rsidR="119E37EA">
        <w:t xml:space="preserve"> w</w:t>
      </w:r>
      <w:r w:rsidR="56B40CBD">
        <w:t>ere</w:t>
      </w:r>
      <w:r w:rsidR="119E37EA">
        <w:t xml:space="preserve"> collected retrospectively, with </w:t>
      </w:r>
      <w:r w:rsidR="38D1EB78">
        <w:t xml:space="preserve">five </w:t>
      </w:r>
      <w:r w:rsidR="119E37EA">
        <w:t xml:space="preserve">(63%) </w:t>
      </w:r>
      <w:r w:rsidR="18085048">
        <w:t xml:space="preserve">patients </w:t>
      </w:r>
      <w:r w:rsidR="119E37EA">
        <w:t xml:space="preserve">from this group receiving chemotherapy and the rest receiving an alternative regimen without </w:t>
      </w:r>
      <w:r w:rsidR="51C8D387">
        <w:t>chemotherapy</w:t>
      </w:r>
      <w:r w:rsidR="140DA8C2">
        <w:t xml:space="preserve">. </w:t>
      </w:r>
    </w:p>
    <w:bookmarkEnd w:id="33"/>
    <w:p w14:paraId="4154C3C0" w14:textId="6802A0E7" w:rsidR="008B16DD" w:rsidRDefault="008B16DD" w:rsidP="005F558B">
      <w:pPr>
        <w:spacing w:after="240"/>
      </w:pPr>
      <w:r>
        <w:lastRenderedPageBreak/>
        <w:t xml:space="preserve">The following problems were identified </w:t>
      </w:r>
      <w:r w:rsidR="0051638D">
        <w:t xml:space="preserve">in the </w:t>
      </w:r>
      <w:r w:rsidR="001B2663">
        <w:t>c</w:t>
      </w:r>
      <w:r w:rsidR="0051638D">
        <w:t>ommentary regarding</w:t>
      </w:r>
      <w:r w:rsidR="00A26F5D">
        <w:t xml:space="preserve"> </w:t>
      </w:r>
      <w:r w:rsidR="0051638D">
        <w:t>the</w:t>
      </w:r>
      <w:r>
        <w:t xml:space="preserve"> collection and aggregation of the data used to model </w:t>
      </w:r>
      <w:r w:rsidR="00D21BEF">
        <w:t>patient</w:t>
      </w:r>
      <w:r w:rsidR="00256404">
        <w:t xml:space="preserve">s’ progression through the health states </w:t>
      </w:r>
      <w:r>
        <w:t>and calculate ICER estimates:</w:t>
      </w:r>
    </w:p>
    <w:p w14:paraId="6BE66E45" w14:textId="26F6BFE1" w:rsidR="008B16DD" w:rsidRDefault="008B16DD" w:rsidP="00EE5979">
      <w:pPr>
        <w:pStyle w:val="ListParagraph"/>
        <w:numPr>
          <w:ilvl w:val="0"/>
          <w:numId w:val="10"/>
        </w:numPr>
        <w:spacing w:after="0"/>
        <w:ind w:left="284" w:hanging="284"/>
      </w:pPr>
      <w:r w:rsidRPr="375F5CCE">
        <w:t>The potential sources of heterogeneity relate to the differences in the administered therapies (drugs, doses, number of treatment cycles), characteristics of the populations at baseline (e.g.</w:t>
      </w:r>
      <w:r w:rsidR="007D3695" w:rsidRPr="375F5CCE">
        <w:t xml:space="preserve"> </w:t>
      </w:r>
      <w:r w:rsidRPr="375F5CCE">
        <w:t xml:space="preserve">proportion of refractory to relapsed patients), duration of follow up, etc. The </w:t>
      </w:r>
      <w:r w:rsidR="00AD6A6E" w:rsidRPr="375F5CCE">
        <w:t>apparent</w:t>
      </w:r>
      <w:r w:rsidRPr="375F5CCE">
        <w:t xml:space="preserve"> heterogeneity in the clinical outcomes (ORR) in the </w:t>
      </w:r>
      <w:proofErr w:type="spellStart"/>
      <w:r w:rsidRPr="375F5CCE">
        <w:t>dinutuximab</w:t>
      </w:r>
      <w:proofErr w:type="spellEnd"/>
      <w:r w:rsidRPr="375F5CCE">
        <w:t xml:space="preserve"> trials was evident from values of I</w:t>
      </w:r>
      <w:r w:rsidRPr="375F5CCE">
        <w:rPr>
          <w:vertAlign w:val="superscript"/>
        </w:rPr>
        <w:t>2</w:t>
      </w:r>
      <w:r w:rsidRPr="375F5CCE">
        <w:t xml:space="preserve"> statistics in the meta-analyses (e.g</w:t>
      </w:r>
      <w:r w:rsidR="00EB16BB" w:rsidRPr="375F5CCE">
        <w:t>.</w:t>
      </w:r>
      <w:r w:rsidRPr="375F5CCE">
        <w:t xml:space="preserve"> </w:t>
      </w:r>
      <w:r>
        <w:fldChar w:fldCharType="begin"/>
      </w:r>
      <w:r>
        <w:instrText xml:space="preserve"> REF _Ref184248519 \h  \* MERGEFORMAT </w:instrText>
      </w:r>
      <w:r>
        <w:fldChar w:fldCharType="separate"/>
      </w:r>
      <w:r w:rsidR="00C02A66" w:rsidRPr="375F5CCE">
        <w:t xml:space="preserve">Table </w:t>
      </w:r>
      <w:r w:rsidR="00C02A66" w:rsidRPr="375F5CCE">
        <w:rPr>
          <w:noProof/>
        </w:rPr>
        <w:t>3</w:t>
      </w:r>
      <w:r>
        <w:fldChar w:fldCharType="end"/>
      </w:r>
      <w:r w:rsidRPr="375F5CCE">
        <w:t xml:space="preserve">). Although acknowledged, the heterogeneity was not accounted for </w:t>
      </w:r>
      <w:r w:rsidR="00180916" w:rsidRPr="375F5CCE">
        <w:t>when aggregating the data from</w:t>
      </w:r>
      <w:r w:rsidRPr="375F5CCE">
        <w:t xml:space="preserve"> individual </w:t>
      </w:r>
      <w:r w:rsidR="007A64FC" w:rsidRPr="375F5CCE">
        <w:t>studies</w:t>
      </w:r>
      <w:r w:rsidRPr="375F5CCE">
        <w:t xml:space="preserve">. Instead, the </w:t>
      </w:r>
      <w:r w:rsidR="007D3695" w:rsidRPr="375F5CCE">
        <w:t xml:space="preserve">ADAR </w:t>
      </w:r>
      <w:r w:rsidRPr="375F5CCE">
        <w:t xml:space="preserve">claimed that </w:t>
      </w:r>
      <w:r w:rsidR="006B4BA2" w:rsidRPr="375F5CCE">
        <w:t xml:space="preserve">it may </w:t>
      </w:r>
      <w:r w:rsidR="002D0054" w:rsidRPr="375F5CCE">
        <w:t>promote</w:t>
      </w:r>
      <w:r w:rsidR="00E10DFB" w:rsidRPr="375F5CCE">
        <w:t xml:space="preserve"> </w:t>
      </w:r>
      <w:r w:rsidR="00FB0559" w:rsidRPr="375F5CCE">
        <w:t xml:space="preserve">a better representation of </w:t>
      </w:r>
      <w:r w:rsidR="00DE1FF0" w:rsidRPr="375F5CCE">
        <w:t xml:space="preserve">the </w:t>
      </w:r>
      <w:r w:rsidR="00246DB6" w:rsidRPr="375F5CCE">
        <w:t>natural variability</w:t>
      </w:r>
      <w:r w:rsidR="00B000D8" w:rsidRPr="375F5CCE">
        <w:t xml:space="preserve"> </w:t>
      </w:r>
      <w:r w:rsidR="00977F53" w:rsidRPr="375F5CCE">
        <w:t>of</w:t>
      </w:r>
      <w:r w:rsidR="00B000D8" w:rsidRPr="375F5CCE">
        <w:t xml:space="preserve"> </w:t>
      </w:r>
      <w:r w:rsidR="00E97197" w:rsidRPr="375F5CCE">
        <w:t xml:space="preserve">the </w:t>
      </w:r>
      <w:r w:rsidR="00E03342" w:rsidRPr="375F5CCE">
        <w:t>RRHRNBL population</w:t>
      </w:r>
      <w:r w:rsidR="009F11DF" w:rsidRPr="375F5CCE">
        <w:t>.</w:t>
      </w:r>
      <w:r w:rsidR="00FB0559" w:rsidRPr="375F5CCE">
        <w:t xml:space="preserve"> </w:t>
      </w:r>
      <w:r w:rsidR="006C5EC9" w:rsidRPr="375F5CCE">
        <w:t>For example,</w:t>
      </w:r>
      <w:r w:rsidRPr="375F5CCE">
        <w:t xml:space="preserve"> </w:t>
      </w:r>
      <w:r w:rsidR="00F928C5" w:rsidRPr="375F5CCE">
        <w:t xml:space="preserve">by </w:t>
      </w:r>
      <w:r w:rsidRPr="375F5CCE">
        <w:t xml:space="preserve">combining results of the relatively poorer prognostic patients </w:t>
      </w:r>
      <w:r w:rsidR="006C5EC9" w:rsidRPr="375F5CCE">
        <w:t xml:space="preserve">in </w:t>
      </w:r>
      <w:r w:rsidR="00C510FD" w:rsidRPr="375F5CCE">
        <w:t>BEACON-</w:t>
      </w:r>
      <w:proofErr w:type="spellStart"/>
      <w:r w:rsidR="00C510FD" w:rsidRPr="375F5CCE">
        <w:t>Immuno</w:t>
      </w:r>
      <w:proofErr w:type="spellEnd"/>
      <w:r w:rsidRPr="375F5CCE">
        <w:t xml:space="preserve"> with the results of the somewhat better prognostic group </w:t>
      </w:r>
      <w:r w:rsidR="006C5EC9" w:rsidRPr="375F5CCE">
        <w:t xml:space="preserve">in </w:t>
      </w:r>
      <w:r w:rsidRPr="375F5CCE">
        <w:t>ANLB 1221</w:t>
      </w:r>
      <w:r w:rsidR="00F928C5" w:rsidRPr="375F5CCE">
        <w:t>,</w:t>
      </w:r>
      <w:r w:rsidRPr="375F5CCE">
        <w:t xml:space="preserve"> the results become more generalisable. </w:t>
      </w:r>
    </w:p>
    <w:p w14:paraId="02213EE3" w14:textId="5CFEC4A7" w:rsidR="008B16DD" w:rsidRDefault="4C938286" w:rsidP="00EE5979">
      <w:pPr>
        <w:pStyle w:val="ListParagraph"/>
        <w:numPr>
          <w:ilvl w:val="0"/>
          <w:numId w:val="10"/>
        </w:numPr>
        <w:spacing w:after="0"/>
        <w:ind w:left="284" w:hanging="284"/>
      </w:pPr>
      <w:r>
        <w:t>Breaking of randomisation outcomes has occurred in the base case analysis and in all other calculations, whenever PFS data for the chemotherapy arm w</w:t>
      </w:r>
      <w:r w:rsidR="3A9D6C53">
        <w:t>ere</w:t>
      </w:r>
      <w:r>
        <w:t xml:space="preserve"> obtained from single-arm studies </w:t>
      </w:r>
      <w:r w:rsidR="60CCED09">
        <w:t>rather than from</w:t>
      </w:r>
      <w:r>
        <w:t xml:space="preserve"> the </w:t>
      </w:r>
      <w:r w:rsidR="135762D7">
        <w:t>BEACON-</w:t>
      </w:r>
      <w:proofErr w:type="spellStart"/>
      <w:r w:rsidR="135762D7">
        <w:t>Immuno</w:t>
      </w:r>
      <w:proofErr w:type="spellEnd"/>
      <w:r>
        <w:t xml:space="preserve"> </w:t>
      </w:r>
      <w:r w:rsidR="60CCED09">
        <w:t>trial</w:t>
      </w:r>
      <w:r w:rsidR="12E4A63F">
        <w:t>.</w:t>
      </w:r>
      <w:r>
        <w:t xml:space="preserve"> </w:t>
      </w:r>
    </w:p>
    <w:p w14:paraId="50763AA5" w14:textId="7CDE95C9" w:rsidR="008B16DD" w:rsidRPr="007A64FC" w:rsidRDefault="008B16DD" w:rsidP="00EE5979">
      <w:pPr>
        <w:pStyle w:val="ListParagraph"/>
        <w:numPr>
          <w:ilvl w:val="0"/>
          <w:numId w:val="10"/>
        </w:numPr>
        <w:spacing w:after="0"/>
        <w:ind w:left="284" w:hanging="284"/>
      </w:pPr>
      <w:bookmarkStart w:id="34" w:name="_Hlk198907505"/>
      <w:r w:rsidRPr="375F5CCE">
        <w:t xml:space="preserve">Within the same arm of the model there is a disconnect between the data sources for the PFS and OS outcomes. PFS was estimated from digitalised individual patient data in one (or a set) of trials, and OS was estimated from the entirely different dataset, (the </w:t>
      </w:r>
      <w:r w:rsidR="007D3695" w:rsidRPr="375F5CCE">
        <w:t>D</w:t>
      </w:r>
      <w:r w:rsidRPr="375F5CCE">
        <w:t xml:space="preserve">A </w:t>
      </w:r>
      <w:r w:rsidR="00E03F3D" w:rsidRPr="375F5CCE">
        <w:t xml:space="preserve">study </w:t>
      </w:r>
      <w:r w:rsidRPr="375F5CCE">
        <w:t xml:space="preserve">in </w:t>
      </w:r>
      <w:r w:rsidR="00134CE4" w:rsidRPr="375F5CCE">
        <w:t xml:space="preserve">the </w:t>
      </w:r>
      <w:r w:rsidRPr="375F5CCE">
        <w:t xml:space="preserve">SCH </w:t>
      </w:r>
      <w:r w:rsidR="00E03F3D" w:rsidRPr="375F5CCE">
        <w:t>C</w:t>
      </w:r>
      <w:r w:rsidRPr="375F5CCE">
        <w:t>ohort).</w:t>
      </w:r>
      <w:bookmarkEnd w:id="34"/>
      <w:r w:rsidRPr="375F5CCE">
        <w:t xml:space="preserve"> Among other concerns, it implies that </w:t>
      </w:r>
      <w:r w:rsidR="007D3695" w:rsidRPr="375F5CCE">
        <w:t xml:space="preserve">DB </w:t>
      </w:r>
      <w:r w:rsidRPr="375F5CCE">
        <w:t xml:space="preserve">and </w:t>
      </w:r>
      <w:r w:rsidR="007D3695" w:rsidRPr="375F5CCE">
        <w:t xml:space="preserve">DA </w:t>
      </w:r>
      <w:r w:rsidRPr="375F5CCE">
        <w:t xml:space="preserve">are biologically and clinically equivalent. This assumption should hold for both modelling approaches, otherwise </w:t>
      </w:r>
      <w:r w:rsidR="00181035" w:rsidRPr="375F5CCE">
        <w:t>pooling the evide</w:t>
      </w:r>
      <w:r w:rsidR="00835BBE" w:rsidRPr="375F5CCE">
        <w:t>nce in a single model is not justified</w:t>
      </w:r>
      <w:r w:rsidR="00847CD8" w:rsidRPr="375F5CCE">
        <w:t>.</w:t>
      </w:r>
      <w:r w:rsidR="00F6175C" w:rsidRPr="375F5CCE">
        <w:t xml:space="preserve"> </w:t>
      </w:r>
      <w:r w:rsidR="004A7E38" w:rsidRPr="375F5CCE">
        <w:t xml:space="preserve">The </w:t>
      </w:r>
      <w:r w:rsidR="007D3695" w:rsidRPr="375F5CCE">
        <w:t xml:space="preserve">ADAR </w:t>
      </w:r>
      <w:r w:rsidR="00F6175C" w:rsidRPr="375F5CCE">
        <w:t>raise</w:t>
      </w:r>
      <w:r w:rsidR="004A7E38" w:rsidRPr="375F5CCE">
        <w:t>d</w:t>
      </w:r>
      <w:r w:rsidR="00F6175C" w:rsidRPr="375F5CCE">
        <w:t xml:space="preserve"> the question of </w:t>
      </w:r>
      <w:r w:rsidR="00C44182" w:rsidRPr="375F5CCE">
        <w:t>the</w:t>
      </w:r>
      <w:r w:rsidR="00F6175C" w:rsidRPr="375F5CCE">
        <w:t xml:space="preserve"> similarity of </w:t>
      </w:r>
      <w:r w:rsidR="007A64FC" w:rsidRPr="375F5CCE">
        <w:t>D</w:t>
      </w:r>
      <w:r w:rsidR="00F6175C" w:rsidRPr="375F5CCE">
        <w:t xml:space="preserve">A </w:t>
      </w:r>
      <w:r w:rsidR="00BE7EC8" w:rsidRPr="375F5CCE">
        <w:t>and</w:t>
      </w:r>
      <w:r w:rsidR="00F6175C" w:rsidRPr="375F5CCE">
        <w:t xml:space="preserve"> </w:t>
      </w:r>
      <w:r w:rsidR="007A64FC" w:rsidRPr="375F5CCE">
        <w:t>D</w:t>
      </w:r>
      <w:r w:rsidR="00F6175C" w:rsidRPr="375F5CCE">
        <w:t>B in clinical practice</w:t>
      </w:r>
      <w:r w:rsidR="004D6CD3" w:rsidRPr="375F5CCE">
        <w:t>, claiming that</w:t>
      </w:r>
      <w:r w:rsidR="00F6175C" w:rsidRPr="375F5CCE">
        <w:t xml:space="preserve"> </w:t>
      </w:r>
      <w:r w:rsidR="004D6CD3" w:rsidRPr="375F5CCE">
        <w:t>t</w:t>
      </w:r>
      <w:r w:rsidR="00F6175C" w:rsidRPr="375F5CCE">
        <w:t xml:space="preserve">hough not “bio-similar”, they </w:t>
      </w:r>
      <w:r w:rsidR="00CB02E4" w:rsidRPr="375F5CCE">
        <w:t xml:space="preserve">could be </w:t>
      </w:r>
      <w:r w:rsidR="00F6175C" w:rsidRPr="375F5CCE">
        <w:t>consider</w:t>
      </w:r>
      <w:r w:rsidR="00CB02E4" w:rsidRPr="375F5CCE">
        <w:t>ed</w:t>
      </w:r>
      <w:r w:rsidR="00F6175C" w:rsidRPr="375F5CCE">
        <w:t xml:space="preserve"> ostensibly similar at a population level but not at an individual patient level. </w:t>
      </w:r>
      <w:r w:rsidRPr="375F5CCE">
        <w:t xml:space="preserve"> </w:t>
      </w:r>
    </w:p>
    <w:p w14:paraId="0C8574CD" w14:textId="67801194" w:rsidR="00A72FD2" w:rsidRDefault="007A64FC" w:rsidP="005F558B">
      <w:pPr>
        <w:spacing w:after="240"/>
      </w:pPr>
      <w:bookmarkStart w:id="35" w:name="_Hlk198907520"/>
      <w:r>
        <w:t>The commentary considered</w:t>
      </w:r>
      <w:r w:rsidR="00C32BF4" w:rsidRPr="00467D73">
        <w:t xml:space="preserve"> the modelled outcomes may not </w:t>
      </w:r>
      <w:r w:rsidR="008736FE" w:rsidRPr="00467D73">
        <w:t xml:space="preserve">be accepted as </w:t>
      </w:r>
      <w:r w:rsidR="004545A8" w:rsidRPr="00467D73">
        <w:t>reliable</w:t>
      </w:r>
      <w:r w:rsidR="008736FE">
        <w:t xml:space="preserve"> since</w:t>
      </w:r>
      <w:r w:rsidR="00DE0D94">
        <w:t xml:space="preserve"> the</w:t>
      </w:r>
      <w:r w:rsidR="00DE0D94" w:rsidRPr="00D77EDC">
        <w:t xml:space="preserve"> fundamental rule </w:t>
      </w:r>
      <w:r w:rsidR="00DE0D94">
        <w:t>of</w:t>
      </w:r>
      <w:r w:rsidR="00DE0D94" w:rsidRPr="00D77EDC">
        <w:t xml:space="preserve"> any probabilistic analysis</w:t>
      </w:r>
      <w:r w:rsidR="004D4B37">
        <w:t>, namely</w:t>
      </w:r>
      <w:r w:rsidR="00DE0D94" w:rsidRPr="00A40DD0">
        <w:t xml:space="preserve"> </w:t>
      </w:r>
      <w:r w:rsidR="00DE0D94">
        <w:t xml:space="preserve">that </w:t>
      </w:r>
      <w:r w:rsidR="00DE0D94" w:rsidRPr="00A40DD0">
        <w:t>a sum of probabilities</w:t>
      </w:r>
      <w:r w:rsidR="00DE0D94">
        <w:t xml:space="preserve"> in the </w:t>
      </w:r>
      <w:r w:rsidR="00DE0D94" w:rsidRPr="00676737">
        <w:t xml:space="preserve">mutually exclusive </w:t>
      </w:r>
      <w:r w:rsidR="00B426FA">
        <w:t xml:space="preserve">and exhaustive </w:t>
      </w:r>
      <w:r w:rsidR="00DE0D94" w:rsidRPr="00676737">
        <w:t>health states</w:t>
      </w:r>
      <w:r w:rsidR="00DE0D94">
        <w:t xml:space="preserve"> </w:t>
      </w:r>
      <w:r>
        <w:t xml:space="preserve">of </w:t>
      </w:r>
      <w:r w:rsidR="00C63E6E">
        <w:t>PFS</w:t>
      </w:r>
      <w:r w:rsidR="00940151">
        <w:t xml:space="preserve">, progressed disease and death </w:t>
      </w:r>
      <w:r w:rsidR="004D4B37">
        <w:t xml:space="preserve">should </w:t>
      </w:r>
      <w:r w:rsidR="00DE0D94">
        <w:t>equal one</w:t>
      </w:r>
      <w:r w:rsidR="004D4B37">
        <w:t>,</w:t>
      </w:r>
      <w:r w:rsidR="00DE0D94">
        <w:t xml:space="preserve"> is violated</w:t>
      </w:r>
      <w:r w:rsidR="00AB4F96">
        <w:t xml:space="preserve"> in every version of the model</w:t>
      </w:r>
      <w:r w:rsidR="00DF099B">
        <w:t xml:space="preserve"> in </w:t>
      </w:r>
      <w:r w:rsidR="00AE2CED">
        <w:t>both</w:t>
      </w:r>
      <w:r w:rsidR="00DF099B">
        <w:t xml:space="preserve"> the intervention </w:t>
      </w:r>
      <w:r w:rsidR="00FD0B4A">
        <w:t>and</w:t>
      </w:r>
      <w:r w:rsidR="00DF099B">
        <w:t xml:space="preserve"> </w:t>
      </w:r>
      <w:r w:rsidR="00DF742C">
        <w:t>the</w:t>
      </w:r>
      <w:r w:rsidR="00DF099B">
        <w:t xml:space="preserve"> comparator arm</w:t>
      </w:r>
      <w:r w:rsidR="00940151">
        <w:t>. This occurs as the</w:t>
      </w:r>
      <w:r w:rsidR="006A5881">
        <w:t xml:space="preserve"> PFS observations are sourced from one trial (or from a combination of studies) and the OS observations are sourced from another (the SCH cohort</w:t>
      </w:r>
      <w:r w:rsidR="00940151">
        <w:t>)</w:t>
      </w:r>
      <w:r w:rsidR="00AD630B">
        <w:t>.</w:t>
      </w:r>
      <w:r w:rsidR="006A5881">
        <w:t xml:space="preserve"> </w:t>
      </w:r>
    </w:p>
    <w:bookmarkEnd w:id="35"/>
    <w:p w14:paraId="454EF72D" w14:textId="632BE7B0" w:rsidR="006A5881" w:rsidRDefault="00940151" w:rsidP="005F558B">
      <w:pPr>
        <w:spacing w:after="240"/>
      </w:pPr>
      <w:r>
        <w:t>The impact on the ICER using data from</w:t>
      </w:r>
      <w:r w:rsidR="00A72FD2">
        <w:t xml:space="preserve"> different studies</w:t>
      </w:r>
      <w:r>
        <w:t xml:space="preserve"> to inform PFS and OS for DB + chemotherapy and for chemotherapy alone are presented in </w:t>
      </w:r>
      <w:r w:rsidR="00E03F3D" w:rsidRPr="00F96D88">
        <w:fldChar w:fldCharType="begin"/>
      </w:r>
      <w:r w:rsidR="00E03F3D">
        <w:instrText xml:space="preserve"> REF _Ref184187665 \h  \* MERGEFORMAT </w:instrText>
      </w:r>
      <w:r w:rsidR="00E03F3D" w:rsidRPr="00F96D88">
        <w:fldChar w:fldCharType="separate"/>
      </w:r>
      <w:r w:rsidR="00C02A66" w:rsidRPr="00C02A66">
        <w:t>Table </w:t>
      </w:r>
      <w:r w:rsidR="00C02A66" w:rsidRPr="007B76AE">
        <w:t>10</w:t>
      </w:r>
      <w:r w:rsidR="00E03F3D" w:rsidRPr="00F96D88">
        <w:fldChar w:fldCharType="end"/>
      </w:r>
      <w:r>
        <w:t>.</w:t>
      </w:r>
    </w:p>
    <w:p w14:paraId="432CF7BD" w14:textId="7DD84738" w:rsidR="006A7124" w:rsidRDefault="00FE5F78" w:rsidP="005F558B">
      <w:pPr>
        <w:spacing w:after="240"/>
      </w:pPr>
      <w:r w:rsidRPr="00C20974">
        <w:t xml:space="preserve">In the base case, the </w:t>
      </w:r>
      <w:r w:rsidR="007D3695">
        <w:t>ADAR</w:t>
      </w:r>
      <w:r w:rsidR="007D3695" w:rsidRPr="00C20974">
        <w:t xml:space="preserve"> </w:t>
      </w:r>
      <w:r w:rsidRPr="00C20974">
        <w:t xml:space="preserve">selected the following </w:t>
      </w:r>
      <w:r w:rsidR="00FE7938">
        <w:t xml:space="preserve">parametric distributions </w:t>
      </w:r>
      <w:r w:rsidR="00CA33CB">
        <w:t>to model</w:t>
      </w:r>
      <w:r w:rsidRPr="00C20974">
        <w:t xml:space="preserve"> PFS and OS based on the best fitting Akaike Information Criterion (AIC).</w:t>
      </w:r>
      <w:r w:rsidR="005A1FC8">
        <w:t xml:space="preserve"> </w:t>
      </w:r>
    </w:p>
    <w:p w14:paraId="16E188B0" w14:textId="1BCF2601" w:rsidR="00FE5F78" w:rsidRPr="00C20974" w:rsidRDefault="00FE5F78" w:rsidP="00EE5979">
      <w:pPr>
        <w:pStyle w:val="ListParagraph"/>
        <w:numPr>
          <w:ilvl w:val="0"/>
          <w:numId w:val="10"/>
        </w:numPr>
        <w:spacing w:after="0"/>
        <w:ind w:left="284" w:hanging="284"/>
      </w:pPr>
      <w:r w:rsidRPr="00C20974">
        <w:t xml:space="preserve">PFS in </w:t>
      </w:r>
      <w:r w:rsidR="007D3695">
        <w:t>D</w:t>
      </w:r>
      <w:r w:rsidRPr="00C20974">
        <w:t>B arm: log normal function</w:t>
      </w:r>
    </w:p>
    <w:p w14:paraId="654572F2" w14:textId="74F1BFE3" w:rsidR="00FE5F78" w:rsidRPr="00C20974" w:rsidRDefault="00FE5F78" w:rsidP="00EE5979">
      <w:pPr>
        <w:pStyle w:val="ListParagraph"/>
        <w:numPr>
          <w:ilvl w:val="0"/>
          <w:numId w:val="10"/>
        </w:numPr>
        <w:spacing w:after="0"/>
        <w:ind w:left="284" w:hanging="284"/>
      </w:pPr>
      <w:r w:rsidRPr="00C20974">
        <w:t>PFS in control arm: generali</w:t>
      </w:r>
      <w:r w:rsidR="007D3695">
        <w:t>s</w:t>
      </w:r>
      <w:r w:rsidRPr="00C20974">
        <w:t>ed gamma function</w:t>
      </w:r>
    </w:p>
    <w:p w14:paraId="345791CB" w14:textId="77777777" w:rsidR="00FE5F78" w:rsidRPr="00C20974" w:rsidRDefault="00FE5F78" w:rsidP="00EE5979">
      <w:pPr>
        <w:pStyle w:val="ListParagraph"/>
        <w:numPr>
          <w:ilvl w:val="0"/>
          <w:numId w:val="10"/>
        </w:numPr>
        <w:spacing w:after="0"/>
        <w:ind w:left="284" w:hanging="284"/>
      </w:pPr>
      <w:r w:rsidRPr="00C20974">
        <w:t>OS in both arms: exponential function</w:t>
      </w:r>
    </w:p>
    <w:p w14:paraId="1C30156A" w14:textId="729AE3FD" w:rsidR="006A7124" w:rsidRDefault="00A25C8F" w:rsidP="005F558B">
      <w:pPr>
        <w:spacing w:after="240"/>
      </w:pPr>
      <w:r w:rsidRPr="00A72FD2">
        <w:t>In each case</w:t>
      </w:r>
      <w:r w:rsidR="00E03F3D">
        <w:t>,</w:t>
      </w:r>
      <w:r w:rsidRPr="00A72FD2">
        <w:t xml:space="preserve"> the same parametric function was used for interpolations (of the extracted KM trial data) and for extrapolation over the 20-year time horizon</w:t>
      </w:r>
      <w:r w:rsidR="00F42F6B" w:rsidRPr="00A72FD2">
        <w:t xml:space="preserve">, i.e. </w:t>
      </w:r>
      <w:r w:rsidR="00DC5791" w:rsidRPr="00A72FD2">
        <w:t>PFS</w:t>
      </w:r>
      <w:r w:rsidR="00A9611B" w:rsidRPr="00A72FD2">
        <w:t xml:space="preserve"> and </w:t>
      </w:r>
      <w:r w:rsidR="00DC5791" w:rsidRPr="00A72FD2">
        <w:t>OS</w:t>
      </w:r>
      <w:r w:rsidR="00A9611B" w:rsidRPr="00A72FD2">
        <w:t xml:space="preserve"> were incorporated into the model by using full parametric approximation</w:t>
      </w:r>
      <w:r w:rsidRPr="00A72FD2">
        <w:t>. Other choices of a parametric distribution included Weibull</w:t>
      </w:r>
      <w:r w:rsidR="00F96D88">
        <w:t xml:space="preserve"> </w:t>
      </w:r>
      <w:r w:rsidRPr="00A72FD2">
        <w:t>(AFT), Gompertz and log logistic</w:t>
      </w:r>
      <w:r w:rsidR="008B7BAA" w:rsidRPr="00A72FD2">
        <w:t xml:space="preserve">. </w:t>
      </w:r>
      <w:r w:rsidR="00A72FD2">
        <w:t>T</w:t>
      </w:r>
      <w:r w:rsidR="006A7124" w:rsidRPr="00A72FD2">
        <w:t xml:space="preserve">he AIC criteria for each of the parametric functions were recalculated whenever an alternative data </w:t>
      </w:r>
      <w:r w:rsidR="00721928" w:rsidRPr="00A72FD2">
        <w:t>source</w:t>
      </w:r>
      <w:r w:rsidR="006A7124" w:rsidRPr="00A72FD2">
        <w:t xml:space="preserve"> for either PFS or OS in the intervention </w:t>
      </w:r>
      <w:r w:rsidR="00BE4502" w:rsidRPr="00A72FD2">
        <w:t>and/or</w:t>
      </w:r>
      <w:r w:rsidR="006A7124" w:rsidRPr="00A72FD2">
        <w:t xml:space="preserve"> comparator arm was made.</w:t>
      </w:r>
    </w:p>
    <w:p w14:paraId="517599F1" w14:textId="6E05B3E1" w:rsidR="000C44F1" w:rsidRPr="005748DA" w:rsidRDefault="003A455D" w:rsidP="005F558B">
      <w:pPr>
        <w:spacing w:after="240"/>
      </w:pPr>
      <w:r w:rsidRPr="375F5CCE">
        <w:t>A further issue</w:t>
      </w:r>
      <w:r w:rsidR="00EC7B97" w:rsidRPr="375F5CCE">
        <w:t xml:space="preserve"> </w:t>
      </w:r>
      <w:r w:rsidRPr="375F5CCE">
        <w:t xml:space="preserve">with the </w:t>
      </w:r>
      <w:r w:rsidR="00246E1C" w:rsidRPr="375F5CCE">
        <w:t>application</w:t>
      </w:r>
      <w:r w:rsidR="00A91DB9" w:rsidRPr="375F5CCE">
        <w:t xml:space="preserve"> of</w:t>
      </w:r>
      <w:r w:rsidR="00246E1C" w:rsidRPr="375F5CCE">
        <w:t xml:space="preserve"> disparate sources </w:t>
      </w:r>
      <w:r w:rsidRPr="375F5CCE">
        <w:t xml:space="preserve">of data </w:t>
      </w:r>
      <w:r w:rsidR="00246E1C" w:rsidRPr="375F5CCE">
        <w:t xml:space="preserve">for PFS and OS </w:t>
      </w:r>
      <w:r w:rsidRPr="375F5CCE">
        <w:t xml:space="preserve">outcomes </w:t>
      </w:r>
      <w:r w:rsidR="00246E1C" w:rsidRPr="375F5CCE">
        <w:t xml:space="preserve">provides a good illustration </w:t>
      </w:r>
      <w:r w:rsidR="00EC76B5" w:rsidRPr="375F5CCE">
        <w:t xml:space="preserve">of </w:t>
      </w:r>
      <w:r w:rsidR="00EC7B97" w:rsidRPr="375F5CCE">
        <w:t>t</w:t>
      </w:r>
      <w:r w:rsidR="00EE0CC4" w:rsidRPr="375F5CCE">
        <w:t>he</w:t>
      </w:r>
      <w:r w:rsidR="002E72A7" w:rsidRPr="375F5CCE">
        <w:t xml:space="preserve"> </w:t>
      </w:r>
      <w:r w:rsidR="00E1590F" w:rsidRPr="375F5CCE">
        <w:t>structural problem with the model</w:t>
      </w:r>
      <w:r w:rsidR="0005102B" w:rsidRPr="375F5CCE">
        <w:t xml:space="preserve"> (which </w:t>
      </w:r>
      <w:r w:rsidR="00D86D89" w:rsidRPr="375F5CCE">
        <w:t xml:space="preserve">goes deeper than this </w:t>
      </w:r>
      <w:proofErr w:type="gramStart"/>
      <w:r w:rsidR="00D86D89" w:rsidRPr="375F5CCE">
        <w:t>particular example</w:t>
      </w:r>
      <w:proofErr w:type="gramEnd"/>
      <w:r w:rsidR="00D86D89" w:rsidRPr="375F5CCE">
        <w:t xml:space="preserve"> and affect</w:t>
      </w:r>
      <w:r w:rsidR="00582C4E" w:rsidRPr="375F5CCE">
        <w:t>s</w:t>
      </w:r>
      <w:r w:rsidR="00D86D89" w:rsidRPr="375F5CCE">
        <w:t xml:space="preserve"> every cycle in every arm of the model)</w:t>
      </w:r>
      <w:r w:rsidR="00697B97" w:rsidRPr="375F5CCE">
        <w:t>.</w:t>
      </w:r>
      <w:r w:rsidR="00B07BBE" w:rsidRPr="375F5CCE">
        <w:t xml:space="preserve"> </w:t>
      </w:r>
      <w:r w:rsidR="00844E86" w:rsidRPr="375F5CCE">
        <w:t>I</w:t>
      </w:r>
      <w:r w:rsidR="00B07BBE" w:rsidRPr="375F5CCE">
        <w:t>n</w:t>
      </w:r>
      <w:r w:rsidR="00582C4E" w:rsidRPr="375F5CCE">
        <w:t xml:space="preserve"> </w:t>
      </w:r>
      <w:r w:rsidR="00844E86" w:rsidRPr="375F5CCE">
        <w:t xml:space="preserve">the base case analysis, </w:t>
      </w:r>
      <w:r w:rsidR="007E643B" w:rsidRPr="375F5CCE">
        <w:lastRenderedPageBreak/>
        <w:t xml:space="preserve">the probability of PFS exceeded the probability of OS in </w:t>
      </w:r>
      <w:r w:rsidR="00B07BBE" w:rsidRPr="375F5CCE">
        <w:t xml:space="preserve">the control arm starting from cycle </w:t>
      </w:r>
      <w:r w:rsidRPr="375F5CCE">
        <w:t xml:space="preserve">25 </w:t>
      </w:r>
      <w:r w:rsidR="00B07BBE" w:rsidRPr="375F5CCE">
        <w:t xml:space="preserve">(about </w:t>
      </w:r>
      <w:r w:rsidRPr="375F5CCE">
        <w:t xml:space="preserve">two </w:t>
      </w:r>
      <w:r w:rsidR="00B07BBE" w:rsidRPr="375F5CCE">
        <w:t xml:space="preserve">years in the </w:t>
      </w:r>
      <w:proofErr w:type="gramStart"/>
      <w:r w:rsidR="00B07BBE" w:rsidRPr="375F5CCE">
        <w:t>20 year</w:t>
      </w:r>
      <w:proofErr w:type="gramEnd"/>
      <w:r w:rsidR="00B07BBE" w:rsidRPr="375F5CCE">
        <w:t xml:space="preserve"> time horizon). To correct for such an implausibility, the modelled PFS progression was arithmetically controlled in each cycle by setting the PFS value equal to </w:t>
      </w:r>
      <w:r w:rsidRPr="375F5CCE">
        <w:t xml:space="preserve">the </w:t>
      </w:r>
      <w:r w:rsidR="00B07BBE" w:rsidRPr="375F5CCE">
        <w:t xml:space="preserve">OS value if PFS&gt;OS </w:t>
      </w:r>
      <w:r w:rsidR="00940855" w:rsidRPr="375F5CCE">
        <w:t>and this explains the ‘kink’ in PFS curves observed in the base case (</w:t>
      </w:r>
      <w:r>
        <w:fldChar w:fldCharType="begin"/>
      </w:r>
      <w:r>
        <w:instrText xml:space="preserve"> REF _Ref183987346 \h  \* MERGEFORMAT </w:instrText>
      </w:r>
      <w:r>
        <w:fldChar w:fldCharType="separate"/>
      </w:r>
      <w:r w:rsidR="00C02A66" w:rsidRPr="375F5CCE">
        <w:t>Figure 4</w:t>
      </w:r>
      <w:r>
        <w:fldChar w:fldCharType="end"/>
      </w:r>
      <w:r w:rsidR="00370456" w:rsidRPr="375F5CCE">
        <w:t xml:space="preserve"> </w:t>
      </w:r>
      <w:r w:rsidR="00940855" w:rsidRPr="375F5CCE">
        <w:t>below)</w:t>
      </w:r>
      <w:r w:rsidR="00B01CB2" w:rsidRPr="375F5CCE">
        <w:t xml:space="preserve">, </w:t>
      </w:r>
      <w:r w:rsidR="00B07BBE" w:rsidRPr="375F5CCE">
        <w:t xml:space="preserve">indicating that </w:t>
      </w:r>
      <w:r w:rsidR="00AE6F8B" w:rsidRPr="375F5CCE">
        <w:t>starting from</w:t>
      </w:r>
      <w:r w:rsidR="00B07BBE" w:rsidRPr="375F5CCE">
        <w:t xml:space="preserve"> this point in time</w:t>
      </w:r>
      <w:r w:rsidRPr="375F5CCE">
        <w:t>,</w:t>
      </w:r>
      <w:r w:rsidR="00B07BBE" w:rsidRPr="375F5CCE">
        <w:t xml:space="preserve"> </w:t>
      </w:r>
      <w:r w:rsidR="00D67E59" w:rsidRPr="375F5CCE">
        <w:t xml:space="preserve">the </w:t>
      </w:r>
      <w:r w:rsidR="00B01CB2" w:rsidRPr="375F5CCE">
        <w:t>proportion of patients</w:t>
      </w:r>
      <w:r w:rsidR="00396759" w:rsidRPr="375F5CCE">
        <w:t xml:space="preserve"> </w:t>
      </w:r>
      <w:r w:rsidR="00521FC3" w:rsidRPr="375F5CCE">
        <w:t xml:space="preserve">in </w:t>
      </w:r>
      <w:r w:rsidRPr="375F5CCE">
        <w:t xml:space="preserve">the </w:t>
      </w:r>
      <w:r w:rsidR="00521FC3" w:rsidRPr="375F5CCE">
        <w:t xml:space="preserve">comparator arm </w:t>
      </w:r>
      <w:r w:rsidR="00396759" w:rsidRPr="375F5CCE">
        <w:t>(</w:t>
      </w:r>
      <w:r w:rsidR="00CE6D67" w:rsidRPr="375F5CCE">
        <w:t xml:space="preserve">equal to the </w:t>
      </w:r>
      <w:r w:rsidR="00396759" w:rsidRPr="375F5CCE">
        <w:t xml:space="preserve">difference in </w:t>
      </w:r>
      <w:r w:rsidR="003E13A6" w:rsidRPr="375F5CCE">
        <w:t xml:space="preserve">proportions between </w:t>
      </w:r>
      <w:r w:rsidR="00521FC3" w:rsidRPr="375F5CCE">
        <w:t>OS and PFS)</w:t>
      </w:r>
      <w:r w:rsidR="00B01CB2" w:rsidRPr="375F5CCE">
        <w:t xml:space="preserve"> </w:t>
      </w:r>
      <w:r w:rsidR="00EE6A5C" w:rsidRPr="375F5CCE">
        <w:t>began</w:t>
      </w:r>
      <w:r w:rsidR="00B07BBE" w:rsidRPr="375F5CCE">
        <w:t xml:space="preserve"> experienc</w:t>
      </w:r>
      <w:r w:rsidR="007204B3" w:rsidRPr="375F5CCE">
        <w:t>ing</w:t>
      </w:r>
      <w:r w:rsidR="00B07BBE" w:rsidRPr="375F5CCE">
        <w:t xml:space="preserve"> </w:t>
      </w:r>
      <w:r w:rsidR="00A94DEB" w:rsidRPr="375F5CCE">
        <w:t xml:space="preserve">a rate of </w:t>
      </w:r>
      <w:r w:rsidR="00B07BBE" w:rsidRPr="375F5CCE">
        <w:t>disease progression</w:t>
      </w:r>
      <w:r w:rsidR="00081C47" w:rsidRPr="375F5CCE">
        <w:t xml:space="preserve"> </w:t>
      </w:r>
      <w:r w:rsidR="0038057C" w:rsidRPr="375F5CCE">
        <w:t>above the probability</w:t>
      </w:r>
      <w:r w:rsidR="00081C47" w:rsidRPr="375F5CCE">
        <w:t xml:space="preserve"> determined by the fitted </w:t>
      </w:r>
      <w:r w:rsidR="0038057C" w:rsidRPr="375F5CCE">
        <w:t>parametric function</w:t>
      </w:r>
      <w:r w:rsidR="00B07BBE" w:rsidRPr="375F5CCE">
        <w:t xml:space="preserve">. </w:t>
      </w:r>
      <w:r w:rsidR="00AE6F8B" w:rsidRPr="375F5CCE">
        <w:t>In cycle</w:t>
      </w:r>
      <w:r w:rsidRPr="375F5CCE">
        <w:t xml:space="preserve"> 25</w:t>
      </w:r>
      <w:r w:rsidR="009E2B13" w:rsidRPr="375F5CCE">
        <w:t xml:space="preserve"> (</w:t>
      </w:r>
      <w:r w:rsidRPr="375F5CCE">
        <w:t>second</w:t>
      </w:r>
      <w:r w:rsidR="009E2B13" w:rsidRPr="375F5CCE">
        <w:t xml:space="preserve"> year)</w:t>
      </w:r>
      <w:r w:rsidRPr="375F5CCE">
        <w:t>,</w:t>
      </w:r>
      <w:r w:rsidR="00AE450F" w:rsidRPr="375F5CCE">
        <w:t xml:space="preserve"> th</w:t>
      </w:r>
      <w:r w:rsidR="00AE6F8B" w:rsidRPr="375F5CCE">
        <w:t xml:space="preserve">is proportion </w:t>
      </w:r>
      <w:r w:rsidR="00922775" w:rsidRPr="375F5CCE">
        <w:t>is</w:t>
      </w:r>
      <w:r w:rsidR="00EE6A5C" w:rsidRPr="375F5CCE">
        <w:t xml:space="preserve"> 2%</w:t>
      </w:r>
      <w:r w:rsidR="002322A2" w:rsidRPr="375F5CCE">
        <w:t xml:space="preserve"> </w:t>
      </w:r>
      <w:r w:rsidR="00AE450F" w:rsidRPr="375F5CCE">
        <w:t xml:space="preserve">but </w:t>
      </w:r>
      <w:r w:rsidR="002322A2" w:rsidRPr="375F5CCE">
        <w:t>quickly accelerated</w:t>
      </w:r>
      <w:r w:rsidR="008324DD" w:rsidRPr="375F5CCE">
        <w:t>,</w:t>
      </w:r>
      <w:r w:rsidR="002322A2" w:rsidRPr="375F5CCE">
        <w:t xml:space="preserve"> reaching </w:t>
      </w:r>
      <w:r w:rsidR="00AE450F" w:rsidRPr="375F5CCE">
        <w:t>78%</w:t>
      </w:r>
      <w:r w:rsidR="002322A2" w:rsidRPr="375F5CCE">
        <w:t xml:space="preserve"> by the </w:t>
      </w:r>
      <w:r w:rsidRPr="375F5CCE">
        <w:t xml:space="preserve">fourth </w:t>
      </w:r>
      <w:r w:rsidR="002322A2" w:rsidRPr="375F5CCE">
        <w:t xml:space="preserve">year. </w:t>
      </w:r>
      <w:r w:rsidRPr="375F5CCE">
        <w:t>T</w:t>
      </w:r>
      <w:r w:rsidR="00B07BBE" w:rsidRPr="375F5CCE">
        <w:t xml:space="preserve">his biased the outcomes in favour of </w:t>
      </w:r>
      <w:r w:rsidRPr="375F5CCE">
        <w:t>DB</w:t>
      </w:r>
      <w:r w:rsidR="009B1170" w:rsidRPr="375F5CCE">
        <w:t>;</w:t>
      </w:r>
      <w:r w:rsidR="00B07BBE" w:rsidRPr="375F5CCE">
        <w:t xml:space="preserve"> </w:t>
      </w:r>
      <w:r w:rsidR="004C45CA" w:rsidRPr="375F5CCE">
        <w:t>however</w:t>
      </w:r>
      <w:r w:rsidR="001C298A" w:rsidRPr="375F5CCE">
        <w:t>, even without this additional bias,</w:t>
      </w:r>
      <w:r w:rsidR="004C45CA" w:rsidRPr="375F5CCE">
        <w:t xml:space="preserve"> the ICER</w:t>
      </w:r>
      <w:r w:rsidR="001C298A" w:rsidRPr="375F5CCE">
        <w:t>s</w:t>
      </w:r>
      <w:r w:rsidR="004C45CA" w:rsidRPr="375F5CCE">
        <w:t xml:space="preserve"> </w:t>
      </w:r>
      <w:r w:rsidR="00430F11" w:rsidRPr="375F5CCE">
        <w:t xml:space="preserve">remain unreliable due to the violation of the basic </w:t>
      </w:r>
      <w:r w:rsidR="005E29BD" w:rsidRPr="375F5CCE">
        <w:t>principle</w:t>
      </w:r>
      <w:r w:rsidR="00430F11" w:rsidRPr="375F5CCE">
        <w:t xml:space="preserve"> of the probabilistic analysis</w:t>
      </w:r>
      <w:r w:rsidR="005E29BD" w:rsidRPr="375F5CCE">
        <w:t>,</w:t>
      </w:r>
      <w:r w:rsidR="00430F11" w:rsidRPr="375F5CCE">
        <w:t xml:space="preserve"> as explained above</w:t>
      </w:r>
      <w:r w:rsidR="005E29BD" w:rsidRPr="375F5CCE">
        <w:t xml:space="preserve">. </w:t>
      </w:r>
      <w:r w:rsidR="003C10C1" w:rsidRPr="375F5CCE">
        <w:t>T</w:t>
      </w:r>
      <w:r w:rsidR="00D71CF0" w:rsidRPr="375F5CCE">
        <w:t>he</w:t>
      </w:r>
      <w:r w:rsidR="00055EAF" w:rsidRPr="375F5CCE">
        <w:t xml:space="preserve"> s</w:t>
      </w:r>
      <w:r w:rsidR="00A9572F" w:rsidRPr="375F5CCE">
        <w:t xml:space="preserve">ame phenomenon </w:t>
      </w:r>
      <w:r w:rsidR="00EE4C2D" w:rsidRPr="375F5CCE">
        <w:t>was observed in other versions of the model</w:t>
      </w:r>
      <w:r w:rsidR="00D12B68" w:rsidRPr="375F5CCE">
        <w:t xml:space="preserve"> when the PFS in the</w:t>
      </w:r>
      <w:r w:rsidR="00BB4362" w:rsidRPr="375F5CCE">
        <w:t xml:space="preserve"> </w:t>
      </w:r>
      <w:r w:rsidR="00D12B68" w:rsidRPr="375F5CCE">
        <w:t>control arm was modelled from individual chemotherapy studies</w:t>
      </w:r>
      <w:r w:rsidR="00EE4C2D" w:rsidRPr="375F5CCE">
        <w:t xml:space="preserve">. </w:t>
      </w:r>
    </w:p>
    <w:p w14:paraId="333050BF" w14:textId="25C872E6" w:rsidR="00867437" w:rsidRPr="008316E6" w:rsidRDefault="000279D0" w:rsidP="000279D0">
      <w:pPr>
        <w:pStyle w:val="Caption"/>
      </w:pPr>
      <w:bookmarkStart w:id="36" w:name="_Ref183987346"/>
      <w:r w:rsidRPr="008316E6">
        <w:t xml:space="preserve">Figure </w:t>
      </w:r>
      <w:r>
        <w:fldChar w:fldCharType="begin"/>
      </w:r>
      <w:r>
        <w:instrText>SEQ Figure \* ARABIC</w:instrText>
      </w:r>
      <w:r>
        <w:fldChar w:fldCharType="separate"/>
      </w:r>
      <w:r w:rsidR="00C02A66">
        <w:rPr>
          <w:noProof/>
        </w:rPr>
        <w:t>4</w:t>
      </w:r>
      <w:r>
        <w:fldChar w:fldCharType="end"/>
      </w:r>
      <w:bookmarkEnd w:id="36"/>
      <w:r w:rsidR="001E6EC1">
        <w:tab/>
      </w:r>
      <w:r w:rsidR="00D95CF9" w:rsidRPr="008316E6">
        <w:t>F</w:t>
      </w:r>
      <w:r w:rsidR="00D87964" w:rsidRPr="008316E6">
        <w:t xml:space="preserve">itted </w:t>
      </w:r>
      <w:r w:rsidR="00867437" w:rsidRPr="008316E6">
        <w:t>PFS and OS</w:t>
      </w:r>
      <w:r w:rsidR="00D87964" w:rsidRPr="008316E6">
        <w:t xml:space="preserve"> curves in the base case analysis</w:t>
      </w:r>
      <w:r w:rsidR="00867437" w:rsidRPr="008316E6">
        <w:t xml:space="preserve">  </w:t>
      </w:r>
    </w:p>
    <w:p w14:paraId="5F966BA1" w14:textId="10C46C36" w:rsidR="00867437" w:rsidRDefault="00867437" w:rsidP="009E0BCF">
      <w:pPr>
        <w:keepNext/>
        <w:keepLines/>
        <w:rPr>
          <w:noProof/>
        </w:rPr>
      </w:pPr>
      <w:r>
        <w:rPr>
          <w:noProof/>
        </w:rPr>
        <w:drawing>
          <wp:inline distT="0" distB="0" distL="0" distR="0" wp14:anchorId="28ABDAD4" wp14:editId="48941078">
            <wp:extent cx="5233505" cy="2203581"/>
            <wp:effectExtent l="0" t="0" r="0" b="0"/>
            <wp:docPr id="1464510804" name="Picture 1" descr="A graph of a line, fitted progression free survival curves in the base case analysi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10804" name="Picture 1" descr="A graph of a line, fitted progression free survival curves in the base case analysis  &#10;&#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1963" cy="2223985"/>
                    </a:xfrm>
                    <a:prstGeom prst="rect">
                      <a:avLst/>
                    </a:prstGeom>
                    <a:noFill/>
                  </pic:spPr>
                </pic:pic>
              </a:graphicData>
            </a:graphic>
          </wp:inline>
        </w:drawing>
      </w:r>
    </w:p>
    <w:p w14:paraId="4AD18896" w14:textId="37DC396D" w:rsidR="00AA52BB" w:rsidRDefault="00C00655" w:rsidP="009E0BCF">
      <w:pPr>
        <w:keepNext/>
        <w:keepLines/>
      </w:pPr>
      <w:r>
        <w:rPr>
          <w:noProof/>
        </w:rPr>
        <w:drawing>
          <wp:inline distT="0" distB="0" distL="0" distR="0" wp14:anchorId="55A65239" wp14:editId="45449972">
            <wp:extent cx="5336628" cy="3166192"/>
            <wp:effectExtent l="0" t="0" r="0" b="0"/>
            <wp:docPr id="573791750" name="Picture 2" descr="A graph of a line, fitted overall survival curves in the base cas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1750" name="Picture 2" descr="A graph of a line, fitted overall survival curves in the base case analy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0122" cy="3186064"/>
                    </a:xfrm>
                    <a:prstGeom prst="rect">
                      <a:avLst/>
                    </a:prstGeom>
                    <a:noFill/>
                  </pic:spPr>
                </pic:pic>
              </a:graphicData>
            </a:graphic>
          </wp:inline>
        </w:drawing>
      </w:r>
    </w:p>
    <w:p w14:paraId="03B5353E" w14:textId="783AD5A9" w:rsidR="00AA3CC7" w:rsidRPr="00BE557E" w:rsidRDefault="001C5881" w:rsidP="00466245">
      <w:pPr>
        <w:pStyle w:val="KMC16-Text"/>
        <w:rPr>
          <w:rFonts w:ascii="Arial Narrow" w:hAnsi="Arial Narrow"/>
          <w:color w:val="auto"/>
          <w:sz w:val="18"/>
          <w:szCs w:val="18"/>
        </w:rPr>
      </w:pPr>
      <w:r w:rsidRPr="00BE557E">
        <w:rPr>
          <w:rFonts w:ascii="Arial Narrow" w:hAnsi="Arial Narrow"/>
          <w:color w:val="auto"/>
          <w:sz w:val="18"/>
          <w:szCs w:val="18"/>
        </w:rPr>
        <w:t xml:space="preserve">Source: </w:t>
      </w:r>
      <w:r w:rsidR="006A586A" w:rsidRPr="00BE557E">
        <w:rPr>
          <w:rFonts w:ascii="Arial Narrow" w:hAnsi="Arial Narrow"/>
          <w:color w:val="auto"/>
          <w:sz w:val="18"/>
          <w:szCs w:val="18"/>
        </w:rPr>
        <w:t xml:space="preserve">Worksheet </w:t>
      </w:r>
      <w:r w:rsidR="00D510B3" w:rsidRPr="00BE557E">
        <w:rPr>
          <w:rFonts w:ascii="Arial Narrow" w:hAnsi="Arial Narrow"/>
          <w:color w:val="auto"/>
          <w:sz w:val="18"/>
          <w:szCs w:val="18"/>
        </w:rPr>
        <w:t>‘</w:t>
      </w:r>
      <w:r w:rsidR="006A586A" w:rsidRPr="00BE557E">
        <w:rPr>
          <w:rFonts w:ascii="Arial Narrow" w:hAnsi="Arial Narrow"/>
          <w:color w:val="auto"/>
          <w:sz w:val="18"/>
          <w:szCs w:val="18"/>
        </w:rPr>
        <w:t>Result</w:t>
      </w:r>
      <w:r w:rsidR="00D510B3" w:rsidRPr="00BE557E">
        <w:rPr>
          <w:rFonts w:ascii="Arial Narrow" w:hAnsi="Arial Narrow"/>
          <w:color w:val="auto"/>
          <w:sz w:val="18"/>
          <w:szCs w:val="18"/>
        </w:rPr>
        <w:t>s’</w:t>
      </w:r>
      <w:r w:rsidR="006A586A" w:rsidRPr="00BE557E">
        <w:rPr>
          <w:rFonts w:ascii="Arial Narrow" w:hAnsi="Arial Narrow"/>
          <w:color w:val="auto"/>
          <w:sz w:val="18"/>
          <w:szCs w:val="18"/>
        </w:rPr>
        <w:t xml:space="preserve"> </w:t>
      </w:r>
      <w:r w:rsidR="00D510B3" w:rsidRPr="00BE557E">
        <w:rPr>
          <w:rFonts w:ascii="Arial Narrow" w:hAnsi="Arial Narrow"/>
          <w:color w:val="auto"/>
          <w:sz w:val="18"/>
          <w:szCs w:val="18"/>
        </w:rPr>
        <w:t>corresponding to</w:t>
      </w:r>
      <w:r w:rsidR="006A586A" w:rsidRPr="00BE557E">
        <w:rPr>
          <w:rFonts w:ascii="Arial Narrow" w:hAnsi="Arial Narrow"/>
          <w:color w:val="auto"/>
          <w:sz w:val="18"/>
          <w:szCs w:val="18"/>
        </w:rPr>
        <w:t xml:space="preserve"> the base-case analysis</w:t>
      </w:r>
      <w:r w:rsidR="002A6A10" w:rsidRPr="00BE557E">
        <w:rPr>
          <w:rFonts w:ascii="Arial Narrow" w:hAnsi="Arial Narrow"/>
          <w:color w:val="auto"/>
          <w:sz w:val="18"/>
          <w:szCs w:val="18"/>
        </w:rPr>
        <w:t xml:space="preserve"> </w:t>
      </w:r>
      <w:r w:rsidR="002F4464" w:rsidRPr="00BE557E">
        <w:rPr>
          <w:rFonts w:ascii="Arial Narrow" w:hAnsi="Arial Narrow"/>
          <w:color w:val="auto"/>
          <w:sz w:val="18"/>
          <w:szCs w:val="18"/>
        </w:rPr>
        <w:t xml:space="preserve">with </w:t>
      </w:r>
      <w:r w:rsidR="00833616" w:rsidRPr="00BE557E">
        <w:rPr>
          <w:rFonts w:ascii="Arial Narrow" w:hAnsi="Arial Narrow"/>
          <w:color w:val="auto"/>
          <w:sz w:val="18"/>
          <w:szCs w:val="18"/>
        </w:rPr>
        <w:t>exponential and log-logistic</w:t>
      </w:r>
      <w:r w:rsidR="009B7F17" w:rsidRPr="00BE557E">
        <w:rPr>
          <w:rFonts w:ascii="Arial Narrow" w:hAnsi="Arial Narrow"/>
          <w:color w:val="auto"/>
          <w:sz w:val="18"/>
          <w:szCs w:val="18"/>
        </w:rPr>
        <w:t xml:space="preserve"> OS curves</w:t>
      </w:r>
      <w:r w:rsidR="002F4464" w:rsidRPr="00BE557E">
        <w:rPr>
          <w:rFonts w:ascii="Arial Narrow" w:hAnsi="Arial Narrow"/>
          <w:color w:val="auto"/>
          <w:sz w:val="18"/>
          <w:szCs w:val="18"/>
        </w:rPr>
        <w:t xml:space="preserve"> </w:t>
      </w:r>
    </w:p>
    <w:p w14:paraId="1B14F8A6" w14:textId="0F0DD410" w:rsidR="007770C4" w:rsidRPr="007721D5" w:rsidRDefault="007770C4" w:rsidP="005F558B">
      <w:pPr>
        <w:spacing w:after="240"/>
        <w:rPr>
          <w:rFonts w:ascii="Arial Narrow" w:hAnsi="Arial Narrow"/>
          <w:sz w:val="20"/>
          <w:szCs w:val="20"/>
        </w:rPr>
      </w:pPr>
      <w:bookmarkStart w:id="37" w:name="_Hlk198907561"/>
      <w:r w:rsidRPr="00940855">
        <w:t xml:space="preserve">In the base case, the modelled OS </w:t>
      </w:r>
      <w:r w:rsidR="00BB7D7F">
        <w:t xml:space="preserve">in the </w:t>
      </w:r>
      <w:r w:rsidR="003A455D">
        <w:t>DB</w:t>
      </w:r>
      <w:r w:rsidR="00BB7D7F">
        <w:t xml:space="preserve"> arm </w:t>
      </w:r>
      <w:r w:rsidRPr="00940855">
        <w:t xml:space="preserve">was ~40% at </w:t>
      </w:r>
      <w:r w:rsidR="003A455D">
        <w:t xml:space="preserve">four </w:t>
      </w:r>
      <w:r w:rsidRPr="00940855">
        <w:t>years</w:t>
      </w:r>
      <w:r w:rsidR="00F33C48">
        <w:t>,</w:t>
      </w:r>
      <w:r w:rsidRPr="00940855">
        <w:t xml:space="preserve"> which is </w:t>
      </w:r>
      <w:r w:rsidR="00F33C48">
        <w:t xml:space="preserve">inconsistent with </w:t>
      </w:r>
      <w:r w:rsidRPr="00940855">
        <w:t>the Austral</w:t>
      </w:r>
      <w:r w:rsidR="0028331A">
        <w:t xml:space="preserve">ian </w:t>
      </w:r>
      <w:r w:rsidR="00F33C48">
        <w:t>S</w:t>
      </w:r>
      <w:r w:rsidR="00EE1678">
        <w:t>CH</w:t>
      </w:r>
      <w:r w:rsidRPr="00940855">
        <w:t xml:space="preserve"> data </w:t>
      </w:r>
      <w:r w:rsidR="00CC3F4E">
        <w:t xml:space="preserve">that </w:t>
      </w:r>
      <w:r w:rsidR="003A455D">
        <w:t xml:space="preserve">reported </w:t>
      </w:r>
      <w:r w:rsidR="00CC3F4E">
        <w:t>OS</w:t>
      </w:r>
      <w:r w:rsidRPr="00940855">
        <w:t xml:space="preserve"> </w:t>
      </w:r>
      <w:r w:rsidR="003A455D">
        <w:t>of 30% at four years</w:t>
      </w:r>
      <w:r w:rsidRPr="00940855">
        <w:t>.</w:t>
      </w:r>
      <w:r w:rsidR="00A9547D">
        <w:t xml:space="preserve"> </w:t>
      </w:r>
      <w:bookmarkEnd w:id="37"/>
      <w:r w:rsidR="00A9547D">
        <w:t xml:space="preserve">The </w:t>
      </w:r>
      <w:r w:rsidR="004642B4">
        <w:t>di</w:t>
      </w:r>
      <w:r w:rsidR="008A0017">
        <w:t>screpancy</w:t>
      </w:r>
      <w:r w:rsidR="004642B4">
        <w:t xml:space="preserve"> </w:t>
      </w:r>
      <w:r w:rsidR="004679CE">
        <w:t>was</w:t>
      </w:r>
      <w:r w:rsidR="003C671A">
        <w:t xml:space="preserve"> </w:t>
      </w:r>
      <w:r w:rsidR="0030559F">
        <w:lastRenderedPageBreak/>
        <w:t>lessened</w:t>
      </w:r>
      <w:r w:rsidR="0025514F">
        <w:t xml:space="preserve"> </w:t>
      </w:r>
      <w:r w:rsidR="0030559F">
        <w:t>when the OS</w:t>
      </w:r>
      <w:r w:rsidR="00294500">
        <w:t xml:space="preserve"> extrapolation was fitted with</w:t>
      </w:r>
      <w:r w:rsidR="0030559F">
        <w:t xml:space="preserve"> </w:t>
      </w:r>
      <w:r w:rsidR="0062442F">
        <w:t xml:space="preserve">a </w:t>
      </w:r>
      <w:r w:rsidR="00294500">
        <w:t xml:space="preserve">loglogistic instead </w:t>
      </w:r>
      <w:r w:rsidR="009B3C1A">
        <w:t xml:space="preserve">of </w:t>
      </w:r>
      <w:r w:rsidR="003739E7">
        <w:t xml:space="preserve">an </w:t>
      </w:r>
      <w:r w:rsidR="009B3C1A">
        <w:t>exponential function as in the base case</w:t>
      </w:r>
      <w:r w:rsidR="00C752E0">
        <w:t xml:space="preserve"> (</w:t>
      </w:r>
      <w:r w:rsidR="00012FDD" w:rsidRPr="00BE557E">
        <w:fldChar w:fldCharType="begin"/>
      </w:r>
      <w:r w:rsidR="00012FDD">
        <w:instrText xml:space="preserve"> REF _Ref183987346 \h </w:instrText>
      </w:r>
      <w:r w:rsidR="003A455D">
        <w:instrText xml:space="preserve"> \* MERGEFORMAT </w:instrText>
      </w:r>
      <w:r w:rsidR="00012FDD" w:rsidRPr="00BE557E">
        <w:fldChar w:fldCharType="separate"/>
      </w:r>
      <w:r w:rsidR="00C02A66" w:rsidRPr="008316E6">
        <w:t xml:space="preserve">Figure </w:t>
      </w:r>
      <w:r w:rsidR="00C02A66">
        <w:t>4</w:t>
      </w:r>
      <w:r w:rsidR="00012FDD" w:rsidRPr="00BE557E">
        <w:fldChar w:fldCharType="end"/>
      </w:r>
      <w:r w:rsidR="00415442">
        <w:t>)</w:t>
      </w:r>
      <w:r w:rsidR="009B3C1A">
        <w:t xml:space="preserve">. The loglogistic </w:t>
      </w:r>
      <w:r w:rsidR="0025514F">
        <w:t>distribution</w:t>
      </w:r>
      <w:r w:rsidR="007F3C9E">
        <w:t xml:space="preserve"> </w:t>
      </w:r>
      <w:r w:rsidR="00C04774">
        <w:t>corresponded to</w:t>
      </w:r>
      <w:r w:rsidR="007F3C9E">
        <w:t xml:space="preserve"> </w:t>
      </w:r>
      <w:r w:rsidR="007F3C9E" w:rsidRPr="00940855">
        <w:t>~</w:t>
      </w:r>
      <w:r w:rsidR="007F3C9E">
        <w:t>3</w:t>
      </w:r>
      <w:r w:rsidR="007F3C9E" w:rsidRPr="00940855">
        <w:t>0% at 4-years</w:t>
      </w:r>
      <w:r w:rsidR="00B1308A">
        <w:t xml:space="preserve">, </w:t>
      </w:r>
      <w:r w:rsidR="00A72FD2">
        <w:t>increasing the ICER by</w:t>
      </w:r>
      <w:r w:rsidR="00B91F97">
        <w:t xml:space="preserve"> </w:t>
      </w:r>
      <w:r w:rsidR="00AF4C15">
        <w:t>28.5%</w:t>
      </w:r>
      <w:r w:rsidR="00B91F97">
        <w:t>.</w:t>
      </w:r>
    </w:p>
    <w:p w14:paraId="34AE385D" w14:textId="2DB18FF0" w:rsidR="009517E7" w:rsidRPr="00E624D6" w:rsidRDefault="00AD77A5" w:rsidP="004A0007">
      <w:pPr>
        <w:keepNext/>
        <w:spacing w:after="240"/>
        <w:rPr>
          <w:u w:val="single"/>
        </w:rPr>
      </w:pPr>
      <w:r>
        <w:rPr>
          <w:u w:val="single"/>
        </w:rPr>
        <w:t>Method 2</w:t>
      </w:r>
      <w:r w:rsidR="00380B47" w:rsidRPr="00310017">
        <w:rPr>
          <w:u w:val="single"/>
        </w:rPr>
        <w:t>:</w:t>
      </w:r>
      <w:r w:rsidR="00310017" w:rsidRPr="00310017">
        <w:rPr>
          <w:u w:val="single"/>
        </w:rPr>
        <w:t xml:space="preserve"> </w:t>
      </w:r>
      <w:r>
        <w:rPr>
          <w:u w:val="single"/>
        </w:rPr>
        <w:t>E</w:t>
      </w:r>
      <w:r w:rsidR="00310017" w:rsidRPr="00310017">
        <w:rPr>
          <w:u w:val="single"/>
        </w:rPr>
        <w:t>xploring the PFS-</w:t>
      </w:r>
      <w:r w:rsidR="00310017" w:rsidRPr="00E624D6">
        <w:rPr>
          <w:u w:val="single"/>
        </w:rPr>
        <w:t>OS relationship</w:t>
      </w:r>
      <w:r w:rsidR="002477DA" w:rsidRPr="00E624D6">
        <w:rPr>
          <w:u w:val="single"/>
        </w:rPr>
        <w:t xml:space="preserve"> to deri</w:t>
      </w:r>
      <w:r w:rsidR="00E624D6" w:rsidRPr="00E624D6">
        <w:rPr>
          <w:u w:val="single"/>
        </w:rPr>
        <w:t xml:space="preserve">ve </w:t>
      </w:r>
      <w:r w:rsidR="002477DA" w:rsidRPr="00E624D6">
        <w:rPr>
          <w:u w:val="single"/>
        </w:rPr>
        <w:t>the missing OS from PFS</w:t>
      </w:r>
    </w:p>
    <w:p w14:paraId="65F3DCB0" w14:textId="37A0A0CF" w:rsidR="00310017" w:rsidRDefault="00E7011F" w:rsidP="004A0007">
      <w:pPr>
        <w:keepNext/>
        <w:spacing w:after="240"/>
      </w:pPr>
      <w:r w:rsidRPr="375F5CCE">
        <w:t xml:space="preserve">The </w:t>
      </w:r>
      <w:r w:rsidR="003A455D" w:rsidRPr="375F5CCE">
        <w:t xml:space="preserve">ADAR </w:t>
      </w:r>
      <w:r w:rsidRPr="375F5CCE">
        <w:t xml:space="preserve">presented </w:t>
      </w:r>
      <w:r w:rsidR="006B1A47" w:rsidRPr="375F5CCE">
        <w:t xml:space="preserve">a </w:t>
      </w:r>
      <w:r w:rsidR="004B39FF" w:rsidRPr="375F5CCE">
        <w:t xml:space="preserve">second </w:t>
      </w:r>
      <w:r w:rsidR="008A5C1D" w:rsidRPr="375F5CCE">
        <w:t xml:space="preserve">method </w:t>
      </w:r>
      <w:r w:rsidR="005F5ADA" w:rsidRPr="375F5CCE">
        <w:t xml:space="preserve">of informing the anticipated </w:t>
      </w:r>
      <w:r w:rsidR="00C11988" w:rsidRPr="375F5CCE">
        <w:t xml:space="preserve">OS gains available from </w:t>
      </w:r>
      <w:r w:rsidR="006B1A47" w:rsidRPr="375F5CCE">
        <w:t>DB by inferring</w:t>
      </w:r>
      <w:r w:rsidR="00C11988" w:rsidRPr="375F5CCE">
        <w:t xml:space="preserve"> these from the PFS clinical data</w:t>
      </w:r>
      <w:r w:rsidR="00BD0E73" w:rsidRPr="375F5CCE">
        <w:t>.</w:t>
      </w:r>
      <w:r w:rsidR="00C11988" w:rsidRPr="375F5CCE">
        <w:t xml:space="preserve"> </w:t>
      </w:r>
      <w:r w:rsidR="0000558E" w:rsidRPr="375F5CCE">
        <w:t xml:space="preserve">This </w:t>
      </w:r>
      <w:r w:rsidR="003D33D3" w:rsidRPr="375F5CCE">
        <w:t xml:space="preserve">approach </w:t>
      </w:r>
      <w:r w:rsidR="00E6500B" w:rsidRPr="375F5CCE">
        <w:t>“</w:t>
      </w:r>
      <w:r w:rsidR="005669A2" w:rsidRPr="375F5CCE">
        <w:t>involves</w:t>
      </w:r>
      <w:r w:rsidR="007030B2" w:rsidRPr="375F5CCE">
        <w:t xml:space="preserve"> </w:t>
      </w:r>
      <w:r w:rsidR="0048197D" w:rsidRPr="375F5CCE">
        <w:t xml:space="preserve">exploiting the inherent relationship between PFS and OS and using data from one trial (from which the PFS-OS relationship can be derived) and applying the derived </w:t>
      </w:r>
      <w:r w:rsidR="00DA793B" w:rsidRPr="375F5CCE">
        <w:t>HR</w:t>
      </w:r>
      <w:r w:rsidR="0048197D" w:rsidRPr="375F5CCE">
        <w:t xml:space="preserve"> to either OS data to derive a matched PFS KM curve, or from PFS data to derive a matched OS KM curve</w:t>
      </w:r>
      <w:r w:rsidR="00962F7D" w:rsidRPr="375F5CCE">
        <w:t>”</w:t>
      </w:r>
      <w:r w:rsidR="0048197D" w:rsidRPr="375F5CCE">
        <w:t>.</w:t>
      </w:r>
      <w:r w:rsidR="005537F0" w:rsidRPr="375F5CCE">
        <w:t xml:space="preserve"> </w:t>
      </w:r>
      <w:r w:rsidR="00677DF7" w:rsidRPr="375F5CCE">
        <w:t xml:space="preserve">That is, the application of a </w:t>
      </w:r>
      <w:r w:rsidR="0085545E" w:rsidRPr="375F5CCE">
        <w:t>HR</w:t>
      </w:r>
      <w:r w:rsidR="00677DF7" w:rsidRPr="375F5CCE">
        <w:t xml:space="preserve"> to either OS or PFS data </w:t>
      </w:r>
      <w:r w:rsidR="006B1A47" w:rsidRPr="375F5CCE">
        <w:t>to estimate</w:t>
      </w:r>
      <w:r w:rsidR="00677DF7" w:rsidRPr="375F5CCE">
        <w:t xml:space="preserve"> a matched KM curve, or more precisely</w:t>
      </w:r>
      <w:r w:rsidR="00087526" w:rsidRPr="375F5CCE">
        <w:t>,</w:t>
      </w:r>
      <w:r w:rsidR="00677DF7" w:rsidRPr="375F5CCE">
        <w:t xml:space="preserve"> its parametric approximation</w:t>
      </w:r>
      <w:r w:rsidR="00D670F5" w:rsidRPr="375F5CCE">
        <w:t>.</w:t>
      </w:r>
      <w:r w:rsidR="00CB1206" w:rsidRPr="375F5CCE">
        <w:t xml:space="preserve"> </w:t>
      </w:r>
      <w:r w:rsidR="00D670F5" w:rsidRPr="375F5CCE">
        <w:t>T</w:t>
      </w:r>
      <w:r w:rsidR="00CB1206" w:rsidRPr="375F5CCE">
        <w:t>herefore</w:t>
      </w:r>
      <w:r w:rsidR="00023E98" w:rsidRPr="375F5CCE">
        <w:t>,</w:t>
      </w:r>
      <w:r w:rsidR="00CB1206" w:rsidRPr="375F5CCE">
        <w:t xml:space="preserve"> the task is essentially reduced to identifying the type of parametric </w:t>
      </w:r>
      <w:r w:rsidR="004F49E7" w:rsidRPr="375F5CCE">
        <w:t>distribution and its parameter</w:t>
      </w:r>
      <w:r w:rsidR="002269A7" w:rsidRPr="375F5CCE">
        <w:t>s</w:t>
      </w:r>
      <w:r w:rsidR="004F49E7" w:rsidRPr="375F5CCE">
        <w:t xml:space="preserve"> </w:t>
      </w:r>
      <w:r w:rsidR="002269A7" w:rsidRPr="375F5CCE">
        <w:t xml:space="preserve">to </w:t>
      </w:r>
      <w:r w:rsidR="00F82756" w:rsidRPr="375F5CCE">
        <w:t xml:space="preserve">approximate </w:t>
      </w:r>
      <w:r w:rsidR="007F17A2" w:rsidRPr="375F5CCE">
        <w:t>the</w:t>
      </w:r>
      <w:r w:rsidR="000D657C" w:rsidRPr="375F5CCE">
        <w:t xml:space="preserve"> missing </w:t>
      </w:r>
      <w:r w:rsidR="00F82756" w:rsidRPr="375F5CCE">
        <w:t xml:space="preserve">parametric </w:t>
      </w:r>
      <w:r w:rsidR="000D657C" w:rsidRPr="375F5CCE">
        <w:t>OS</w:t>
      </w:r>
      <w:r w:rsidR="00F82756" w:rsidRPr="375F5CCE">
        <w:t xml:space="preserve"> </w:t>
      </w:r>
      <w:r w:rsidR="006B1A47" w:rsidRPr="375F5CCE">
        <w:t xml:space="preserve">curves </w:t>
      </w:r>
      <w:r w:rsidR="00F82756" w:rsidRPr="375F5CCE">
        <w:t>for the intervention and comparator arms</w:t>
      </w:r>
      <w:r w:rsidR="005537F0" w:rsidRPr="375F5CCE">
        <w:t xml:space="preserve">. </w:t>
      </w:r>
      <w:r w:rsidR="006B1A47" w:rsidRPr="375F5CCE">
        <w:t>The commentary</w:t>
      </w:r>
      <w:r w:rsidR="005537F0" w:rsidRPr="375F5CCE">
        <w:t xml:space="preserve"> </w:t>
      </w:r>
      <w:r w:rsidR="00C67021">
        <w:t>was</w:t>
      </w:r>
      <w:r w:rsidR="005537F0" w:rsidRPr="375F5CCE">
        <w:t xml:space="preserve"> not aware of a precedent of this method for </w:t>
      </w:r>
      <w:r w:rsidR="00BC26FC" w:rsidRPr="375F5CCE">
        <w:t>filling gaps in the evidence</w:t>
      </w:r>
      <w:r w:rsidR="005537F0" w:rsidRPr="375F5CCE">
        <w:t xml:space="preserve">. Apparently, it </w:t>
      </w:r>
      <w:r w:rsidR="00C67021">
        <w:t>had</w:t>
      </w:r>
      <w:r w:rsidR="005537F0" w:rsidRPr="375F5CCE">
        <w:t xml:space="preserve"> an element of indirect comparison of </w:t>
      </w:r>
      <w:r w:rsidR="00B54591" w:rsidRPr="375F5CCE">
        <w:t xml:space="preserve">the </w:t>
      </w:r>
      <w:r w:rsidR="005537F0" w:rsidRPr="375F5CCE">
        <w:t xml:space="preserve">survival outcomes </w:t>
      </w:r>
      <w:r w:rsidR="00B54591" w:rsidRPr="375F5CCE">
        <w:t>from</w:t>
      </w:r>
      <w:r w:rsidR="005537F0" w:rsidRPr="375F5CCE">
        <w:t xml:space="preserve"> two </w:t>
      </w:r>
      <w:r w:rsidR="00A57C6D" w:rsidRPr="375F5CCE">
        <w:t>different</w:t>
      </w:r>
      <w:r w:rsidR="005537F0" w:rsidRPr="375F5CCE">
        <w:t xml:space="preserve"> studies (</w:t>
      </w:r>
      <w:r w:rsidR="00237B65" w:rsidRPr="375F5CCE">
        <w:t>a few</w:t>
      </w:r>
      <w:r w:rsidR="005537F0" w:rsidRPr="375F5CCE">
        <w:t xml:space="preserve"> pairs of studie</w:t>
      </w:r>
      <w:r w:rsidR="00476882" w:rsidRPr="375F5CCE">
        <w:t>s</w:t>
      </w:r>
      <w:r w:rsidR="005537F0" w:rsidRPr="375F5CCE">
        <w:t xml:space="preserve"> were exp</w:t>
      </w:r>
      <w:r w:rsidR="001D33CE" w:rsidRPr="375F5CCE">
        <w:t>lored</w:t>
      </w:r>
      <w:r w:rsidR="005537F0" w:rsidRPr="375F5CCE">
        <w:t xml:space="preserve"> in the </w:t>
      </w:r>
      <w:r w:rsidR="00E03F3D" w:rsidRPr="375F5CCE">
        <w:t>ADAR</w:t>
      </w:r>
      <w:r w:rsidR="005537F0" w:rsidRPr="375F5CCE">
        <w:t xml:space="preserve">) together with </w:t>
      </w:r>
      <w:r w:rsidR="006B1A47" w:rsidRPr="375F5CCE">
        <w:t xml:space="preserve">the </w:t>
      </w:r>
      <w:r w:rsidR="005537F0" w:rsidRPr="375F5CCE">
        <w:t xml:space="preserve">stated intention of translating an interim outcome (PFS) to the </w:t>
      </w:r>
      <w:proofErr w:type="gramStart"/>
      <w:r w:rsidR="005537F0" w:rsidRPr="375F5CCE">
        <w:t>final outcome</w:t>
      </w:r>
      <w:proofErr w:type="gramEnd"/>
      <w:r w:rsidR="005537F0" w:rsidRPr="375F5CCE">
        <w:t xml:space="preserve"> (OS). In this case</w:t>
      </w:r>
      <w:r w:rsidR="00E03F3D" w:rsidRPr="375F5CCE">
        <w:t>,</w:t>
      </w:r>
      <w:r w:rsidR="005537F0" w:rsidRPr="375F5CCE">
        <w:t xml:space="preserve"> it </w:t>
      </w:r>
      <w:r w:rsidR="00E03F3D" w:rsidRPr="375F5CCE">
        <w:t xml:space="preserve">was </w:t>
      </w:r>
      <w:r w:rsidR="005537F0" w:rsidRPr="375F5CCE">
        <w:t>not clear how the reverse transformation of OS into PFS can be justified on the same ground</w:t>
      </w:r>
      <w:r w:rsidR="006B1A47" w:rsidRPr="375F5CCE">
        <w:t>s</w:t>
      </w:r>
      <w:r w:rsidR="005537F0" w:rsidRPr="375F5CCE">
        <w:t>.</w:t>
      </w:r>
      <w:r w:rsidR="001F744F" w:rsidRPr="375F5CCE">
        <w:t xml:space="preserve"> The </w:t>
      </w:r>
      <w:r w:rsidR="006B1A47" w:rsidRPr="375F5CCE">
        <w:t xml:space="preserve">ADAR </w:t>
      </w:r>
      <w:r w:rsidR="001F744F" w:rsidRPr="375F5CCE">
        <w:t>admitted that</w:t>
      </w:r>
      <w:r w:rsidR="00135E3D" w:rsidRPr="375F5CCE">
        <w:t xml:space="preserve"> </w:t>
      </w:r>
      <w:r w:rsidR="0028787B" w:rsidRPr="375F5CCE">
        <w:t>“t</w:t>
      </w:r>
      <w:r w:rsidR="00135E3D" w:rsidRPr="375F5CCE">
        <w:t>he choice of method and relevant data source is somewhat subjective because it involves hierarchical ranking of the assumptions and data used</w:t>
      </w:r>
      <w:r w:rsidR="0028787B" w:rsidRPr="375F5CCE">
        <w:t>”. The meaning of “hierarchical ranking</w:t>
      </w:r>
      <w:r w:rsidR="00D20C17" w:rsidRPr="375F5CCE">
        <w:t>”</w:t>
      </w:r>
      <w:r w:rsidR="00D77263" w:rsidRPr="375F5CCE">
        <w:t xml:space="preserve"> and how it was </w:t>
      </w:r>
      <w:r w:rsidR="00E26A71" w:rsidRPr="375F5CCE">
        <w:t>factored in</w:t>
      </w:r>
      <w:r w:rsidR="00EB333E" w:rsidRPr="375F5CCE">
        <w:t>to</w:t>
      </w:r>
      <w:r w:rsidR="00E26A71" w:rsidRPr="375F5CCE">
        <w:t xml:space="preserve"> the </w:t>
      </w:r>
      <w:r w:rsidR="00630D39" w:rsidRPr="375F5CCE">
        <w:t xml:space="preserve">mathematical </w:t>
      </w:r>
      <w:r w:rsidR="00E26A71" w:rsidRPr="375F5CCE">
        <w:t>algorithm</w:t>
      </w:r>
      <w:r w:rsidR="0028787B" w:rsidRPr="375F5CCE">
        <w:t xml:space="preserve"> </w:t>
      </w:r>
      <w:r w:rsidR="00B73237" w:rsidRPr="375F5CCE">
        <w:t xml:space="preserve">for deriving OS or PFS </w:t>
      </w:r>
      <w:r w:rsidR="00F0364B" w:rsidRPr="375F5CCE">
        <w:t xml:space="preserve">parametric functions </w:t>
      </w:r>
      <w:r w:rsidR="0028787B" w:rsidRPr="375F5CCE">
        <w:t xml:space="preserve">was </w:t>
      </w:r>
      <w:r w:rsidR="00D20C17" w:rsidRPr="375F5CCE">
        <w:t>not made clear.</w:t>
      </w:r>
      <w:r w:rsidR="00DE2EED" w:rsidRPr="375F5CCE">
        <w:t xml:space="preserve"> </w:t>
      </w:r>
    </w:p>
    <w:p w14:paraId="56E6370A" w14:textId="4960FDC1" w:rsidR="00FA0550" w:rsidRDefault="00646A4C" w:rsidP="005F558B">
      <w:pPr>
        <w:spacing w:after="240"/>
        <w:rPr>
          <w:i/>
        </w:rPr>
      </w:pPr>
      <w:r w:rsidRPr="375F5CCE">
        <w:t xml:space="preserve">The first step involved </w:t>
      </w:r>
      <w:r w:rsidR="000B2C87" w:rsidRPr="375F5CCE">
        <w:t>estimating hazard</w:t>
      </w:r>
      <w:r w:rsidR="00CC4088" w:rsidRPr="375F5CCE">
        <w:t>s</w:t>
      </w:r>
      <w:r w:rsidR="000B2C87" w:rsidRPr="375F5CCE">
        <w:t xml:space="preserve"> </w:t>
      </w:r>
      <w:r w:rsidR="003C21EE" w:rsidRPr="375F5CCE">
        <w:t xml:space="preserve">from </w:t>
      </w:r>
      <w:r w:rsidR="00224A81" w:rsidRPr="375F5CCE">
        <w:t xml:space="preserve">the </w:t>
      </w:r>
      <w:r w:rsidR="006B1A47" w:rsidRPr="375F5CCE">
        <w:t>KM</w:t>
      </w:r>
      <w:r w:rsidR="003C21EE" w:rsidRPr="375F5CCE">
        <w:t xml:space="preserve"> plots </w:t>
      </w:r>
      <w:r w:rsidR="00224A81" w:rsidRPr="375F5CCE">
        <w:t xml:space="preserve">of the individual patient data (separately for </w:t>
      </w:r>
      <w:r w:rsidR="003C21EE" w:rsidRPr="375F5CCE">
        <w:t>PFS and OS</w:t>
      </w:r>
      <w:r w:rsidR="00224A81" w:rsidRPr="375F5CCE">
        <w:t>)</w:t>
      </w:r>
      <w:r w:rsidR="003C21EE" w:rsidRPr="375F5CCE">
        <w:t xml:space="preserve"> </w:t>
      </w:r>
      <w:r w:rsidR="0082227C" w:rsidRPr="375F5CCE">
        <w:t xml:space="preserve">that were </w:t>
      </w:r>
      <w:r w:rsidR="003972C9" w:rsidRPr="375F5CCE">
        <w:t xml:space="preserve">reported in </w:t>
      </w:r>
      <w:r w:rsidR="00C978B4" w:rsidRPr="375F5CCE">
        <w:t xml:space="preserve">ANBL 1221, </w:t>
      </w:r>
      <w:r w:rsidR="008C3B0F" w:rsidRPr="375F5CCE">
        <w:t>the meta-analysis by Moreno (2017)</w:t>
      </w:r>
      <w:r w:rsidR="00895CAC" w:rsidRPr="375F5CCE">
        <w:t>,</w:t>
      </w:r>
      <w:r w:rsidR="0082227C" w:rsidRPr="375F5CCE">
        <w:t xml:space="preserve"> </w:t>
      </w:r>
      <w:r w:rsidR="00895CAC" w:rsidRPr="375F5CCE">
        <w:t xml:space="preserve">and BEACON-1 (Moreno 2024, all arms). </w:t>
      </w:r>
      <w:r w:rsidR="0051514E" w:rsidRPr="375F5CCE">
        <w:t>Secondly,</w:t>
      </w:r>
      <w:r w:rsidR="00220B79" w:rsidRPr="375F5CCE">
        <w:t xml:space="preserve"> for each study</w:t>
      </w:r>
      <w:r w:rsidR="00AC573E" w:rsidRPr="375F5CCE">
        <w:t>,</w:t>
      </w:r>
      <w:r w:rsidR="00120383" w:rsidRPr="375F5CCE">
        <w:t xml:space="preserve"> and for each arm of </w:t>
      </w:r>
      <w:r w:rsidR="00C6526F" w:rsidRPr="375F5CCE">
        <w:t>ANBL 1221</w:t>
      </w:r>
      <w:r w:rsidR="0085545E" w:rsidRPr="375F5CCE">
        <w:t>,</w:t>
      </w:r>
      <w:r w:rsidR="00AC573E" w:rsidRPr="375F5CCE">
        <w:t xml:space="preserve"> the</w:t>
      </w:r>
      <w:r w:rsidR="0051514E" w:rsidRPr="375F5CCE">
        <w:t xml:space="preserve"> </w:t>
      </w:r>
      <w:r w:rsidR="0085545E" w:rsidRPr="375F5CCE">
        <w:t>HRs</w:t>
      </w:r>
      <w:r w:rsidR="00D60D5D" w:rsidRPr="375F5CCE">
        <w:t xml:space="preserve"> </w:t>
      </w:r>
      <w:r w:rsidR="00DB1D74" w:rsidRPr="375F5CCE">
        <w:t xml:space="preserve">comparing </w:t>
      </w:r>
      <w:r w:rsidR="00434B4B" w:rsidRPr="375F5CCE">
        <w:t>OS</w:t>
      </w:r>
      <w:r w:rsidR="00ED0BEF" w:rsidRPr="375F5CCE">
        <w:t xml:space="preserve"> with PFS (or the other way around) </w:t>
      </w:r>
      <w:r w:rsidR="00A55E84" w:rsidRPr="375F5CCE">
        <w:t>were calculated</w:t>
      </w:r>
      <w:r w:rsidR="006312DC" w:rsidRPr="375F5CCE">
        <w:t xml:space="preserve"> using a simple Cox regression</w:t>
      </w:r>
      <w:r w:rsidR="00A55E84" w:rsidRPr="375F5CCE">
        <w:t xml:space="preserve">. </w:t>
      </w:r>
      <w:r w:rsidR="007836D6" w:rsidRPr="375F5CCE">
        <w:t xml:space="preserve">Finally, the </w:t>
      </w:r>
      <w:r w:rsidR="006B1A47" w:rsidRPr="375F5CCE">
        <w:t xml:space="preserve">ADAR </w:t>
      </w:r>
      <w:r w:rsidR="007836D6" w:rsidRPr="375F5CCE">
        <w:t xml:space="preserve">applied “the derived </w:t>
      </w:r>
      <w:r w:rsidR="00DA793B" w:rsidRPr="375F5CCE">
        <w:t>HR</w:t>
      </w:r>
      <w:r w:rsidR="00177455" w:rsidRPr="375F5CCE">
        <w:t xml:space="preserve"> </w:t>
      </w:r>
      <w:r w:rsidR="007836D6" w:rsidRPr="375F5CCE">
        <w:t>to either OS data</w:t>
      </w:r>
      <w:r w:rsidR="0070762C" w:rsidRPr="375F5CCE">
        <w:t xml:space="preserve"> </w:t>
      </w:r>
      <w:r w:rsidR="007836D6" w:rsidRPr="375F5CCE">
        <w:t xml:space="preserve">to derive a matched PFS KM curve, or from PFS data to derive a matched OS KM curve”. </w:t>
      </w:r>
      <w:r w:rsidR="005C679D" w:rsidRPr="375F5CCE">
        <w:t xml:space="preserve">Normally, </w:t>
      </w:r>
      <w:r w:rsidR="006B1A47" w:rsidRPr="375F5CCE">
        <w:t xml:space="preserve">the </w:t>
      </w:r>
      <w:r w:rsidR="003C4427" w:rsidRPr="375F5CCE">
        <w:t>HR</w:t>
      </w:r>
      <w:r w:rsidR="00216F8E" w:rsidRPr="375F5CCE">
        <w:t xml:space="preserve"> </w:t>
      </w:r>
      <w:r w:rsidR="006B1A47" w:rsidRPr="375F5CCE">
        <w:t>i</w:t>
      </w:r>
      <w:r w:rsidR="00216F8E" w:rsidRPr="375F5CCE">
        <w:t>s a measure of clinical effectiveness of the in</w:t>
      </w:r>
      <w:r w:rsidR="002B2EDD" w:rsidRPr="375F5CCE">
        <w:t>tervention v</w:t>
      </w:r>
      <w:r w:rsidR="006B1A47" w:rsidRPr="375F5CCE">
        <w:t>ersu</w:t>
      </w:r>
      <w:r w:rsidR="002B2EDD" w:rsidRPr="375F5CCE">
        <w:t xml:space="preserve">s </w:t>
      </w:r>
      <w:r w:rsidR="006B1A47" w:rsidRPr="375F5CCE">
        <w:t xml:space="preserve">a </w:t>
      </w:r>
      <w:r w:rsidR="002B2EDD" w:rsidRPr="375F5CCE">
        <w:t>comparator</w:t>
      </w:r>
      <w:r w:rsidR="006B1A47" w:rsidRPr="375F5CCE">
        <w:t xml:space="preserve">. The commentary </w:t>
      </w:r>
      <w:r w:rsidR="00BD6B21">
        <w:t>was</w:t>
      </w:r>
      <w:r w:rsidR="006B1A47" w:rsidRPr="375F5CCE">
        <w:t xml:space="preserve"> </w:t>
      </w:r>
      <w:r w:rsidR="001327D3" w:rsidRPr="375F5CCE">
        <w:t xml:space="preserve">not aware of </w:t>
      </w:r>
      <w:r w:rsidR="0076516D" w:rsidRPr="375F5CCE">
        <w:t>a</w:t>
      </w:r>
      <w:r w:rsidR="006B1A47" w:rsidRPr="375F5CCE">
        <w:t>ny</w:t>
      </w:r>
      <w:r w:rsidR="001327D3" w:rsidRPr="375F5CCE">
        <w:t xml:space="preserve"> preceden</w:t>
      </w:r>
      <w:r w:rsidR="006B1A47" w:rsidRPr="375F5CCE">
        <w:t>ce</w:t>
      </w:r>
      <w:r w:rsidR="001327D3" w:rsidRPr="375F5CCE">
        <w:t xml:space="preserve"> </w:t>
      </w:r>
      <w:r w:rsidR="003C4427" w:rsidRPr="375F5CCE">
        <w:t>of empl</w:t>
      </w:r>
      <w:r w:rsidR="002C2DCF" w:rsidRPr="375F5CCE">
        <w:t>oy</w:t>
      </w:r>
      <w:r w:rsidR="003C4427" w:rsidRPr="375F5CCE">
        <w:t xml:space="preserve">ing </w:t>
      </w:r>
      <w:r w:rsidR="002C2DCF" w:rsidRPr="375F5CCE">
        <w:t xml:space="preserve">a HR </w:t>
      </w:r>
      <w:r w:rsidR="00074275" w:rsidRPr="375F5CCE">
        <w:t>derived fro</w:t>
      </w:r>
      <w:r w:rsidR="007A1AB6" w:rsidRPr="375F5CCE">
        <w:t>m</w:t>
      </w:r>
      <w:r w:rsidR="00FB5AC6" w:rsidRPr="375F5CCE">
        <w:t xml:space="preserve"> t</w:t>
      </w:r>
      <w:r w:rsidR="0032419D" w:rsidRPr="375F5CCE">
        <w:t xml:space="preserve">wo survival functions </w:t>
      </w:r>
      <w:r w:rsidR="0014551C" w:rsidRPr="375F5CCE">
        <w:t xml:space="preserve">(OS </w:t>
      </w:r>
      <w:r w:rsidR="00B54D1F" w:rsidRPr="375F5CCE">
        <w:t>and</w:t>
      </w:r>
      <w:r w:rsidR="0014551C" w:rsidRPr="375F5CCE">
        <w:t xml:space="preserve"> PFS) </w:t>
      </w:r>
      <w:r w:rsidR="0032419D" w:rsidRPr="375F5CCE">
        <w:t>from the same</w:t>
      </w:r>
      <w:r w:rsidR="00422EB6" w:rsidRPr="375F5CCE">
        <w:t xml:space="preserve"> a</w:t>
      </w:r>
      <w:r w:rsidR="006F65EF" w:rsidRPr="375F5CCE">
        <w:t>rm of one</w:t>
      </w:r>
      <w:r w:rsidR="003C4427" w:rsidRPr="375F5CCE">
        <w:t xml:space="preserve"> trial</w:t>
      </w:r>
      <w:r w:rsidR="007A1AB6" w:rsidRPr="375F5CCE">
        <w:t xml:space="preserve"> to estimate </w:t>
      </w:r>
      <w:r w:rsidR="00A80483" w:rsidRPr="375F5CCE">
        <w:t xml:space="preserve">parameters of </w:t>
      </w:r>
      <w:r w:rsidR="006F65EF" w:rsidRPr="375F5CCE">
        <w:t xml:space="preserve">the </w:t>
      </w:r>
      <w:r w:rsidR="001B2EBE" w:rsidRPr="375F5CCE">
        <w:t xml:space="preserve">survival functions in </w:t>
      </w:r>
      <w:r w:rsidR="00F44FF5" w:rsidRPr="375F5CCE">
        <w:t>a different trial</w:t>
      </w:r>
      <w:r w:rsidR="00B54D1F" w:rsidRPr="375F5CCE">
        <w:rPr>
          <w:i/>
          <w:iCs/>
        </w:rPr>
        <w:t>.</w:t>
      </w:r>
      <w:r w:rsidR="00FB5AC6" w:rsidRPr="375F5CCE">
        <w:rPr>
          <w:i/>
          <w:iCs/>
        </w:rPr>
        <w:t xml:space="preserve"> </w:t>
      </w:r>
    </w:p>
    <w:p w14:paraId="4D88E11C" w14:textId="7B62607A" w:rsidR="00D1735C" w:rsidRDefault="004C1D33" w:rsidP="005F558B">
      <w:pPr>
        <w:spacing w:after="240"/>
      </w:pPr>
      <w:r w:rsidRPr="375F5CCE">
        <w:t xml:space="preserve">One </w:t>
      </w:r>
      <w:proofErr w:type="gramStart"/>
      <w:r w:rsidRPr="375F5CCE">
        <w:t>particular study</w:t>
      </w:r>
      <w:proofErr w:type="gramEnd"/>
      <w:r w:rsidRPr="375F5CCE">
        <w:t xml:space="preserve"> </w:t>
      </w:r>
      <w:r w:rsidR="006B1A47" w:rsidRPr="375F5CCE">
        <w:t>–</w:t>
      </w:r>
      <w:r w:rsidR="0043149A" w:rsidRPr="375F5CCE">
        <w:t xml:space="preserve"> </w:t>
      </w:r>
      <w:r w:rsidR="00515A3B" w:rsidRPr="375F5CCE">
        <w:t>BEACON</w:t>
      </w:r>
      <w:r w:rsidR="006B1A47" w:rsidRPr="375F5CCE">
        <w:t>-</w:t>
      </w:r>
      <w:r w:rsidR="00515A3B" w:rsidRPr="375F5CCE">
        <w:t>1 (Moreno 2024, all arms</w:t>
      </w:r>
      <w:r w:rsidR="00E72564" w:rsidRPr="375F5CCE">
        <w:t>)</w:t>
      </w:r>
      <w:r w:rsidRPr="375F5CCE">
        <w:t xml:space="preserve"> -</w:t>
      </w:r>
      <w:r w:rsidR="00515A3B" w:rsidRPr="375F5CCE">
        <w:t xml:space="preserve"> </w:t>
      </w:r>
      <w:r w:rsidR="0043149A" w:rsidRPr="375F5CCE">
        <w:t xml:space="preserve">was </w:t>
      </w:r>
      <w:r w:rsidRPr="375F5CCE">
        <w:t xml:space="preserve">selected as </w:t>
      </w:r>
      <w:r w:rsidR="00E72564" w:rsidRPr="375F5CCE">
        <w:t xml:space="preserve">the </w:t>
      </w:r>
      <w:r w:rsidR="0009718D" w:rsidRPr="375F5CCE">
        <w:t xml:space="preserve">source for </w:t>
      </w:r>
      <w:r w:rsidR="00C85C97" w:rsidRPr="375F5CCE">
        <w:t xml:space="preserve">OS coefficients (with covariances) </w:t>
      </w:r>
      <w:r w:rsidR="001669EE" w:rsidRPr="375F5CCE">
        <w:t xml:space="preserve">that </w:t>
      </w:r>
      <w:r w:rsidR="00C85C97" w:rsidRPr="375F5CCE">
        <w:t>were then combined with parametric survival models for PFS to obtain full OS models</w:t>
      </w:r>
      <w:r w:rsidR="007F367F" w:rsidRPr="375F5CCE">
        <w:t>. The ICER estimates based on BEACON</w:t>
      </w:r>
      <w:r w:rsidR="006B1A47" w:rsidRPr="375F5CCE">
        <w:t>-</w:t>
      </w:r>
      <w:r w:rsidR="007F367F" w:rsidRPr="375F5CCE">
        <w:t xml:space="preserve">1 (all arms) </w:t>
      </w:r>
      <w:r w:rsidR="006B1A47" w:rsidRPr="375F5CCE">
        <w:t xml:space="preserve">are </w:t>
      </w:r>
      <w:r w:rsidR="0043149A" w:rsidRPr="375F5CCE">
        <w:t xml:space="preserve">presented in </w:t>
      </w:r>
      <w:r>
        <w:fldChar w:fldCharType="begin"/>
      </w:r>
      <w:r>
        <w:instrText xml:space="preserve"> REF _Ref184188432 \h </w:instrText>
      </w:r>
      <w:r>
        <w:fldChar w:fldCharType="separate"/>
      </w:r>
      <w:r w:rsidR="00C02A66" w:rsidRPr="375F5CCE">
        <w:t>Table </w:t>
      </w:r>
      <w:r w:rsidR="00C02A66" w:rsidRPr="375F5CCE">
        <w:rPr>
          <w:noProof/>
        </w:rPr>
        <w:t>11</w:t>
      </w:r>
      <w:r>
        <w:fldChar w:fldCharType="end"/>
      </w:r>
      <w:r w:rsidR="007F367F" w:rsidRPr="375F5CCE">
        <w:t>.</w:t>
      </w:r>
      <w:r w:rsidR="0098524F" w:rsidRPr="375F5CCE">
        <w:t xml:space="preserve"> The data sources and extrapolations informing PFS was the same as in </w:t>
      </w:r>
      <w:r w:rsidR="00694CCC" w:rsidRPr="375F5CCE">
        <w:t xml:space="preserve">the </w:t>
      </w:r>
      <w:r w:rsidR="00E860EC" w:rsidRPr="375F5CCE">
        <w:t>Method 1</w:t>
      </w:r>
      <w:r w:rsidR="0098524F" w:rsidRPr="375F5CCE">
        <w:t>.</w:t>
      </w:r>
    </w:p>
    <w:p w14:paraId="6F213992" w14:textId="18AFE98A" w:rsidR="005E710B" w:rsidRDefault="003C540B" w:rsidP="005F558B">
      <w:pPr>
        <w:spacing w:after="240"/>
      </w:pPr>
      <w:r w:rsidRPr="375F5CCE">
        <w:t>Every study</w:t>
      </w:r>
      <w:r w:rsidR="00D1735C" w:rsidRPr="375F5CCE">
        <w:t xml:space="preserve"> used to inform the OS </w:t>
      </w:r>
      <w:r w:rsidR="00BB7487" w:rsidRPr="375F5CCE">
        <w:t>extrapolation</w:t>
      </w:r>
      <w:r w:rsidR="00D1735C" w:rsidRPr="375F5CCE">
        <w:t xml:space="preserve"> </w:t>
      </w:r>
      <w:r w:rsidR="00BB7487" w:rsidRPr="375F5CCE">
        <w:t>ha</w:t>
      </w:r>
      <w:r w:rsidRPr="375F5CCE">
        <w:t>s</w:t>
      </w:r>
      <w:r w:rsidR="00BB7487" w:rsidRPr="375F5CCE">
        <w:t xml:space="preserve"> a limited</w:t>
      </w:r>
      <w:r w:rsidR="00D1735C" w:rsidRPr="375F5CCE">
        <w:t xml:space="preserve"> applicability to</w:t>
      </w:r>
      <w:r w:rsidR="00C30A64" w:rsidRPr="375F5CCE">
        <w:t xml:space="preserve"> the</w:t>
      </w:r>
      <w:r w:rsidR="00D1735C" w:rsidRPr="375F5CCE">
        <w:t xml:space="preserve"> RRHRNBL </w:t>
      </w:r>
      <w:r w:rsidR="00BB7487" w:rsidRPr="375F5CCE">
        <w:t>population</w:t>
      </w:r>
      <w:r w:rsidR="00D1735C" w:rsidRPr="375F5CCE">
        <w:t xml:space="preserve"> since the </w:t>
      </w:r>
      <w:r w:rsidR="001101B4" w:rsidRPr="375F5CCE">
        <w:t>subgroups</w:t>
      </w:r>
      <w:r w:rsidR="00D1735C" w:rsidRPr="375F5CCE">
        <w:t xml:space="preserve"> of patients treated with the relevant intervention (</w:t>
      </w:r>
      <w:r w:rsidR="006B1A47" w:rsidRPr="375F5CCE">
        <w:t>D</w:t>
      </w:r>
      <w:r w:rsidR="00D1735C" w:rsidRPr="375F5CCE">
        <w:t xml:space="preserve">B) or </w:t>
      </w:r>
      <w:r w:rsidR="00D10309" w:rsidRPr="375F5CCE">
        <w:t xml:space="preserve">comparator </w:t>
      </w:r>
      <w:r w:rsidR="00D1735C" w:rsidRPr="375F5CCE">
        <w:t>chemotherapy regimens (TOTEM or TEMIRI) were relatively small</w:t>
      </w:r>
      <w:r w:rsidR="001101B4" w:rsidRPr="375F5CCE">
        <w:t xml:space="preserve"> in every data source.</w:t>
      </w:r>
      <w:r w:rsidR="00D1735C" w:rsidRPr="375F5CCE">
        <w:t xml:space="preserve"> </w:t>
      </w:r>
      <w:r w:rsidR="00927AA3" w:rsidRPr="375F5CCE">
        <w:t>More specifically</w:t>
      </w:r>
      <w:r w:rsidR="001101B4" w:rsidRPr="375F5CCE">
        <w:t>, t</w:t>
      </w:r>
      <w:r w:rsidR="00C32823" w:rsidRPr="375F5CCE">
        <w:t>he</w:t>
      </w:r>
      <w:r w:rsidR="00B757E1" w:rsidRPr="375F5CCE">
        <w:t xml:space="preserve"> applicability of BEACON-1 (N=160)</w:t>
      </w:r>
      <w:r w:rsidR="00587C0A" w:rsidRPr="375F5CCE">
        <w:t xml:space="preserve"> data aggregated across all arms of the trial</w:t>
      </w:r>
      <w:r w:rsidR="00B757E1" w:rsidRPr="375F5CCE">
        <w:t xml:space="preserve"> to the research question of comparative effectiveness of </w:t>
      </w:r>
      <w:r w:rsidR="006B1A47" w:rsidRPr="375F5CCE">
        <w:t>D</w:t>
      </w:r>
      <w:r w:rsidR="00B757E1" w:rsidRPr="375F5CCE">
        <w:t xml:space="preserve">B </w:t>
      </w:r>
      <w:r w:rsidR="00C32823" w:rsidRPr="375F5CCE">
        <w:t>vs</w:t>
      </w:r>
      <w:r w:rsidR="00B757E1" w:rsidRPr="375F5CCE">
        <w:t xml:space="preserve"> chemotherapy is questionable. BEACON-1 used 3x2 factorial design to allocate patients to temozolomide, TEMIRI, or TOTEM with or without bevacizumab. Concerns about selecting and mixing the data from various trials</w:t>
      </w:r>
      <w:r w:rsidR="00C30A64" w:rsidRPr="375F5CCE">
        <w:t>,</w:t>
      </w:r>
      <w:r w:rsidR="00B757E1" w:rsidRPr="375F5CCE">
        <w:t xml:space="preserve"> including trials of medications other than </w:t>
      </w:r>
      <w:r w:rsidR="006B1A47" w:rsidRPr="375F5CCE">
        <w:t>D</w:t>
      </w:r>
      <w:r w:rsidR="00B757E1" w:rsidRPr="375F5CCE">
        <w:t>B/</w:t>
      </w:r>
      <w:r w:rsidR="006B1A47" w:rsidRPr="375F5CCE">
        <w:t>D</w:t>
      </w:r>
      <w:r w:rsidR="00B757E1" w:rsidRPr="375F5CCE">
        <w:t xml:space="preserve">A and </w:t>
      </w:r>
      <w:r w:rsidR="006B1A47" w:rsidRPr="375F5CCE">
        <w:t xml:space="preserve">the nominated </w:t>
      </w:r>
      <w:r w:rsidR="00B757E1" w:rsidRPr="375F5CCE">
        <w:t>comparator</w:t>
      </w:r>
      <w:r w:rsidR="006B1A47" w:rsidRPr="375F5CCE">
        <w:t>s,</w:t>
      </w:r>
      <w:r w:rsidR="00B757E1" w:rsidRPr="375F5CCE">
        <w:t xml:space="preserve"> TEMIRI and TOTEM</w:t>
      </w:r>
      <w:r w:rsidR="00C30A64" w:rsidRPr="375F5CCE">
        <w:t>,</w:t>
      </w:r>
      <w:r w:rsidR="00B757E1" w:rsidRPr="375F5CCE">
        <w:t xml:space="preserve"> are presented above. </w:t>
      </w:r>
      <w:r w:rsidR="00726375" w:rsidRPr="375F5CCE">
        <w:t>There is no clinical justification for selecting the BEACON-1</w:t>
      </w:r>
      <w:r w:rsidR="00C815B7" w:rsidRPr="375F5CCE">
        <w:t xml:space="preserve"> </w:t>
      </w:r>
      <w:r w:rsidR="008D1618" w:rsidRPr="375F5CCE">
        <w:t>trial other than its large sample size of 160 patients</w:t>
      </w:r>
      <w:r w:rsidR="00D50A56" w:rsidRPr="375F5CCE">
        <w:t xml:space="preserve"> because</w:t>
      </w:r>
      <w:r w:rsidR="00726375" w:rsidRPr="375F5CCE">
        <w:t xml:space="preserve"> the evidence </w:t>
      </w:r>
      <w:r w:rsidR="00D50A56" w:rsidRPr="375F5CCE">
        <w:t>relates to</w:t>
      </w:r>
      <w:r w:rsidR="00726375" w:rsidRPr="375F5CCE">
        <w:t xml:space="preserve"> </w:t>
      </w:r>
      <w:r w:rsidR="00CD48EF" w:rsidRPr="375F5CCE">
        <w:t>some</w:t>
      </w:r>
      <w:r w:rsidR="00EF6858" w:rsidRPr="375F5CCE">
        <w:t xml:space="preserve"> arms</w:t>
      </w:r>
      <w:r w:rsidR="00726375" w:rsidRPr="375F5CCE">
        <w:t xml:space="preserve"> involving bevacizumab </w:t>
      </w:r>
      <w:r w:rsidR="00EF6858" w:rsidRPr="375F5CCE">
        <w:t>while no</w:t>
      </w:r>
      <w:r w:rsidR="00CD48EF" w:rsidRPr="375F5CCE">
        <w:t xml:space="preserve"> </w:t>
      </w:r>
      <w:r w:rsidR="00726375" w:rsidRPr="375F5CCE">
        <w:t>chemoimmunotherapy (</w:t>
      </w:r>
      <w:r w:rsidR="006B1A47" w:rsidRPr="375F5CCE">
        <w:t>D</w:t>
      </w:r>
      <w:r w:rsidR="00726375" w:rsidRPr="375F5CCE">
        <w:t xml:space="preserve">B or </w:t>
      </w:r>
      <w:r w:rsidR="006B1A47" w:rsidRPr="375F5CCE">
        <w:t>D</w:t>
      </w:r>
      <w:r w:rsidR="00726375" w:rsidRPr="375F5CCE">
        <w:t>A)</w:t>
      </w:r>
      <w:r w:rsidR="00CD48EF" w:rsidRPr="375F5CCE">
        <w:t xml:space="preserve"> therapy regimen was featured in any arm of the trial</w:t>
      </w:r>
      <w:r w:rsidR="00726375" w:rsidRPr="375F5CCE">
        <w:t xml:space="preserve">, making it irrelevant to the </w:t>
      </w:r>
      <w:r w:rsidR="0064278B" w:rsidRPr="375F5CCE">
        <w:t>purpose of the</w:t>
      </w:r>
      <w:r w:rsidR="00726375" w:rsidRPr="375F5CCE">
        <w:t xml:space="preserve"> </w:t>
      </w:r>
      <w:r w:rsidR="00E860EC" w:rsidRPr="375F5CCE">
        <w:t>ADAR</w:t>
      </w:r>
      <w:r w:rsidR="00726375" w:rsidRPr="375F5CCE">
        <w:t xml:space="preserve">. </w:t>
      </w:r>
    </w:p>
    <w:p w14:paraId="78013AF3" w14:textId="3CB5D49A" w:rsidR="00060A3D" w:rsidRDefault="00E01802" w:rsidP="005F558B">
      <w:pPr>
        <w:spacing w:after="240"/>
      </w:pPr>
      <w:r w:rsidRPr="375F5CCE">
        <w:lastRenderedPageBreak/>
        <w:t xml:space="preserve">However, there were </w:t>
      </w:r>
      <w:r w:rsidR="00853768" w:rsidRPr="375F5CCE">
        <w:t>statistical</w:t>
      </w:r>
      <w:r w:rsidRPr="375F5CCE">
        <w:t xml:space="preserve"> </w:t>
      </w:r>
      <w:r w:rsidR="00853768" w:rsidRPr="375F5CCE">
        <w:t>considerations in favour of</w:t>
      </w:r>
      <w:r w:rsidR="001D39EE" w:rsidRPr="375F5CCE">
        <w:t xml:space="preserve"> the</w:t>
      </w:r>
      <w:r w:rsidR="00853768" w:rsidRPr="375F5CCE">
        <w:t xml:space="preserve"> BEACON-1 trial. </w:t>
      </w:r>
      <w:r w:rsidR="00CB1D80" w:rsidRPr="375F5CCE">
        <w:t xml:space="preserve">The </w:t>
      </w:r>
      <w:r w:rsidR="00E860EC" w:rsidRPr="375F5CCE">
        <w:t xml:space="preserve">ADAR </w:t>
      </w:r>
      <w:r w:rsidR="00CB1D80" w:rsidRPr="375F5CCE">
        <w:t>reasonably suggest</w:t>
      </w:r>
      <w:r w:rsidR="00E860EC" w:rsidRPr="375F5CCE">
        <w:t>ed</w:t>
      </w:r>
      <w:r w:rsidR="00CB1D80" w:rsidRPr="375F5CCE">
        <w:t xml:space="preserve"> that </w:t>
      </w:r>
      <w:r w:rsidR="00EC2F40" w:rsidRPr="375F5CCE">
        <w:t xml:space="preserve">in relation to </w:t>
      </w:r>
      <w:r w:rsidR="00E860EC" w:rsidRPr="375F5CCE">
        <w:t xml:space="preserve">the </w:t>
      </w:r>
      <w:r w:rsidR="00EC2F40" w:rsidRPr="375F5CCE">
        <w:t>BEACON-1 RCT</w:t>
      </w:r>
      <w:r w:rsidR="007B6D8F" w:rsidRPr="375F5CCE">
        <w:t>,</w:t>
      </w:r>
      <w:r w:rsidR="00EC2F40" w:rsidRPr="375F5CCE">
        <w:t xml:space="preserve"> </w:t>
      </w:r>
      <w:r w:rsidR="00CB1D80" w:rsidRPr="375F5CCE">
        <w:t>the assumption of proportionality of hazards in Cox regression</w:t>
      </w:r>
      <w:r w:rsidR="002A03D6" w:rsidRPr="375F5CCE">
        <w:t xml:space="preserve"> should be confirmed</w:t>
      </w:r>
      <w:r w:rsidR="00CB1D80" w:rsidRPr="375F5CCE">
        <w:t xml:space="preserve">, without which the parameter estimates that </w:t>
      </w:r>
      <w:r w:rsidR="00406896" w:rsidRPr="375F5CCE">
        <w:t xml:space="preserve">the </w:t>
      </w:r>
      <w:r w:rsidR="00E860EC" w:rsidRPr="375F5CCE">
        <w:t xml:space="preserve">ADAR </w:t>
      </w:r>
      <w:r w:rsidR="00CB1D80" w:rsidRPr="375F5CCE">
        <w:t>employed to extrapolate OS (or PFS) in the “matched” study are unreliable.</w:t>
      </w:r>
      <w:r w:rsidR="00354F4F" w:rsidRPr="375F5CCE">
        <w:t xml:space="preserve"> </w:t>
      </w:r>
      <w:r w:rsidR="00CA0C68" w:rsidRPr="375F5CCE">
        <w:t xml:space="preserve">The HR of OS vs PFS </w:t>
      </w:r>
      <w:r w:rsidR="000806AB" w:rsidRPr="375F5CCE">
        <w:t>in BEACON-1 tr</w:t>
      </w:r>
      <w:r w:rsidR="00575395" w:rsidRPr="375F5CCE">
        <w:t>ial</w:t>
      </w:r>
      <w:r w:rsidR="000806AB" w:rsidRPr="375F5CCE">
        <w:t xml:space="preserve"> was 0.</w:t>
      </w:r>
      <w:r w:rsidR="00EE13C8" w:rsidRPr="375F5CCE">
        <w:t>67</w:t>
      </w:r>
      <w:r w:rsidR="000806AB" w:rsidRPr="375F5CCE">
        <w:t xml:space="preserve"> </w:t>
      </w:r>
      <w:r w:rsidR="00575395" w:rsidRPr="375F5CCE">
        <w:t>with</w:t>
      </w:r>
      <w:r w:rsidR="00EE13C8" w:rsidRPr="375F5CCE">
        <w:t xml:space="preserve"> the</w:t>
      </w:r>
      <w:r w:rsidR="006C18B5" w:rsidRPr="375F5CCE">
        <w:t xml:space="preserve"> p-value</w:t>
      </w:r>
      <w:r w:rsidR="00EE13C8" w:rsidRPr="375F5CCE">
        <w:t xml:space="preserve"> </w:t>
      </w:r>
      <w:r w:rsidR="00155FBC" w:rsidRPr="375F5CCE">
        <w:t>of 0.002</w:t>
      </w:r>
      <w:r w:rsidR="006C18B5" w:rsidRPr="375F5CCE">
        <w:t xml:space="preserve"> indicat</w:t>
      </w:r>
      <w:r w:rsidR="00CC240B" w:rsidRPr="375F5CCE">
        <w:t>ing</w:t>
      </w:r>
      <w:r w:rsidR="006C18B5" w:rsidRPr="375F5CCE">
        <w:t xml:space="preserve"> </w:t>
      </w:r>
      <w:r w:rsidR="004A69D2" w:rsidRPr="375F5CCE">
        <w:t>that the rates of disease progression and mortality in patients receiving chemotherapy</w:t>
      </w:r>
      <w:r w:rsidR="00840D98" w:rsidRPr="375F5CCE">
        <w:t xml:space="preserve"> with or without </w:t>
      </w:r>
      <w:r w:rsidR="000205BE" w:rsidRPr="375F5CCE">
        <w:t xml:space="preserve">bevacizumab </w:t>
      </w:r>
      <w:r w:rsidR="00EC114C" w:rsidRPr="375F5CCE">
        <w:t xml:space="preserve">are </w:t>
      </w:r>
      <w:r w:rsidR="0013535E" w:rsidRPr="375F5CCE">
        <w:t xml:space="preserve">statistically different </w:t>
      </w:r>
      <w:r w:rsidR="00E42B71" w:rsidRPr="375F5CCE">
        <w:t>and constant over time</w:t>
      </w:r>
      <w:r w:rsidR="00794E58" w:rsidRPr="375F5CCE">
        <w:t>.</w:t>
      </w:r>
      <w:r w:rsidR="006C18B5" w:rsidRPr="375F5CCE">
        <w:t xml:space="preserve"> </w:t>
      </w:r>
      <w:r w:rsidR="00354F4F" w:rsidRPr="375F5CCE">
        <w:t>However</w:t>
      </w:r>
      <w:r w:rsidR="00785ADE" w:rsidRPr="375F5CCE">
        <w:t>,</w:t>
      </w:r>
      <w:r w:rsidR="00354F4F" w:rsidRPr="375F5CCE">
        <w:t xml:space="preserve"> th</w:t>
      </w:r>
      <w:r w:rsidR="00EB4903" w:rsidRPr="375F5CCE">
        <w:t xml:space="preserve">is conclusion is not consistent with </w:t>
      </w:r>
      <w:r w:rsidR="00E63093" w:rsidRPr="375F5CCE">
        <w:t xml:space="preserve">graphical representation </w:t>
      </w:r>
      <w:r w:rsidR="007D42FB" w:rsidRPr="375F5CCE">
        <w:t>of</w:t>
      </w:r>
      <w:r w:rsidR="003C6A82" w:rsidRPr="375F5CCE">
        <w:t xml:space="preserve"> </w:t>
      </w:r>
      <w:r w:rsidR="00E63093" w:rsidRPr="375F5CCE">
        <w:t xml:space="preserve">the survival function versus the survival time </w:t>
      </w:r>
      <w:r w:rsidR="007D42FB" w:rsidRPr="375F5CCE">
        <w:t>and</w:t>
      </w:r>
      <w:r w:rsidR="00E63093" w:rsidRPr="375F5CCE">
        <w:t xml:space="preserve"> </w:t>
      </w:r>
      <w:r w:rsidR="00475F3B" w:rsidRPr="375F5CCE">
        <w:t xml:space="preserve">the </w:t>
      </w:r>
      <w:r w:rsidR="00E63093" w:rsidRPr="375F5CCE">
        <w:t>graph of the log(-log(survival)) versus log of survival time</w:t>
      </w:r>
      <w:r w:rsidR="00A94605" w:rsidRPr="375F5CCE">
        <w:t xml:space="preserve">. </w:t>
      </w:r>
      <w:r w:rsidR="00FF04CA" w:rsidRPr="375F5CCE">
        <w:t>I</w:t>
      </w:r>
      <w:r w:rsidR="00092E32" w:rsidRPr="375F5CCE">
        <w:t>f</w:t>
      </w:r>
      <w:r w:rsidR="00E63093" w:rsidRPr="375F5CCE">
        <w:t xml:space="preserve"> </w:t>
      </w:r>
      <w:r w:rsidR="00092E32" w:rsidRPr="375F5CCE">
        <w:t xml:space="preserve">hazard is </w:t>
      </w:r>
      <w:r w:rsidR="00A94605" w:rsidRPr="375F5CCE">
        <w:t>proportional</w:t>
      </w:r>
      <w:r w:rsidR="00092E32" w:rsidRPr="375F5CCE">
        <w:t>,</w:t>
      </w:r>
      <w:r w:rsidR="00A94605" w:rsidRPr="375F5CCE">
        <w:t xml:space="preserve"> the</w:t>
      </w:r>
      <w:r w:rsidR="00E15570" w:rsidRPr="375F5CCE">
        <w:t xml:space="preserve"> curves</w:t>
      </w:r>
      <w:r w:rsidR="007D42FB" w:rsidRPr="375F5CCE">
        <w:t xml:space="preserve"> </w:t>
      </w:r>
      <w:r w:rsidR="00FF04CA" w:rsidRPr="375F5CCE">
        <w:t>should be roughly parallel, but they seem to intersect at around</w:t>
      </w:r>
      <w:r w:rsidR="007250D2" w:rsidRPr="375F5CCE">
        <w:t xml:space="preserve"> the</w:t>
      </w:r>
      <w:r w:rsidR="00FF04CA" w:rsidRPr="375F5CCE">
        <w:t xml:space="preserve"> </w:t>
      </w:r>
      <w:proofErr w:type="gramStart"/>
      <w:r w:rsidR="00FF04CA" w:rsidRPr="375F5CCE">
        <w:t>2200 day</w:t>
      </w:r>
      <w:proofErr w:type="gramEnd"/>
      <w:r w:rsidR="00FF04CA" w:rsidRPr="375F5CCE">
        <w:t xml:space="preserve"> mark (~6 years of the </w:t>
      </w:r>
      <w:proofErr w:type="gramStart"/>
      <w:r w:rsidR="00FF04CA" w:rsidRPr="375F5CCE">
        <w:t>20 year</w:t>
      </w:r>
      <w:proofErr w:type="gramEnd"/>
      <w:r w:rsidR="00FF04CA" w:rsidRPr="375F5CCE">
        <w:t xml:space="preserve"> time horizon). However, </w:t>
      </w:r>
      <w:r w:rsidR="0099793A" w:rsidRPr="375F5CCE">
        <w:t>given</w:t>
      </w:r>
      <w:r w:rsidR="00FF04CA" w:rsidRPr="375F5CCE">
        <w:t xml:space="preserve"> the larger scale of more serious deficiencies </w:t>
      </w:r>
      <w:r w:rsidR="00F112F1" w:rsidRPr="375F5CCE">
        <w:t>in</w:t>
      </w:r>
      <w:r w:rsidR="00FF04CA" w:rsidRPr="375F5CCE">
        <w:t xml:space="preserve"> the modelled economic evaluation, these appear to be minor.</w:t>
      </w:r>
      <w:r w:rsidR="00C11180" w:rsidRPr="375F5CCE">
        <w:t xml:space="preserve"> Suspending for </w:t>
      </w:r>
      <w:r w:rsidR="00F112F1" w:rsidRPr="375F5CCE">
        <w:t>a</w:t>
      </w:r>
      <w:r w:rsidR="00C11180" w:rsidRPr="375F5CCE">
        <w:t xml:space="preserve"> moment the reservations about the previously untested method of obtaining the missing survival data (no reference to the literature was provided), the ANBL-1221 (</w:t>
      </w:r>
      <w:r w:rsidR="00E860EC" w:rsidRPr="375F5CCE">
        <w:t>D</w:t>
      </w:r>
      <w:r w:rsidR="00C11180" w:rsidRPr="375F5CCE">
        <w:t xml:space="preserve">A) trial seems to be more appropriate to inform the missing parameters of KM curves extrapolating OS (PFS) in the model. </w:t>
      </w:r>
      <w:r w:rsidR="00431F68" w:rsidRPr="375F5CCE">
        <w:t>However</w:t>
      </w:r>
      <w:r w:rsidR="00375610" w:rsidRPr="375F5CCE">
        <w:t>, it appears that neither ANBL-1221</w:t>
      </w:r>
      <w:r w:rsidR="00826A1B" w:rsidRPr="375F5CCE">
        <w:t xml:space="preserve"> </w:t>
      </w:r>
      <w:r w:rsidR="00375610" w:rsidRPr="375F5CCE">
        <w:t>nor</w:t>
      </w:r>
      <w:r w:rsidR="00604582" w:rsidRPr="375F5CCE">
        <w:t xml:space="preserve"> </w:t>
      </w:r>
      <w:r w:rsidR="00165157" w:rsidRPr="375F5CCE">
        <w:t xml:space="preserve">the meta-analysis of three chemotherapy trials </w:t>
      </w:r>
      <w:r w:rsidR="00D644D2" w:rsidRPr="375F5CCE">
        <w:t xml:space="preserve">Moreno (2017) </w:t>
      </w:r>
      <w:r w:rsidR="00514273" w:rsidRPr="375F5CCE">
        <w:t>meet</w:t>
      </w:r>
      <w:r w:rsidR="007D6F9A" w:rsidRPr="375F5CCE">
        <w:t xml:space="preserve"> the</w:t>
      </w:r>
      <w:r w:rsidR="00514273" w:rsidRPr="375F5CCE">
        <w:t xml:space="preserve"> </w:t>
      </w:r>
      <w:r w:rsidR="00C41165" w:rsidRPr="375F5CCE">
        <w:t>proportionality of hazard</w:t>
      </w:r>
      <w:r w:rsidR="00514273" w:rsidRPr="375F5CCE">
        <w:t xml:space="preserve"> assumption</w:t>
      </w:r>
      <w:r w:rsidR="00C41165" w:rsidRPr="375F5CCE">
        <w:t xml:space="preserve"> and </w:t>
      </w:r>
      <w:r w:rsidR="00AD28C6" w:rsidRPr="375F5CCE">
        <w:t>it</w:t>
      </w:r>
      <w:r w:rsidR="00514273" w:rsidRPr="375F5CCE">
        <w:t>s</w:t>
      </w:r>
      <w:r w:rsidR="00AD28C6" w:rsidRPr="375F5CCE">
        <w:t xml:space="preserve"> constancy over time</w:t>
      </w:r>
      <w:r w:rsidR="00F6540E" w:rsidRPr="375F5CCE">
        <w:t>.</w:t>
      </w:r>
      <w:r w:rsidR="00604582" w:rsidRPr="375F5CCE">
        <w:t xml:space="preserve"> </w:t>
      </w:r>
    </w:p>
    <w:p w14:paraId="778666CA" w14:textId="05D22DD0" w:rsidR="00477497" w:rsidRPr="00AD20A5" w:rsidRDefault="00477497" w:rsidP="005F558B">
      <w:pPr>
        <w:spacing w:after="240"/>
      </w:pPr>
      <w:r w:rsidRPr="00AD20A5">
        <w:t xml:space="preserve">Other </w:t>
      </w:r>
      <w:r w:rsidR="000D60DA" w:rsidRPr="00AD20A5">
        <w:t>implications</w:t>
      </w:r>
      <w:r w:rsidRPr="00AD20A5">
        <w:t xml:space="preserve"> </w:t>
      </w:r>
      <w:r w:rsidR="00CD5F23" w:rsidRPr="00AD20A5">
        <w:t>of</w:t>
      </w:r>
      <w:r w:rsidRPr="00AD20A5">
        <w:t xml:space="preserve"> using </w:t>
      </w:r>
      <w:r w:rsidR="00E860EC" w:rsidRPr="00AD20A5">
        <w:t>Method 2</w:t>
      </w:r>
      <w:r w:rsidRPr="00AD20A5">
        <w:t xml:space="preserve"> to </w:t>
      </w:r>
      <w:r w:rsidR="00CD25BA" w:rsidRPr="00AD20A5">
        <w:t>derive</w:t>
      </w:r>
      <w:r w:rsidRPr="00AD20A5">
        <w:t xml:space="preserve"> </w:t>
      </w:r>
      <w:r w:rsidR="001629AC" w:rsidRPr="00AD20A5">
        <w:t xml:space="preserve">the </w:t>
      </w:r>
      <w:r w:rsidR="00CD25BA" w:rsidRPr="00AD20A5">
        <w:t xml:space="preserve">missing </w:t>
      </w:r>
      <w:r w:rsidRPr="00AD20A5">
        <w:t>OS</w:t>
      </w:r>
      <w:r w:rsidR="00CD25BA" w:rsidRPr="00AD20A5">
        <w:t xml:space="preserve"> from PFS</w:t>
      </w:r>
      <w:r w:rsidRPr="00AD20A5">
        <w:t xml:space="preserve"> include:</w:t>
      </w:r>
    </w:p>
    <w:p w14:paraId="116EF8EF" w14:textId="6F8D65F7" w:rsidR="00477497" w:rsidRPr="00AD20A5" w:rsidRDefault="007D6F9A" w:rsidP="00EE5979">
      <w:pPr>
        <w:pStyle w:val="ListParagraph"/>
        <w:numPr>
          <w:ilvl w:val="0"/>
          <w:numId w:val="12"/>
        </w:numPr>
        <w:spacing w:after="240"/>
        <w:ind w:left="284" w:hanging="284"/>
      </w:pPr>
      <w:r w:rsidRPr="00AD20A5">
        <w:t>appl</w:t>
      </w:r>
      <w:r w:rsidR="00CD5F23" w:rsidRPr="00AD20A5">
        <w:t>ying</w:t>
      </w:r>
      <w:r w:rsidR="00477497" w:rsidRPr="00AD20A5">
        <w:t xml:space="preserve"> a single coefficient </w:t>
      </w:r>
      <w:r w:rsidR="007F51FD" w:rsidRPr="00AD20A5">
        <w:t xml:space="preserve">from a simple Cox regression </w:t>
      </w:r>
      <w:r w:rsidR="00477497" w:rsidRPr="00AD20A5">
        <w:t xml:space="preserve">assumes a static relationship between PFS and OS </w:t>
      </w:r>
      <w:r w:rsidR="00787C86" w:rsidRPr="00AD20A5">
        <w:t>from the same ar</w:t>
      </w:r>
      <w:r w:rsidR="00D5555B" w:rsidRPr="00AD20A5">
        <w:t xml:space="preserve">m of ANBL-1221 or a </w:t>
      </w:r>
      <w:r w:rsidR="006427DC" w:rsidRPr="00AD20A5">
        <w:t xml:space="preserve">single-arm study </w:t>
      </w:r>
      <w:r w:rsidR="00477497" w:rsidRPr="00AD20A5">
        <w:t xml:space="preserve">and does not capture time-dependent covariates. </w:t>
      </w:r>
      <w:r w:rsidR="00DD68C3" w:rsidRPr="00AD20A5">
        <w:t xml:space="preserve">The clinical and </w:t>
      </w:r>
      <w:r w:rsidR="008561D0" w:rsidRPr="00AD20A5">
        <w:t>modelling significance of this is unclear</w:t>
      </w:r>
      <w:r w:rsidR="00477497" w:rsidRPr="00AD20A5">
        <w:t xml:space="preserve">; and </w:t>
      </w:r>
    </w:p>
    <w:p w14:paraId="69509867" w14:textId="233293FB" w:rsidR="00477497" w:rsidRPr="00AD20A5" w:rsidRDefault="00E860EC" w:rsidP="00EE5979">
      <w:pPr>
        <w:pStyle w:val="ListParagraph"/>
        <w:numPr>
          <w:ilvl w:val="0"/>
          <w:numId w:val="12"/>
        </w:numPr>
        <w:spacing w:after="240"/>
        <w:ind w:left="284" w:hanging="284"/>
      </w:pPr>
      <w:r w:rsidRPr="375F5CCE">
        <w:t>s</w:t>
      </w:r>
      <w:r w:rsidR="00477497" w:rsidRPr="375F5CCE">
        <w:t>ince OS is dependent on the parametric function of PFS, it is possible that the selected function is not the most appropriate fit for modelling OS</w:t>
      </w:r>
      <w:r w:rsidRPr="375F5CCE">
        <w:t>.</w:t>
      </w:r>
    </w:p>
    <w:p w14:paraId="53F38E5E" w14:textId="75D4E631" w:rsidR="00477497" w:rsidRPr="00AD20A5" w:rsidRDefault="0033511C" w:rsidP="005F558B">
      <w:pPr>
        <w:spacing w:after="240"/>
      </w:pPr>
      <w:r w:rsidRPr="00AD20A5">
        <w:fldChar w:fldCharType="begin"/>
      </w:r>
      <w:r w:rsidRPr="00AD20A5">
        <w:instrText xml:space="preserve"> REF _Ref183987574 \h </w:instrText>
      </w:r>
      <w:r w:rsidR="00DD211F" w:rsidRPr="00AD20A5">
        <w:instrText xml:space="preserve"> \* MERGEFORMAT </w:instrText>
      </w:r>
      <w:r w:rsidRPr="00AD20A5">
        <w:fldChar w:fldCharType="separate"/>
      </w:r>
      <w:r w:rsidR="00C02A66" w:rsidRPr="00B00743">
        <w:t xml:space="preserve">Figure </w:t>
      </w:r>
      <w:r w:rsidR="00C02A66">
        <w:t>5</w:t>
      </w:r>
      <w:r w:rsidRPr="00AD20A5">
        <w:fldChar w:fldCharType="end"/>
      </w:r>
      <w:r w:rsidRPr="00AD20A5">
        <w:t xml:space="preserve"> </w:t>
      </w:r>
      <w:r w:rsidR="00C527CB" w:rsidRPr="00AD20A5">
        <w:t>p</w:t>
      </w:r>
      <w:r w:rsidR="00F71762" w:rsidRPr="00AD20A5">
        <w:t xml:space="preserve">resents model traces corresponding to </w:t>
      </w:r>
      <w:r w:rsidR="00477497" w:rsidRPr="00AD20A5">
        <w:t xml:space="preserve">the alternative data sources </w:t>
      </w:r>
      <w:r w:rsidR="0036441B" w:rsidRPr="00AD20A5">
        <w:t xml:space="preserve">used </w:t>
      </w:r>
      <w:r w:rsidR="00477497" w:rsidRPr="00AD20A5">
        <w:t>to inform</w:t>
      </w:r>
      <w:r w:rsidR="005D5A7C" w:rsidRPr="00AD20A5">
        <w:t xml:space="preserve"> the OS</w:t>
      </w:r>
      <w:r w:rsidR="00477497" w:rsidRPr="00AD20A5">
        <w:t xml:space="preserve"> </w:t>
      </w:r>
      <w:r w:rsidR="008B08A3" w:rsidRPr="00AD20A5">
        <w:t xml:space="preserve">parametric </w:t>
      </w:r>
      <w:r w:rsidR="00FA2D9D" w:rsidRPr="00AD20A5">
        <w:t xml:space="preserve">curves </w:t>
      </w:r>
      <w:r w:rsidR="00477497" w:rsidRPr="00AD20A5">
        <w:t xml:space="preserve">under </w:t>
      </w:r>
      <w:r w:rsidR="00E860EC" w:rsidRPr="00AD20A5">
        <w:t>Method 2</w:t>
      </w:r>
      <w:r w:rsidR="004340F4" w:rsidRPr="00AD20A5">
        <w:t>.</w:t>
      </w:r>
      <w:r w:rsidR="00477497" w:rsidRPr="00AD20A5">
        <w:t xml:space="preserve"> </w:t>
      </w:r>
      <w:r w:rsidR="00E860EC" w:rsidRPr="00AD20A5">
        <w:t xml:space="preserve">The impact of the use of these estimates on the ICER are presented in </w:t>
      </w:r>
      <w:r w:rsidR="00FA2D9D" w:rsidRPr="00AD20A5">
        <w:fldChar w:fldCharType="begin"/>
      </w:r>
      <w:r w:rsidR="00FA2D9D" w:rsidRPr="00AD20A5">
        <w:instrText xml:space="preserve"> REF _Ref184188432 \h  \* MERGEFORMAT </w:instrText>
      </w:r>
      <w:r w:rsidR="00FA2D9D" w:rsidRPr="00AD20A5">
        <w:fldChar w:fldCharType="separate"/>
      </w:r>
      <w:r w:rsidR="00C02A66" w:rsidRPr="00C02A66">
        <w:t>Table </w:t>
      </w:r>
      <w:r w:rsidR="00C02A66" w:rsidRPr="007B76AE">
        <w:t>11</w:t>
      </w:r>
      <w:r w:rsidR="00FA2D9D" w:rsidRPr="00AD20A5">
        <w:fldChar w:fldCharType="end"/>
      </w:r>
      <w:r w:rsidR="00E86022" w:rsidRPr="00AD20A5">
        <w:t>.</w:t>
      </w:r>
    </w:p>
    <w:p w14:paraId="5A46C6DC" w14:textId="39D18290" w:rsidR="00E05C51" w:rsidRPr="00B00743" w:rsidRDefault="00234CA1" w:rsidP="00B00743">
      <w:pPr>
        <w:pStyle w:val="Caption"/>
        <w:ind w:left="709" w:hanging="709"/>
        <w:jc w:val="both"/>
      </w:pPr>
      <w:bookmarkStart w:id="38" w:name="_Ref183987574"/>
      <w:r w:rsidRPr="00B00743">
        <w:lastRenderedPageBreak/>
        <w:t xml:space="preserve">Figure </w:t>
      </w:r>
      <w:r>
        <w:fldChar w:fldCharType="begin"/>
      </w:r>
      <w:r>
        <w:instrText>SEQ Figure \* ARABIC</w:instrText>
      </w:r>
      <w:r>
        <w:fldChar w:fldCharType="separate"/>
      </w:r>
      <w:r w:rsidR="00C02A66">
        <w:rPr>
          <w:noProof/>
        </w:rPr>
        <w:t>5</w:t>
      </w:r>
      <w:r>
        <w:fldChar w:fldCharType="end"/>
      </w:r>
      <w:bookmarkEnd w:id="38"/>
      <w:r w:rsidR="00E860EC">
        <w:tab/>
      </w:r>
      <w:r w:rsidR="00E05C51" w:rsidRPr="00B00743">
        <w:t xml:space="preserve">Comparison of the OS benefit in the dB and control arms using Method 1 and Method 2 based on BEACON-1, </w:t>
      </w:r>
      <w:r w:rsidR="0063480B">
        <w:t>ANBL 1221</w:t>
      </w:r>
      <w:r w:rsidR="00E05C51" w:rsidRPr="00B00743">
        <w:t xml:space="preserve">, and Moreno 2017 </w:t>
      </w:r>
      <w:r w:rsidR="003F7D87" w:rsidRPr="00B00743">
        <w:t>as the data sources</w:t>
      </w:r>
    </w:p>
    <w:p w14:paraId="6847BE43" w14:textId="77777777" w:rsidR="00E05C51" w:rsidRDefault="00E05C51" w:rsidP="00E05C51">
      <w:pPr>
        <w:rPr>
          <w:i/>
          <w:iCs/>
        </w:rPr>
      </w:pPr>
      <w:r>
        <w:rPr>
          <w:i/>
          <w:iCs/>
          <w:noProof/>
        </w:rPr>
        <w:drawing>
          <wp:inline distT="0" distB="0" distL="0" distR="0" wp14:anchorId="3E5E7E84" wp14:editId="44F43541">
            <wp:extent cx="5657850" cy="3187529"/>
            <wp:effectExtent l="0" t="0" r="0" b="0"/>
            <wp:docPr id="239252978" name="Picture 3" descr="A graph of different coloured lines, comparison of the overall survival benefit in the dB and control arms using Method 1 and Method 2 based on BEACON-1, ANBL 1221, and Moreno 2017 as the data sour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52978" name="Picture 3" descr="A graph of different coloured lines, comparison of the overall survival benefit in the dB and control arms using Method 1 and Method 2 based on BEACON-1, ANBL 1221, and Moreno 2017 as the data sources&#10;&#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3437" cy="3201944"/>
                    </a:xfrm>
                    <a:prstGeom prst="rect">
                      <a:avLst/>
                    </a:prstGeom>
                    <a:noFill/>
                  </pic:spPr>
                </pic:pic>
              </a:graphicData>
            </a:graphic>
          </wp:inline>
        </w:drawing>
      </w:r>
    </w:p>
    <w:p w14:paraId="235AF01A" w14:textId="77777777" w:rsidR="00E05C51" w:rsidRPr="00B00743" w:rsidRDefault="00E05C51" w:rsidP="002A2CE8">
      <w:pPr>
        <w:spacing w:before="0" w:after="0" w:line="240" w:lineRule="auto"/>
        <w:rPr>
          <w:rFonts w:ascii="Arial Narrow" w:hAnsi="Arial Narrow"/>
          <w:sz w:val="18"/>
          <w:szCs w:val="18"/>
        </w:rPr>
      </w:pPr>
      <w:r w:rsidRPr="00B00743">
        <w:rPr>
          <w:rFonts w:ascii="Arial Narrow" w:hAnsi="Arial Narrow"/>
          <w:sz w:val="18"/>
          <w:szCs w:val="18"/>
        </w:rPr>
        <w:t>Source: constructed during the evaluation</w:t>
      </w:r>
    </w:p>
    <w:p w14:paraId="72B9CE2A" w14:textId="77777777" w:rsidR="00E05C51" w:rsidRPr="00B00743" w:rsidRDefault="00E05C51" w:rsidP="375F5CCE">
      <w:pPr>
        <w:spacing w:before="0" w:after="0" w:line="240" w:lineRule="auto"/>
        <w:rPr>
          <w:rFonts w:ascii="Arial Narrow" w:hAnsi="Arial Narrow"/>
          <w:sz w:val="18"/>
          <w:szCs w:val="18"/>
        </w:rPr>
      </w:pPr>
      <w:proofErr w:type="spellStart"/>
      <w:r w:rsidRPr="375F5CCE">
        <w:rPr>
          <w:rFonts w:ascii="Arial Narrow" w:hAnsi="Arial Narrow"/>
          <w:sz w:val="18"/>
          <w:szCs w:val="18"/>
        </w:rPr>
        <w:t>Cx</w:t>
      </w:r>
      <w:proofErr w:type="spellEnd"/>
      <w:r w:rsidRPr="375F5CCE">
        <w:rPr>
          <w:rFonts w:ascii="Arial Narrow" w:hAnsi="Arial Narrow"/>
          <w:sz w:val="18"/>
          <w:szCs w:val="18"/>
        </w:rPr>
        <w:t xml:space="preserve"> = control; dB = </w:t>
      </w:r>
      <w:proofErr w:type="spellStart"/>
      <w:r w:rsidRPr="375F5CCE">
        <w:rPr>
          <w:rFonts w:ascii="Arial Narrow" w:hAnsi="Arial Narrow"/>
          <w:sz w:val="18"/>
          <w:szCs w:val="18"/>
        </w:rPr>
        <w:t>dinutuximab</w:t>
      </w:r>
      <w:proofErr w:type="spellEnd"/>
      <w:r w:rsidRPr="375F5CCE">
        <w:rPr>
          <w:rFonts w:ascii="Arial Narrow" w:hAnsi="Arial Narrow"/>
          <w:sz w:val="18"/>
          <w:szCs w:val="18"/>
        </w:rPr>
        <w:t xml:space="preserve"> beta; OS = overall survival</w:t>
      </w:r>
    </w:p>
    <w:p w14:paraId="1340D061" w14:textId="0FFDFDA3" w:rsidR="009A3F68" w:rsidRPr="009B688D" w:rsidRDefault="00645965" w:rsidP="005F558B">
      <w:pPr>
        <w:spacing w:after="240"/>
      </w:pPr>
      <w:r w:rsidRPr="375F5CCE">
        <w:t>Health care resource</w:t>
      </w:r>
      <w:r w:rsidR="00FD3BF4" w:rsidRPr="375F5CCE">
        <w:t>s</w:t>
      </w:r>
      <w:r w:rsidR="004E7892" w:rsidRPr="375F5CCE">
        <w:t xml:space="preserve"> </w:t>
      </w:r>
      <w:r w:rsidR="00E860EC" w:rsidRPr="375F5CCE">
        <w:t xml:space="preserve">in the model </w:t>
      </w:r>
      <w:r w:rsidR="00643A36" w:rsidRPr="375F5CCE">
        <w:t xml:space="preserve">are summarised in </w:t>
      </w:r>
      <w:r>
        <w:fldChar w:fldCharType="begin"/>
      </w:r>
      <w:r>
        <w:instrText xml:space="preserve"> REF _Ref183987834 \h  \* MERGEFORMAT </w:instrText>
      </w:r>
      <w:r>
        <w:fldChar w:fldCharType="separate"/>
      </w:r>
      <w:r w:rsidR="00C02A66" w:rsidRPr="375F5CCE">
        <w:t>Table 7</w:t>
      </w:r>
      <w:r>
        <w:fldChar w:fldCharType="end"/>
      </w:r>
      <w:r w:rsidR="00643A36" w:rsidRPr="375F5CCE">
        <w:t>. A</w:t>
      </w:r>
      <w:r w:rsidR="004E7892" w:rsidRPr="375F5CCE">
        <w:t xml:space="preserve"> </w:t>
      </w:r>
      <w:r w:rsidR="00E6171C" w:rsidRPr="375F5CCE">
        <w:t xml:space="preserve">cost of </w:t>
      </w:r>
      <w:r w:rsidR="00E860EC" w:rsidRPr="375F5CCE">
        <w:t>DB</w:t>
      </w:r>
      <w:r w:rsidR="00D521CC" w:rsidRPr="375F5CCE">
        <w:t xml:space="preserve"> of $</w:t>
      </w:r>
      <w:r w:rsidR="004E27A4" w:rsidRPr="00FD09FC">
        <w:rPr>
          <w:b/>
          <w:bCs/>
        </w:rPr>
        <w:t>redacted</w:t>
      </w:r>
      <w:r w:rsidR="00D521CC" w:rsidRPr="375F5CCE">
        <w:t xml:space="preserve"> per </w:t>
      </w:r>
      <w:r w:rsidR="00055419" w:rsidRPr="375F5CCE">
        <w:t>20</w:t>
      </w:r>
      <w:r w:rsidR="005C2047" w:rsidRPr="375F5CCE">
        <w:t xml:space="preserve"> </w:t>
      </w:r>
      <w:r w:rsidR="00055419" w:rsidRPr="375F5CCE">
        <w:t>mg/4.5</w:t>
      </w:r>
      <w:r w:rsidR="005C2047" w:rsidRPr="375F5CCE">
        <w:t xml:space="preserve"> </w:t>
      </w:r>
      <w:r w:rsidR="00055419" w:rsidRPr="375F5CCE">
        <w:t xml:space="preserve">mL vial </w:t>
      </w:r>
      <w:r w:rsidR="00260A51" w:rsidRPr="375F5CCE">
        <w:t>administered at a dose of 10 mg/m</w:t>
      </w:r>
      <w:r w:rsidR="00260A51" w:rsidRPr="375F5CCE">
        <w:rPr>
          <w:vertAlign w:val="superscript"/>
        </w:rPr>
        <w:t>2</w:t>
      </w:r>
      <w:r w:rsidR="00260A51" w:rsidRPr="375F5CCE">
        <w:t xml:space="preserve">/day for 7 days in each </w:t>
      </w:r>
      <w:r w:rsidR="00171D44" w:rsidRPr="375F5CCE">
        <w:t>cycle</w:t>
      </w:r>
      <w:r w:rsidR="00EF028D" w:rsidRPr="375F5CCE">
        <w:t xml:space="preserve"> to the maximum of six cycles</w:t>
      </w:r>
      <w:r w:rsidR="00643A36" w:rsidRPr="375F5CCE">
        <w:t xml:space="preserve"> was applied</w:t>
      </w:r>
      <w:r w:rsidR="00171D44" w:rsidRPr="375F5CCE">
        <w:t>.</w:t>
      </w:r>
      <w:r w:rsidR="00CD35B7" w:rsidRPr="375F5CCE">
        <w:t xml:space="preserve"> </w:t>
      </w:r>
      <w:r w:rsidR="00171D44" w:rsidRPr="375F5CCE">
        <w:t>The cost</w:t>
      </w:r>
      <w:r w:rsidR="003D05EA" w:rsidRPr="375F5CCE">
        <w:t xml:space="preserve"> was converted in</w:t>
      </w:r>
      <w:r w:rsidR="008C0927" w:rsidRPr="375F5CCE">
        <w:t>to a</w:t>
      </w:r>
      <w:r w:rsidR="003D05EA" w:rsidRPr="375F5CCE">
        <w:t xml:space="preserve"> mean cost of</w:t>
      </w:r>
      <w:r w:rsidR="008C0927" w:rsidRPr="375F5CCE">
        <w:t xml:space="preserve"> </w:t>
      </w:r>
      <w:r w:rsidR="00E860EC" w:rsidRPr="375F5CCE">
        <w:t>D</w:t>
      </w:r>
      <w:r w:rsidR="00E827B6" w:rsidRPr="375F5CCE">
        <w:t xml:space="preserve">B </w:t>
      </w:r>
      <w:r w:rsidR="000F5854" w:rsidRPr="375F5CCE">
        <w:t>per</w:t>
      </w:r>
      <w:r w:rsidR="00AA0595" w:rsidRPr="375F5CCE">
        <w:t xml:space="preserve"> 28-day </w:t>
      </w:r>
      <w:r w:rsidR="000F5854" w:rsidRPr="375F5CCE">
        <w:t>cycle</w:t>
      </w:r>
      <w:r w:rsidR="00E945F5" w:rsidRPr="375F5CCE">
        <w:t xml:space="preserve"> </w:t>
      </w:r>
      <w:r w:rsidR="00E860EC" w:rsidRPr="375F5CCE">
        <w:t>from</w:t>
      </w:r>
      <w:r w:rsidR="00A662F9" w:rsidRPr="375F5CCE">
        <w:t xml:space="preserve"> usage data in 42 patients in </w:t>
      </w:r>
      <w:r w:rsidR="00C510FD" w:rsidRPr="375F5CCE">
        <w:t>BEACON-</w:t>
      </w:r>
      <w:proofErr w:type="spellStart"/>
      <w:r w:rsidR="00C510FD" w:rsidRPr="375F5CCE">
        <w:t>Immuno</w:t>
      </w:r>
      <w:proofErr w:type="spellEnd"/>
      <w:r w:rsidR="00A662F9" w:rsidRPr="375F5CCE">
        <w:t xml:space="preserve"> (one pat</w:t>
      </w:r>
      <w:r w:rsidR="007E5826" w:rsidRPr="375F5CCE">
        <w:t xml:space="preserve">ient did not receive treatment). </w:t>
      </w:r>
      <w:r w:rsidR="00F954E7" w:rsidRPr="375F5CCE">
        <w:t xml:space="preserve">Adjustment for the observed </w:t>
      </w:r>
      <w:r w:rsidR="000022F2" w:rsidRPr="375F5CCE">
        <w:t>rates of progression</w:t>
      </w:r>
      <w:r w:rsidR="000F5854" w:rsidRPr="375F5CCE">
        <w:t xml:space="preserve"> </w:t>
      </w:r>
      <w:r w:rsidR="00555858" w:rsidRPr="375F5CCE">
        <w:t>w</w:t>
      </w:r>
      <w:r w:rsidR="00C32225" w:rsidRPr="375F5CCE">
        <w:t xml:space="preserve">as also </w:t>
      </w:r>
      <w:r w:rsidR="00451665" w:rsidRPr="375F5CCE">
        <w:t>applied</w:t>
      </w:r>
      <w:r w:rsidR="00C85DB6" w:rsidRPr="375F5CCE">
        <w:t xml:space="preserve"> to each of </w:t>
      </w:r>
      <w:r w:rsidR="004F51CA" w:rsidRPr="375F5CCE">
        <w:t xml:space="preserve">the </w:t>
      </w:r>
      <w:r w:rsidR="00EF028D" w:rsidRPr="375F5CCE">
        <w:t>six</w:t>
      </w:r>
      <w:r w:rsidR="00C85DB6" w:rsidRPr="375F5CCE">
        <w:t xml:space="preserve"> cycles</w:t>
      </w:r>
      <w:r w:rsidR="00881EA5" w:rsidRPr="375F5CCE">
        <w:t xml:space="preserve"> and ranged from 83% in cycle 2 to 50% in cycle</w:t>
      </w:r>
      <w:r w:rsidR="007053B0" w:rsidRPr="375F5CCE">
        <w:t xml:space="preserve"> 6</w:t>
      </w:r>
      <w:r w:rsidR="00D800E2" w:rsidRPr="375F5CCE">
        <w:t xml:space="preserve"> (</w:t>
      </w:r>
      <w:r w:rsidR="00823232" w:rsidRPr="375F5CCE">
        <w:t>for comp</w:t>
      </w:r>
      <w:r w:rsidR="008B7AE4" w:rsidRPr="375F5CCE">
        <w:t xml:space="preserve">arison, </w:t>
      </w:r>
      <w:r w:rsidR="00C735DD" w:rsidRPr="375F5CCE">
        <w:t xml:space="preserve">67% </w:t>
      </w:r>
      <w:r w:rsidR="008B7AE4" w:rsidRPr="375F5CCE">
        <w:t xml:space="preserve">remained pre-progressed in the </w:t>
      </w:r>
      <w:r w:rsidR="00E860EC" w:rsidRPr="375F5CCE">
        <w:t>D</w:t>
      </w:r>
      <w:r w:rsidR="008B7AE4" w:rsidRPr="375F5CCE">
        <w:t>B arm</w:t>
      </w:r>
      <w:r w:rsidR="00E860EC" w:rsidRPr="375F5CCE">
        <w:t xml:space="preserve"> </w:t>
      </w:r>
      <w:r w:rsidR="00B00743" w:rsidRPr="375F5CCE">
        <w:t xml:space="preserve">at cycle 6 </w:t>
      </w:r>
      <w:r w:rsidR="00E860EC" w:rsidRPr="375F5CCE">
        <w:t>in the base case</w:t>
      </w:r>
      <w:r w:rsidR="00C735DD" w:rsidRPr="375F5CCE">
        <w:t>)</w:t>
      </w:r>
      <w:r w:rsidR="00C32225" w:rsidRPr="375F5CCE">
        <w:t>.</w:t>
      </w:r>
      <w:r w:rsidR="003168B5" w:rsidRPr="375F5CCE">
        <w:t xml:space="preserve"> </w:t>
      </w:r>
      <w:r w:rsidR="00AE144C" w:rsidRPr="375F5CCE">
        <w:t xml:space="preserve">The </w:t>
      </w:r>
      <w:r w:rsidR="00E860EC" w:rsidRPr="375F5CCE">
        <w:t xml:space="preserve">ADAR </w:t>
      </w:r>
      <w:r w:rsidR="00AE144C" w:rsidRPr="375F5CCE">
        <w:t>estimated</w:t>
      </w:r>
      <w:r w:rsidR="0050607B" w:rsidRPr="375F5CCE">
        <w:t xml:space="preserve"> </w:t>
      </w:r>
      <w:r w:rsidR="00E860EC" w:rsidRPr="375F5CCE">
        <w:t xml:space="preserve">an </w:t>
      </w:r>
      <w:r w:rsidR="003168B5" w:rsidRPr="375F5CCE">
        <w:t xml:space="preserve">average </w:t>
      </w:r>
      <w:r w:rsidR="00F64E8B" w:rsidRPr="375F5CCE">
        <w:t xml:space="preserve">usage </w:t>
      </w:r>
      <w:r w:rsidR="003168B5" w:rsidRPr="375F5CCE">
        <w:t xml:space="preserve">of </w:t>
      </w:r>
      <w:proofErr w:type="spellStart"/>
      <w:r w:rsidR="004E27A4" w:rsidRPr="00FD09FC">
        <w:rPr>
          <w:b/>
          <w:bCs/>
        </w:rPr>
        <w:t>redacted</w:t>
      </w:r>
      <w:r w:rsidR="000F73F7" w:rsidRPr="000F73F7">
        <w:t>mg</w:t>
      </w:r>
      <w:proofErr w:type="spellEnd"/>
      <w:r w:rsidR="003168B5" w:rsidRPr="375F5CCE">
        <w:t xml:space="preserve"> equating to a mean of</w:t>
      </w:r>
      <w:r w:rsidR="00451665" w:rsidRPr="375F5CCE">
        <w:t xml:space="preserve"> </w:t>
      </w:r>
      <w:r w:rsidR="004E27A4" w:rsidRPr="00FD09FC">
        <w:rPr>
          <w:b/>
          <w:bCs/>
        </w:rPr>
        <w:t>redacted</w:t>
      </w:r>
      <w:r w:rsidR="0050607B" w:rsidRPr="375F5CCE">
        <w:t xml:space="preserve"> vials per </w:t>
      </w:r>
      <w:r w:rsidR="00666E81" w:rsidRPr="375F5CCE">
        <w:t>patient</w:t>
      </w:r>
      <w:r w:rsidR="000D0627" w:rsidRPr="375F5CCE">
        <w:t>. W</w:t>
      </w:r>
      <w:r w:rsidR="00704C3B" w:rsidRPr="375F5CCE">
        <w:t>astage was assume</w:t>
      </w:r>
      <w:r w:rsidR="000D0627" w:rsidRPr="375F5CCE">
        <w:t>d</w:t>
      </w:r>
      <w:r w:rsidR="00704C3B" w:rsidRPr="375F5CCE">
        <w:t xml:space="preserve"> to be negli</w:t>
      </w:r>
      <w:r w:rsidR="00754AA9" w:rsidRPr="375F5CCE">
        <w:t>gible</w:t>
      </w:r>
      <w:r w:rsidR="000D0627" w:rsidRPr="375F5CCE">
        <w:t xml:space="preserve"> since</w:t>
      </w:r>
      <w:r w:rsidR="00754AA9" w:rsidRPr="375F5CCE">
        <w:t xml:space="preserve"> </w:t>
      </w:r>
      <w:r w:rsidR="00643A36" w:rsidRPr="375F5CCE">
        <w:t xml:space="preserve">DB </w:t>
      </w:r>
      <w:r w:rsidR="00754AA9" w:rsidRPr="375F5CCE">
        <w:t>can be stored for several days</w:t>
      </w:r>
      <w:r w:rsidR="000D0627" w:rsidRPr="375F5CCE">
        <w:t>.</w:t>
      </w:r>
      <w:r w:rsidR="00754AA9" w:rsidRPr="375F5CCE">
        <w:t xml:space="preserve"> </w:t>
      </w:r>
      <w:r w:rsidR="00EA3E85" w:rsidRPr="375F5CCE">
        <w:t>Excluded were</w:t>
      </w:r>
      <w:r w:rsidR="00E6171C" w:rsidRPr="375F5CCE">
        <w:t xml:space="preserve"> </w:t>
      </w:r>
      <w:r w:rsidR="00DF1808" w:rsidRPr="375F5CCE">
        <w:t>hospitalisation cost</w:t>
      </w:r>
      <w:r w:rsidR="004E4F18" w:rsidRPr="375F5CCE">
        <w:t xml:space="preserve"> (AR-DRG I65A</w:t>
      </w:r>
      <w:r w:rsidR="00DF1808" w:rsidRPr="375F5CCE">
        <w:t>,</w:t>
      </w:r>
      <w:r w:rsidR="00C75661" w:rsidRPr="375F5CCE">
        <w:t xml:space="preserve"> $25,523),</w:t>
      </w:r>
      <w:r w:rsidR="00DF1808" w:rsidRPr="375F5CCE">
        <w:t xml:space="preserve"> </w:t>
      </w:r>
      <w:r w:rsidR="004E7892" w:rsidRPr="375F5CCE">
        <w:t>AE costs</w:t>
      </w:r>
      <w:r w:rsidR="00DF1808" w:rsidRPr="375F5CCE">
        <w:t xml:space="preserve"> and </w:t>
      </w:r>
      <w:r w:rsidR="00643A36" w:rsidRPr="375F5CCE">
        <w:t xml:space="preserve">the </w:t>
      </w:r>
      <w:r w:rsidR="00CB5D86" w:rsidRPr="375F5CCE">
        <w:t xml:space="preserve">cost of </w:t>
      </w:r>
      <w:r w:rsidR="000E4BF2" w:rsidRPr="375F5CCE">
        <w:t xml:space="preserve">chemotherapy (TOTEM and TEMIRI) </w:t>
      </w:r>
      <w:r w:rsidR="00DF1808" w:rsidRPr="375F5CCE">
        <w:t xml:space="preserve">under </w:t>
      </w:r>
      <w:r w:rsidR="00B3480F" w:rsidRPr="375F5CCE">
        <w:t xml:space="preserve">the </w:t>
      </w:r>
      <w:r w:rsidR="00DF1808" w:rsidRPr="375F5CCE">
        <w:t>un</w:t>
      </w:r>
      <w:r w:rsidR="00D56587" w:rsidRPr="375F5CCE">
        <w:t>supported</w:t>
      </w:r>
      <w:r w:rsidR="00DF1808" w:rsidRPr="375F5CCE">
        <w:t xml:space="preserve"> assumption</w:t>
      </w:r>
      <w:r w:rsidR="00B3480F" w:rsidRPr="375F5CCE">
        <w:t xml:space="preserve"> that these cost</w:t>
      </w:r>
      <w:r w:rsidR="00D56587" w:rsidRPr="375F5CCE">
        <w:t>s</w:t>
      </w:r>
      <w:r w:rsidR="00B3480F" w:rsidRPr="375F5CCE">
        <w:t xml:space="preserve"> are the same in both arms and cancel out</w:t>
      </w:r>
      <w:r w:rsidR="00D40AD9" w:rsidRPr="375F5CCE">
        <w:t xml:space="preserve"> in </w:t>
      </w:r>
      <w:r w:rsidR="00643A36" w:rsidRPr="375F5CCE">
        <w:t xml:space="preserve">the </w:t>
      </w:r>
      <w:r w:rsidR="00D40AD9" w:rsidRPr="375F5CCE">
        <w:t xml:space="preserve">ICER calculation. The </w:t>
      </w:r>
      <w:r w:rsidR="00643A36" w:rsidRPr="375F5CCE">
        <w:t xml:space="preserve">ADAR </w:t>
      </w:r>
      <w:r w:rsidR="00DA1F71" w:rsidRPr="375F5CCE">
        <w:t xml:space="preserve">included </w:t>
      </w:r>
      <w:r w:rsidR="00B95DFD" w:rsidRPr="375F5CCE">
        <w:t>“arbitrary” health state</w:t>
      </w:r>
      <w:r w:rsidR="00FA2D9D" w:rsidRPr="375F5CCE">
        <w:t>-</w:t>
      </w:r>
      <w:r w:rsidR="00B95DFD" w:rsidRPr="375F5CCE">
        <w:t xml:space="preserve">specific costs </w:t>
      </w:r>
      <w:r w:rsidR="006660F1" w:rsidRPr="375F5CCE">
        <w:t>that applied</w:t>
      </w:r>
      <w:r w:rsidR="00924F02" w:rsidRPr="375F5CCE">
        <w:t xml:space="preserve"> to each model cycle </w:t>
      </w:r>
      <w:r w:rsidR="00470E42" w:rsidRPr="375F5CCE">
        <w:t>depending on the health state</w:t>
      </w:r>
      <w:r w:rsidR="005D7247" w:rsidRPr="375F5CCE">
        <w:t>: $500 in PFS</w:t>
      </w:r>
      <w:r w:rsidR="005E3816" w:rsidRPr="375F5CCE">
        <w:t>,</w:t>
      </w:r>
      <w:r w:rsidR="005D7247" w:rsidRPr="375F5CCE">
        <w:t xml:space="preserve"> and</w:t>
      </w:r>
      <w:r w:rsidR="00924F02" w:rsidRPr="375F5CCE">
        <w:t xml:space="preserve"> $1,500 </w:t>
      </w:r>
      <w:r w:rsidR="00B95DFD" w:rsidRPr="375F5CCE">
        <w:t>in OS</w:t>
      </w:r>
      <w:r w:rsidR="005E3816" w:rsidRPr="375F5CCE">
        <w:t xml:space="preserve">. The nature of these </w:t>
      </w:r>
      <w:r w:rsidR="007A6CEC" w:rsidRPr="375F5CCE">
        <w:t xml:space="preserve">costs was not </w:t>
      </w:r>
      <w:r w:rsidR="00643A36" w:rsidRPr="375F5CCE">
        <w:t>described</w:t>
      </w:r>
      <w:r w:rsidR="007A6CEC" w:rsidRPr="375F5CCE">
        <w:t xml:space="preserve">. Similarly, no </w:t>
      </w:r>
      <w:r w:rsidR="00BF0D27" w:rsidRPr="375F5CCE">
        <w:t xml:space="preserve">justification was offered </w:t>
      </w:r>
      <w:r w:rsidR="00F83D92" w:rsidRPr="375F5CCE">
        <w:t>for the one-time costs “per event” including</w:t>
      </w:r>
      <w:r w:rsidR="00076405" w:rsidRPr="375F5CCE">
        <w:t xml:space="preserve"> the cost at the start of the treatment (cycle 0) and </w:t>
      </w:r>
      <w:r w:rsidR="003F60FE" w:rsidRPr="375F5CCE">
        <w:t>when transitioning to “progressed” state of disease</w:t>
      </w:r>
      <w:r w:rsidR="007203B1" w:rsidRPr="375F5CCE">
        <w:t>.</w:t>
      </w:r>
      <w:r w:rsidR="00924F02" w:rsidRPr="375F5CCE">
        <w:t xml:space="preserve"> </w:t>
      </w:r>
      <w:r w:rsidR="007203B1" w:rsidRPr="375F5CCE">
        <w:t>The</w:t>
      </w:r>
      <w:r w:rsidR="004E7892" w:rsidRPr="375F5CCE">
        <w:t xml:space="preserve"> terminal-care cost</w:t>
      </w:r>
      <w:r w:rsidR="007203B1" w:rsidRPr="375F5CCE">
        <w:t xml:space="preserve"> w</w:t>
      </w:r>
      <w:r w:rsidR="00DF62AF" w:rsidRPr="375F5CCE">
        <w:t>as</w:t>
      </w:r>
      <w:r w:rsidR="007203B1" w:rsidRPr="375F5CCE">
        <w:t xml:space="preserve"> </w:t>
      </w:r>
      <w:r w:rsidR="00DF62AF" w:rsidRPr="375F5CCE">
        <w:t>based on $28,091 cost of the last 6 months of life of Australian patients with cancer (Reeve, 2017</w:t>
      </w:r>
      <w:r w:rsidR="00AA62F9">
        <w:rPr>
          <w:rStyle w:val="FootnoteReference"/>
        </w:rPr>
        <w:footnoteReference w:id="19"/>
      </w:r>
      <w:r w:rsidR="00DF62AF" w:rsidRPr="375F5CCE">
        <w:t>) in 2009/10, which was inflated to 2024 prices using the Australian Bureau of Statistics Health Price Index</w:t>
      </w:r>
      <w:r w:rsidR="00696B7B" w:rsidRPr="375F5CCE">
        <w:t xml:space="preserve">. </w:t>
      </w:r>
    </w:p>
    <w:p w14:paraId="585354C0" w14:textId="43E1B5D1" w:rsidR="00E12303" w:rsidRPr="00B00743" w:rsidRDefault="0068309C" w:rsidP="002477F9">
      <w:pPr>
        <w:pStyle w:val="TableHeading"/>
        <w:rPr>
          <w:bCs/>
          <w:szCs w:val="20"/>
        </w:rPr>
      </w:pPr>
      <w:bookmarkStart w:id="39" w:name="_Ref183987834"/>
      <w:r w:rsidRPr="00B00743">
        <w:rPr>
          <w:szCs w:val="20"/>
        </w:rPr>
        <w:lastRenderedPageBreak/>
        <w:t>Table </w:t>
      </w:r>
      <w:r w:rsidRPr="00B00743">
        <w:rPr>
          <w:noProof/>
          <w:szCs w:val="20"/>
        </w:rPr>
        <w:fldChar w:fldCharType="begin"/>
      </w:r>
      <w:r w:rsidRPr="00B00743">
        <w:rPr>
          <w:noProof/>
          <w:szCs w:val="20"/>
        </w:rPr>
        <w:instrText xml:space="preserve"> SEQ Table \* ARABIC </w:instrText>
      </w:r>
      <w:r w:rsidRPr="00B00743">
        <w:rPr>
          <w:noProof/>
          <w:szCs w:val="20"/>
        </w:rPr>
        <w:fldChar w:fldCharType="separate"/>
      </w:r>
      <w:r w:rsidR="00C02A66">
        <w:rPr>
          <w:noProof/>
          <w:szCs w:val="20"/>
        </w:rPr>
        <w:t>7</w:t>
      </w:r>
      <w:r w:rsidRPr="00B00743">
        <w:rPr>
          <w:noProof/>
          <w:szCs w:val="20"/>
        </w:rPr>
        <w:fldChar w:fldCharType="end"/>
      </w:r>
      <w:bookmarkEnd w:id="39"/>
      <w:r w:rsidRPr="00B00743">
        <w:rPr>
          <w:szCs w:val="20"/>
        </w:rPr>
        <w:tab/>
      </w:r>
      <w:r w:rsidR="00C92B25" w:rsidRPr="00B00743">
        <w:rPr>
          <w:bCs/>
          <w:szCs w:val="20"/>
        </w:rPr>
        <w:t xml:space="preserve">Costs </w:t>
      </w:r>
      <w:r w:rsidR="00D52671" w:rsidRPr="00B00743">
        <w:rPr>
          <w:bCs/>
          <w:szCs w:val="20"/>
        </w:rPr>
        <w:t>included in the model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74"/>
        <w:gridCol w:w="2047"/>
        <w:gridCol w:w="1757"/>
      </w:tblGrid>
      <w:tr w:rsidR="00310094" w:rsidRPr="00213690" w14:paraId="65FB90A1" w14:textId="77777777" w:rsidTr="00E40A0A">
        <w:trPr>
          <w:trHeight w:val="300"/>
        </w:trPr>
        <w:tc>
          <w:tcPr>
            <w:tcW w:w="2694" w:type="dxa"/>
            <w:shd w:val="clear" w:color="auto" w:fill="auto"/>
            <w:noWrap/>
          </w:tcPr>
          <w:p w14:paraId="399027AE" w14:textId="0A62142C" w:rsidR="00BD5BB9" w:rsidRPr="00213690" w:rsidRDefault="00E40A0A" w:rsidP="002477F9">
            <w:pPr>
              <w:pStyle w:val="KMC16-Tablecontent"/>
              <w:keepNext/>
              <w:rPr>
                <w:b/>
              </w:rPr>
            </w:pPr>
            <w:r>
              <w:rPr>
                <w:b/>
              </w:rPr>
              <w:t>Cost component</w:t>
            </w:r>
          </w:p>
        </w:tc>
        <w:tc>
          <w:tcPr>
            <w:tcW w:w="2574" w:type="dxa"/>
            <w:shd w:val="clear" w:color="auto" w:fill="auto"/>
            <w:noWrap/>
          </w:tcPr>
          <w:p w14:paraId="6A4F0DEF" w14:textId="1DCE1FAF" w:rsidR="00BD5BB9" w:rsidRPr="00213690" w:rsidRDefault="00E40A0A" w:rsidP="002477F9">
            <w:pPr>
              <w:pStyle w:val="KMC16-Tablecontent"/>
              <w:keepNext/>
              <w:rPr>
                <w:b/>
              </w:rPr>
            </w:pPr>
            <w:r>
              <w:rPr>
                <w:b/>
              </w:rPr>
              <w:t>Timing</w:t>
            </w:r>
            <w:r w:rsidR="00DB0680">
              <w:rPr>
                <w:b/>
              </w:rPr>
              <w:t>/frequency</w:t>
            </w:r>
          </w:p>
        </w:tc>
        <w:tc>
          <w:tcPr>
            <w:tcW w:w="2047" w:type="dxa"/>
            <w:shd w:val="clear" w:color="auto" w:fill="auto"/>
            <w:noWrap/>
          </w:tcPr>
          <w:p w14:paraId="75D66DDA" w14:textId="77777777" w:rsidR="00BD5BB9" w:rsidRPr="00213690" w:rsidRDefault="00BD5BB9" w:rsidP="002477F9">
            <w:pPr>
              <w:pStyle w:val="KMC16-Tablecontent"/>
              <w:keepNext/>
              <w:rPr>
                <w:b/>
              </w:rPr>
            </w:pPr>
            <w:r w:rsidRPr="00213690">
              <w:rPr>
                <w:b/>
              </w:rPr>
              <w:t>Value</w:t>
            </w:r>
          </w:p>
        </w:tc>
        <w:tc>
          <w:tcPr>
            <w:tcW w:w="1757" w:type="dxa"/>
            <w:shd w:val="clear" w:color="auto" w:fill="auto"/>
            <w:noWrap/>
          </w:tcPr>
          <w:p w14:paraId="3E4130D7" w14:textId="303E6A01" w:rsidR="00BD5BB9" w:rsidRPr="00213690" w:rsidRDefault="00E40A0A" w:rsidP="002477F9">
            <w:pPr>
              <w:pStyle w:val="KMC16-Tablecontent"/>
              <w:keepNext/>
              <w:rPr>
                <w:b/>
              </w:rPr>
            </w:pPr>
            <w:r>
              <w:rPr>
                <w:b/>
              </w:rPr>
              <w:t>Comments</w:t>
            </w:r>
          </w:p>
        </w:tc>
      </w:tr>
      <w:tr w:rsidR="00310094" w:rsidRPr="00C51CFF" w14:paraId="4896B23A" w14:textId="77777777" w:rsidTr="00E40A0A">
        <w:trPr>
          <w:trHeight w:val="300"/>
        </w:trPr>
        <w:tc>
          <w:tcPr>
            <w:tcW w:w="2694" w:type="dxa"/>
            <w:shd w:val="clear" w:color="auto" w:fill="auto"/>
            <w:noWrap/>
          </w:tcPr>
          <w:p w14:paraId="414A6FC1" w14:textId="00D11927" w:rsidR="00FD0B3D" w:rsidRPr="00C51CFF" w:rsidRDefault="00643A36" w:rsidP="002477F9">
            <w:pPr>
              <w:pStyle w:val="KMC16-Tablecontent"/>
              <w:keepNext/>
              <w:rPr>
                <w:lang w:eastAsia="en-AU"/>
              </w:rPr>
            </w:pPr>
            <w:r>
              <w:rPr>
                <w:color w:val="auto"/>
              </w:rPr>
              <w:t>D</w:t>
            </w:r>
            <w:r w:rsidR="00E54C4B">
              <w:rPr>
                <w:color w:val="auto"/>
              </w:rPr>
              <w:t>B (</w:t>
            </w:r>
            <w:proofErr w:type="spellStart"/>
            <w:r w:rsidR="00E54C4B" w:rsidRPr="00B8072B">
              <w:rPr>
                <w:color w:val="auto"/>
              </w:rPr>
              <w:t>Qarziba</w:t>
            </w:r>
            <w:proofErr w:type="spellEnd"/>
            <w:r w:rsidR="00E54C4B">
              <w:rPr>
                <w:color w:val="auto"/>
              </w:rPr>
              <w:t>)</w:t>
            </w:r>
          </w:p>
        </w:tc>
        <w:tc>
          <w:tcPr>
            <w:tcW w:w="2574" w:type="dxa"/>
            <w:shd w:val="clear" w:color="auto" w:fill="auto"/>
            <w:noWrap/>
          </w:tcPr>
          <w:p w14:paraId="5FAE04F2" w14:textId="6EAFB1CA" w:rsidR="00FD0B3D" w:rsidRPr="005F558B" w:rsidRDefault="00D41190" w:rsidP="002477F9">
            <w:pPr>
              <w:pStyle w:val="KMC16-Tablecontent"/>
              <w:keepNext/>
              <w:rPr>
                <w:lang w:eastAsia="en-AU"/>
              </w:rPr>
            </w:pPr>
            <w:r w:rsidRPr="005F558B">
              <w:rPr>
                <w:lang w:eastAsia="en-AU"/>
              </w:rPr>
              <w:t>Each cycle unless progressed</w:t>
            </w:r>
          </w:p>
        </w:tc>
        <w:tc>
          <w:tcPr>
            <w:tcW w:w="2047" w:type="dxa"/>
            <w:shd w:val="clear" w:color="auto" w:fill="auto"/>
            <w:noWrap/>
          </w:tcPr>
          <w:p w14:paraId="32009CD8" w14:textId="6237D628" w:rsidR="00FD0B3D" w:rsidRPr="005F558B" w:rsidRDefault="00D41190" w:rsidP="002477F9">
            <w:pPr>
              <w:pStyle w:val="KMC16-Tablecontent"/>
              <w:keepNext/>
            </w:pPr>
            <w:r w:rsidRPr="005F558B">
              <w:t>$</w:t>
            </w:r>
            <w:r w:rsidR="004E27A4" w:rsidRPr="001F41CB">
              <w:rPr>
                <w:b/>
                <w:bCs/>
              </w:rPr>
              <w:t>redacted</w:t>
            </w:r>
          </w:p>
        </w:tc>
        <w:tc>
          <w:tcPr>
            <w:tcW w:w="1757" w:type="dxa"/>
            <w:shd w:val="clear" w:color="auto" w:fill="auto"/>
            <w:noWrap/>
          </w:tcPr>
          <w:p w14:paraId="5C8DD7A5" w14:textId="44B45010" w:rsidR="00FD0B3D" w:rsidRPr="00C51CFF" w:rsidRDefault="0067276F" w:rsidP="002477F9">
            <w:pPr>
              <w:pStyle w:val="KMC16-Tablecontent"/>
              <w:keepNext/>
              <w:rPr>
                <w:lang w:eastAsia="en-AU"/>
              </w:rPr>
            </w:pPr>
            <w:r w:rsidRPr="0067276F">
              <w:rPr>
                <w:lang w:eastAsia="en-AU"/>
              </w:rPr>
              <w:t>per 20 mg/4.5 mL vial</w:t>
            </w:r>
          </w:p>
        </w:tc>
      </w:tr>
      <w:tr w:rsidR="00310094" w:rsidRPr="00C51CFF" w14:paraId="38ADF0A9" w14:textId="77777777" w:rsidTr="00E40A0A">
        <w:trPr>
          <w:trHeight w:val="300"/>
        </w:trPr>
        <w:tc>
          <w:tcPr>
            <w:tcW w:w="2694" w:type="dxa"/>
            <w:shd w:val="clear" w:color="auto" w:fill="auto"/>
            <w:noWrap/>
          </w:tcPr>
          <w:p w14:paraId="7E104DC7" w14:textId="22D4DD4F" w:rsidR="00D0531E" w:rsidRDefault="00D0531E" w:rsidP="002477F9">
            <w:pPr>
              <w:pStyle w:val="KMC16-Tablecontent"/>
              <w:keepNext/>
              <w:rPr>
                <w:color w:val="auto"/>
              </w:rPr>
            </w:pPr>
            <w:r>
              <w:rPr>
                <w:color w:val="auto"/>
              </w:rPr>
              <w:t>Cost of</w:t>
            </w:r>
            <w:r w:rsidRPr="00F5503B">
              <w:rPr>
                <w:color w:val="auto"/>
              </w:rPr>
              <w:t xml:space="preserve"> adjunctive treatment</w:t>
            </w:r>
          </w:p>
        </w:tc>
        <w:tc>
          <w:tcPr>
            <w:tcW w:w="2574" w:type="dxa"/>
            <w:shd w:val="clear" w:color="auto" w:fill="auto"/>
            <w:noWrap/>
          </w:tcPr>
          <w:p w14:paraId="5284CB6B" w14:textId="2EB67EA8" w:rsidR="00D0531E" w:rsidRDefault="008454E8" w:rsidP="002477F9">
            <w:pPr>
              <w:pStyle w:val="KMC16-Tablecontent"/>
              <w:keepNext/>
              <w:rPr>
                <w:lang w:eastAsia="en-AU"/>
              </w:rPr>
            </w:pPr>
            <w:r>
              <w:rPr>
                <w:lang w:eastAsia="en-AU"/>
              </w:rPr>
              <w:t>Each cycle unless progressed</w:t>
            </w:r>
          </w:p>
        </w:tc>
        <w:tc>
          <w:tcPr>
            <w:tcW w:w="2047" w:type="dxa"/>
            <w:shd w:val="clear" w:color="auto" w:fill="auto"/>
            <w:noWrap/>
          </w:tcPr>
          <w:p w14:paraId="4B7CB916" w14:textId="62E9C757" w:rsidR="00D0531E" w:rsidRPr="00D521CC" w:rsidRDefault="00812E16" w:rsidP="002477F9">
            <w:pPr>
              <w:pStyle w:val="KMC16-Tablecontent"/>
              <w:keepNext/>
              <w:rPr>
                <w:highlight w:val="magenta"/>
              </w:rPr>
            </w:pPr>
            <w:r w:rsidRPr="00E6171C">
              <w:rPr>
                <w:color w:val="auto"/>
              </w:rPr>
              <w:t>$259.49</w:t>
            </w:r>
          </w:p>
        </w:tc>
        <w:tc>
          <w:tcPr>
            <w:tcW w:w="1757" w:type="dxa"/>
            <w:shd w:val="clear" w:color="auto" w:fill="auto"/>
            <w:noWrap/>
          </w:tcPr>
          <w:p w14:paraId="0AD56C71" w14:textId="6F702948" w:rsidR="00D0531E" w:rsidRPr="0067276F" w:rsidRDefault="00D0531E" w:rsidP="002477F9">
            <w:pPr>
              <w:pStyle w:val="KMC16-Tablecontent"/>
              <w:keepNext/>
              <w:rPr>
                <w:lang w:eastAsia="en-AU"/>
              </w:rPr>
            </w:pPr>
            <w:r w:rsidRPr="00C51CFF">
              <w:rPr>
                <w:lang w:eastAsia="en-AU"/>
              </w:rPr>
              <w:t xml:space="preserve">per </w:t>
            </w:r>
            <w:r>
              <w:rPr>
                <w:lang w:eastAsia="en-AU"/>
              </w:rPr>
              <w:t>28</w:t>
            </w:r>
            <w:r w:rsidRPr="00C51CFF">
              <w:rPr>
                <w:lang w:eastAsia="en-AU"/>
              </w:rPr>
              <w:t>-day cycle</w:t>
            </w:r>
          </w:p>
        </w:tc>
      </w:tr>
      <w:tr w:rsidR="00310094" w:rsidRPr="00C51CFF" w14:paraId="6FD1C393" w14:textId="77777777" w:rsidTr="00E40A0A">
        <w:trPr>
          <w:trHeight w:val="300"/>
        </w:trPr>
        <w:tc>
          <w:tcPr>
            <w:tcW w:w="2694" w:type="dxa"/>
            <w:shd w:val="clear" w:color="auto" w:fill="auto"/>
            <w:noWrap/>
          </w:tcPr>
          <w:p w14:paraId="3C5493F6" w14:textId="0D5BDA5D" w:rsidR="008F72DD" w:rsidRDefault="008F72DD" w:rsidP="002477F9">
            <w:pPr>
              <w:pStyle w:val="KMC16-Tablecontent"/>
              <w:keepNext/>
              <w:rPr>
                <w:color w:val="auto"/>
              </w:rPr>
            </w:pPr>
            <w:r>
              <w:rPr>
                <w:color w:val="auto"/>
              </w:rPr>
              <w:t>Monitoring cost</w:t>
            </w:r>
            <w:r w:rsidR="00240E5E">
              <w:rPr>
                <w:color w:val="auto"/>
              </w:rPr>
              <w:t xml:space="preserve"> (tests)</w:t>
            </w:r>
          </w:p>
        </w:tc>
        <w:tc>
          <w:tcPr>
            <w:tcW w:w="2574" w:type="dxa"/>
            <w:shd w:val="clear" w:color="auto" w:fill="auto"/>
            <w:noWrap/>
          </w:tcPr>
          <w:p w14:paraId="13BD276D" w14:textId="0E954D53" w:rsidR="008F72DD" w:rsidRDefault="00DB0680" w:rsidP="002477F9">
            <w:pPr>
              <w:pStyle w:val="KMC16-Tablecontent"/>
              <w:keepNext/>
              <w:rPr>
                <w:lang w:eastAsia="en-AU"/>
              </w:rPr>
            </w:pPr>
            <w:r>
              <w:rPr>
                <w:lang w:eastAsia="en-AU"/>
              </w:rPr>
              <w:t>Not reported</w:t>
            </w:r>
          </w:p>
        </w:tc>
        <w:tc>
          <w:tcPr>
            <w:tcW w:w="2047" w:type="dxa"/>
            <w:shd w:val="clear" w:color="auto" w:fill="auto"/>
            <w:noWrap/>
          </w:tcPr>
          <w:p w14:paraId="5A9E3904" w14:textId="5CF39E7A" w:rsidR="008F72DD" w:rsidRPr="00E6171C" w:rsidRDefault="009E4846" w:rsidP="002477F9">
            <w:pPr>
              <w:pStyle w:val="KMC16-Tablecontent"/>
              <w:keepNext/>
              <w:rPr>
                <w:color w:val="auto"/>
              </w:rPr>
            </w:pPr>
            <w:r>
              <w:rPr>
                <w:color w:val="auto"/>
              </w:rPr>
              <w:t>$205.95</w:t>
            </w:r>
          </w:p>
        </w:tc>
        <w:tc>
          <w:tcPr>
            <w:tcW w:w="1757" w:type="dxa"/>
            <w:shd w:val="clear" w:color="auto" w:fill="auto"/>
            <w:noWrap/>
          </w:tcPr>
          <w:p w14:paraId="02FE460B" w14:textId="13CA581C" w:rsidR="008F72DD" w:rsidRPr="00C51CFF" w:rsidRDefault="00E736FD" w:rsidP="002477F9">
            <w:pPr>
              <w:pStyle w:val="KMC16-Tablecontent"/>
              <w:keepNext/>
              <w:rPr>
                <w:lang w:eastAsia="en-AU"/>
              </w:rPr>
            </w:pPr>
            <w:r w:rsidRPr="00C51CFF">
              <w:rPr>
                <w:lang w:eastAsia="en-AU"/>
              </w:rPr>
              <w:t xml:space="preserve">per </w:t>
            </w:r>
            <w:r>
              <w:rPr>
                <w:lang w:eastAsia="en-AU"/>
              </w:rPr>
              <w:t>28</w:t>
            </w:r>
            <w:r w:rsidRPr="00C51CFF">
              <w:rPr>
                <w:lang w:eastAsia="en-AU"/>
              </w:rPr>
              <w:t>-day cycle</w:t>
            </w:r>
          </w:p>
        </w:tc>
      </w:tr>
      <w:tr w:rsidR="00FC28D1" w:rsidRPr="00C51CFF" w14:paraId="11555B5B" w14:textId="77777777" w:rsidTr="00E40A0A">
        <w:trPr>
          <w:trHeight w:val="300"/>
        </w:trPr>
        <w:tc>
          <w:tcPr>
            <w:tcW w:w="2694" w:type="dxa"/>
            <w:vMerge w:val="restart"/>
            <w:shd w:val="clear" w:color="auto" w:fill="auto"/>
            <w:noWrap/>
            <w:hideMark/>
          </w:tcPr>
          <w:p w14:paraId="7849DE91" w14:textId="6E6DA9C3" w:rsidR="00BD5BB9" w:rsidRPr="00C51CFF" w:rsidRDefault="00BD5BB9" w:rsidP="002477F9">
            <w:pPr>
              <w:pStyle w:val="KMC16-Tablecontent"/>
              <w:keepNext/>
              <w:rPr>
                <w:lang w:eastAsia="en-AU"/>
              </w:rPr>
            </w:pPr>
            <w:r w:rsidRPr="00C51CFF">
              <w:rPr>
                <w:lang w:eastAsia="en-AU"/>
              </w:rPr>
              <w:t>Cost by state (both arms) </w:t>
            </w:r>
          </w:p>
        </w:tc>
        <w:tc>
          <w:tcPr>
            <w:tcW w:w="2574" w:type="dxa"/>
            <w:shd w:val="clear" w:color="auto" w:fill="auto"/>
            <w:noWrap/>
            <w:hideMark/>
          </w:tcPr>
          <w:p w14:paraId="44EC5ACF" w14:textId="70BE9BD8" w:rsidR="00BD5BB9" w:rsidRPr="00C51CFF" w:rsidRDefault="00643A36" w:rsidP="002477F9">
            <w:pPr>
              <w:pStyle w:val="KMC16-Tablecontent"/>
              <w:keepNext/>
              <w:rPr>
                <w:lang w:eastAsia="en-AU"/>
              </w:rPr>
            </w:pPr>
            <w:r>
              <w:rPr>
                <w:lang w:eastAsia="en-AU"/>
              </w:rPr>
              <w:t>B</w:t>
            </w:r>
            <w:r w:rsidR="00BD5BB9" w:rsidRPr="00C51CFF">
              <w:rPr>
                <w:lang w:eastAsia="en-AU"/>
              </w:rPr>
              <w:t>efore progression (PFS)</w:t>
            </w:r>
          </w:p>
        </w:tc>
        <w:tc>
          <w:tcPr>
            <w:tcW w:w="2047" w:type="dxa"/>
            <w:shd w:val="clear" w:color="auto" w:fill="auto"/>
            <w:noWrap/>
            <w:hideMark/>
          </w:tcPr>
          <w:p w14:paraId="3A649409" w14:textId="2F1AC395" w:rsidR="00BD5BB9" w:rsidRPr="00C51CFF" w:rsidRDefault="00643A36" w:rsidP="002477F9">
            <w:pPr>
              <w:pStyle w:val="KMC16-Tablecontent"/>
              <w:keepNext/>
              <w:rPr>
                <w:lang w:eastAsia="en-AU"/>
              </w:rPr>
            </w:pPr>
            <w:r>
              <w:t>$</w:t>
            </w:r>
            <w:r w:rsidR="00BD5BB9" w:rsidRPr="00021556">
              <w:t>500.00</w:t>
            </w:r>
          </w:p>
        </w:tc>
        <w:tc>
          <w:tcPr>
            <w:tcW w:w="1757" w:type="dxa"/>
            <w:shd w:val="clear" w:color="auto" w:fill="auto"/>
            <w:noWrap/>
            <w:hideMark/>
          </w:tcPr>
          <w:p w14:paraId="3F8FF922" w14:textId="77777777" w:rsidR="00BD5BB9" w:rsidRPr="00C51CFF" w:rsidRDefault="00BD5BB9" w:rsidP="002477F9">
            <w:pPr>
              <w:pStyle w:val="KMC16-Tablecontent"/>
              <w:keepNext/>
              <w:rPr>
                <w:lang w:eastAsia="en-AU"/>
              </w:rPr>
            </w:pPr>
            <w:r w:rsidRPr="00877858">
              <w:rPr>
                <w:lang w:eastAsia="en-AU"/>
              </w:rPr>
              <w:t>per 28-day cycle</w:t>
            </w:r>
          </w:p>
        </w:tc>
      </w:tr>
      <w:tr w:rsidR="00FC28D1" w:rsidRPr="00C51CFF" w14:paraId="06652E27" w14:textId="77777777" w:rsidTr="00E40A0A">
        <w:trPr>
          <w:trHeight w:val="315"/>
        </w:trPr>
        <w:tc>
          <w:tcPr>
            <w:tcW w:w="2694" w:type="dxa"/>
            <w:vMerge/>
            <w:shd w:val="clear" w:color="auto" w:fill="auto"/>
            <w:noWrap/>
            <w:hideMark/>
          </w:tcPr>
          <w:p w14:paraId="129E68E9" w14:textId="77777777" w:rsidR="00BD5BB9" w:rsidRPr="00C51CFF" w:rsidRDefault="00BD5BB9" w:rsidP="002477F9">
            <w:pPr>
              <w:pStyle w:val="KMC16-Tablecontent"/>
              <w:keepNext/>
              <w:rPr>
                <w:lang w:eastAsia="en-AU"/>
              </w:rPr>
            </w:pPr>
          </w:p>
        </w:tc>
        <w:tc>
          <w:tcPr>
            <w:tcW w:w="2574" w:type="dxa"/>
            <w:shd w:val="clear" w:color="auto" w:fill="auto"/>
            <w:noWrap/>
            <w:hideMark/>
          </w:tcPr>
          <w:p w14:paraId="622B649F" w14:textId="5B6DB3E4" w:rsidR="00BD5BB9" w:rsidRPr="00C51CFF" w:rsidRDefault="00643A36" w:rsidP="002477F9">
            <w:pPr>
              <w:pStyle w:val="KMC16-Tablecontent"/>
              <w:keepNext/>
              <w:rPr>
                <w:lang w:eastAsia="en-AU"/>
              </w:rPr>
            </w:pPr>
            <w:r>
              <w:rPr>
                <w:lang w:eastAsia="en-AU"/>
              </w:rPr>
              <w:t>A</w:t>
            </w:r>
            <w:r w:rsidR="00BD5BB9" w:rsidRPr="00C51CFF">
              <w:rPr>
                <w:lang w:eastAsia="en-AU"/>
              </w:rPr>
              <w:t>fter progression</w:t>
            </w:r>
          </w:p>
        </w:tc>
        <w:tc>
          <w:tcPr>
            <w:tcW w:w="2047" w:type="dxa"/>
            <w:shd w:val="clear" w:color="auto" w:fill="auto"/>
            <w:noWrap/>
            <w:hideMark/>
          </w:tcPr>
          <w:p w14:paraId="35C00785" w14:textId="186D70E3" w:rsidR="00BD5BB9" w:rsidRPr="00C51CFF" w:rsidRDefault="00643A36" w:rsidP="002477F9">
            <w:pPr>
              <w:pStyle w:val="KMC16-Tablecontent"/>
              <w:keepNext/>
              <w:rPr>
                <w:lang w:eastAsia="en-AU"/>
              </w:rPr>
            </w:pPr>
            <w:r>
              <w:t>$</w:t>
            </w:r>
            <w:r w:rsidR="00BD5BB9" w:rsidRPr="00021556">
              <w:t>1</w:t>
            </w:r>
            <w:r>
              <w:t>,</w:t>
            </w:r>
            <w:r w:rsidR="00BD5BB9" w:rsidRPr="00021556">
              <w:t>500.00</w:t>
            </w:r>
          </w:p>
        </w:tc>
        <w:tc>
          <w:tcPr>
            <w:tcW w:w="1757" w:type="dxa"/>
            <w:shd w:val="clear" w:color="auto" w:fill="auto"/>
            <w:noWrap/>
            <w:hideMark/>
          </w:tcPr>
          <w:p w14:paraId="22ED5867" w14:textId="77777777" w:rsidR="00BD5BB9" w:rsidRPr="00C51CFF" w:rsidRDefault="00BD5BB9" w:rsidP="002477F9">
            <w:pPr>
              <w:pStyle w:val="KMC16-Tablecontent"/>
              <w:keepNext/>
              <w:rPr>
                <w:lang w:eastAsia="en-AU"/>
              </w:rPr>
            </w:pPr>
            <w:r w:rsidRPr="00877858">
              <w:rPr>
                <w:lang w:eastAsia="en-AU"/>
              </w:rPr>
              <w:t>per 28-day cycle</w:t>
            </w:r>
          </w:p>
        </w:tc>
      </w:tr>
      <w:tr w:rsidR="00FC28D1" w:rsidRPr="00C51CFF" w14:paraId="1B09350A" w14:textId="77777777" w:rsidTr="00E40A0A">
        <w:trPr>
          <w:trHeight w:val="300"/>
        </w:trPr>
        <w:tc>
          <w:tcPr>
            <w:tcW w:w="2694" w:type="dxa"/>
            <w:vMerge w:val="restart"/>
            <w:shd w:val="clear" w:color="auto" w:fill="auto"/>
            <w:noWrap/>
            <w:hideMark/>
          </w:tcPr>
          <w:p w14:paraId="29852E56" w14:textId="174E0ABC" w:rsidR="00BD5BB9" w:rsidRPr="00C51CFF" w:rsidRDefault="00BD5BB9" w:rsidP="002477F9">
            <w:pPr>
              <w:pStyle w:val="KMC16-Tablecontent"/>
              <w:keepNext/>
              <w:rPr>
                <w:lang w:eastAsia="en-AU"/>
              </w:rPr>
            </w:pPr>
            <w:r w:rsidRPr="00C51CFF">
              <w:rPr>
                <w:lang w:eastAsia="en-AU"/>
              </w:rPr>
              <w:t>One-time cost (both arms)</w:t>
            </w:r>
          </w:p>
        </w:tc>
        <w:tc>
          <w:tcPr>
            <w:tcW w:w="2574" w:type="dxa"/>
            <w:shd w:val="clear" w:color="auto" w:fill="auto"/>
            <w:noWrap/>
            <w:hideMark/>
          </w:tcPr>
          <w:p w14:paraId="754F5C3A" w14:textId="1A9B11F7" w:rsidR="00BD5BB9" w:rsidRPr="00C51CFF" w:rsidRDefault="00643A36" w:rsidP="002477F9">
            <w:pPr>
              <w:pStyle w:val="KMC16-Tablecontent"/>
              <w:keepNext/>
              <w:rPr>
                <w:lang w:eastAsia="en-AU"/>
              </w:rPr>
            </w:pPr>
            <w:r>
              <w:rPr>
                <w:lang w:eastAsia="en-AU"/>
              </w:rPr>
              <w:t>C</w:t>
            </w:r>
            <w:r w:rsidR="00BD5BB9" w:rsidRPr="00C51CFF">
              <w:rPr>
                <w:lang w:eastAsia="en-AU"/>
              </w:rPr>
              <w:t>ycle 0</w:t>
            </w:r>
          </w:p>
        </w:tc>
        <w:tc>
          <w:tcPr>
            <w:tcW w:w="2047" w:type="dxa"/>
            <w:shd w:val="clear" w:color="auto" w:fill="auto"/>
            <w:noWrap/>
            <w:hideMark/>
          </w:tcPr>
          <w:p w14:paraId="009205C0" w14:textId="47EC78D2" w:rsidR="00BD5BB9" w:rsidRPr="00C51CFF" w:rsidRDefault="00643A36" w:rsidP="002477F9">
            <w:pPr>
              <w:pStyle w:val="KMC16-Tablecontent"/>
              <w:keepNext/>
              <w:rPr>
                <w:lang w:eastAsia="en-AU"/>
              </w:rPr>
            </w:pPr>
            <w:r>
              <w:t>$</w:t>
            </w:r>
            <w:r w:rsidR="00BD5BB9" w:rsidRPr="00021556">
              <w:t>25</w:t>
            </w:r>
            <w:r w:rsidR="00F62326">
              <w:t>,</w:t>
            </w:r>
            <w:r w:rsidR="00BD5BB9" w:rsidRPr="00021556">
              <w:t>523.00</w:t>
            </w:r>
          </w:p>
        </w:tc>
        <w:tc>
          <w:tcPr>
            <w:tcW w:w="1757" w:type="dxa"/>
            <w:shd w:val="clear" w:color="auto" w:fill="auto"/>
            <w:noWrap/>
            <w:hideMark/>
          </w:tcPr>
          <w:p w14:paraId="7CF340C8" w14:textId="77777777" w:rsidR="00BD5BB9" w:rsidRPr="00C51CFF" w:rsidRDefault="00BD5BB9" w:rsidP="002477F9">
            <w:pPr>
              <w:pStyle w:val="KMC16-Tablecontent"/>
              <w:keepNext/>
              <w:rPr>
                <w:lang w:eastAsia="en-AU"/>
              </w:rPr>
            </w:pPr>
            <w:r w:rsidRPr="00C51CFF">
              <w:rPr>
                <w:lang w:eastAsia="en-AU"/>
              </w:rPr>
              <w:t>per event</w:t>
            </w:r>
          </w:p>
        </w:tc>
      </w:tr>
      <w:tr w:rsidR="00FC28D1" w:rsidRPr="00C51CFF" w14:paraId="3C91636C" w14:textId="77777777" w:rsidTr="00E40A0A">
        <w:trPr>
          <w:trHeight w:val="300"/>
        </w:trPr>
        <w:tc>
          <w:tcPr>
            <w:tcW w:w="2694" w:type="dxa"/>
            <w:vMerge/>
            <w:shd w:val="clear" w:color="auto" w:fill="auto"/>
            <w:noWrap/>
            <w:hideMark/>
          </w:tcPr>
          <w:p w14:paraId="4B4493BA" w14:textId="77777777" w:rsidR="00BD5BB9" w:rsidRPr="00C51CFF" w:rsidRDefault="00BD5BB9" w:rsidP="002477F9">
            <w:pPr>
              <w:pStyle w:val="KMC16-Tablecontent"/>
              <w:keepNext/>
              <w:rPr>
                <w:lang w:eastAsia="en-AU"/>
              </w:rPr>
            </w:pPr>
          </w:p>
        </w:tc>
        <w:tc>
          <w:tcPr>
            <w:tcW w:w="2574" w:type="dxa"/>
            <w:shd w:val="clear" w:color="auto" w:fill="auto"/>
            <w:noWrap/>
            <w:hideMark/>
          </w:tcPr>
          <w:p w14:paraId="20E43145" w14:textId="4A0CE5EE" w:rsidR="00BD5BB9" w:rsidRPr="00C51CFF" w:rsidRDefault="00643A36" w:rsidP="002477F9">
            <w:pPr>
              <w:pStyle w:val="KMC16-Tablecontent"/>
              <w:keepNext/>
              <w:rPr>
                <w:lang w:eastAsia="en-AU"/>
              </w:rPr>
            </w:pPr>
            <w:r>
              <w:rPr>
                <w:lang w:eastAsia="en-AU"/>
              </w:rPr>
              <w:t>N</w:t>
            </w:r>
            <w:r w:rsidR="00BD5BB9" w:rsidRPr="00C51CFF">
              <w:rPr>
                <w:lang w:eastAsia="en-AU"/>
              </w:rPr>
              <w:t>ew progression</w:t>
            </w:r>
          </w:p>
        </w:tc>
        <w:tc>
          <w:tcPr>
            <w:tcW w:w="2047" w:type="dxa"/>
            <w:shd w:val="clear" w:color="auto" w:fill="auto"/>
            <w:noWrap/>
            <w:hideMark/>
          </w:tcPr>
          <w:p w14:paraId="6D42F0B7" w14:textId="7944C6BB" w:rsidR="00BD5BB9" w:rsidRPr="00C51CFF" w:rsidRDefault="00643A36" w:rsidP="002477F9">
            <w:pPr>
              <w:pStyle w:val="KMC16-Tablecontent"/>
              <w:keepNext/>
              <w:rPr>
                <w:lang w:eastAsia="en-AU"/>
              </w:rPr>
            </w:pPr>
            <w:r>
              <w:t>$</w:t>
            </w:r>
            <w:r w:rsidR="00BD5BB9" w:rsidRPr="00021556">
              <w:t>25</w:t>
            </w:r>
            <w:r w:rsidR="00F62326">
              <w:t>,</w:t>
            </w:r>
            <w:r w:rsidR="00BD5BB9" w:rsidRPr="00021556">
              <w:t>523.00</w:t>
            </w:r>
          </w:p>
        </w:tc>
        <w:tc>
          <w:tcPr>
            <w:tcW w:w="1757" w:type="dxa"/>
            <w:shd w:val="clear" w:color="auto" w:fill="auto"/>
            <w:noWrap/>
            <w:hideMark/>
          </w:tcPr>
          <w:p w14:paraId="3C1995B7" w14:textId="77777777" w:rsidR="00BD5BB9" w:rsidRPr="00C51CFF" w:rsidRDefault="00BD5BB9" w:rsidP="002477F9">
            <w:pPr>
              <w:pStyle w:val="KMC16-Tablecontent"/>
              <w:keepNext/>
              <w:rPr>
                <w:lang w:eastAsia="en-AU"/>
              </w:rPr>
            </w:pPr>
            <w:r w:rsidRPr="00C51CFF">
              <w:rPr>
                <w:lang w:eastAsia="en-AU"/>
              </w:rPr>
              <w:t>per event</w:t>
            </w:r>
          </w:p>
        </w:tc>
      </w:tr>
      <w:tr w:rsidR="00FC28D1" w:rsidRPr="00C51CFF" w14:paraId="0ECF3CDD" w14:textId="77777777" w:rsidTr="00E40A0A">
        <w:trPr>
          <w:trHeight w:val="315"/>
        </w:trPr>
        <w:tc>
          <w:tcPr>
            <w:tcW w:w="2694" w:type="dxa"/>
            <w:vMerge/>
            <w:shd w:val="clear" w:color="auto" w:fill="auto"/>
            <w:noWrap/>
            <w:hideMark/>
          </w:tcPr>
          <w:p w14:paraId="30A00D30" w14:textId="77777777" w:rsidR="00BD5BB9" w:rsidRPr="00C51CFF" w:rsidRDefault="00BD5BB9" w:rsidP="002477F9">
            <w:pPr>
              <w:pStyle w:val="KMC16-Tablecontent"/>
              <w:keepNext/>
              <w:rPr>
                <w:lang w:eastAsia="en-AU"/>
              </w:rPr>
            </w:pPr>
          </w:p>
        </w:tc>
        <w:tc>
          <w:tcPr>
            <w:tcW w:w="2574" w:type="dxa"/>
            <w:shd w:val="clear" w:color="auto" w:fill="auto"/>
            <w:noWrap/>
            <w:hideMark/>
          </w:tcPr>
          <w:p w14:paraId="0726B3F2" w14:textId="6BDDB3F3" w:rsidR="00BD5BB9" w:rsidRPr="00C51CFF" w:rsidRDefault="00643A36" w:rsidP="002477F9">
            <w:pPr>
              <w:pStyle w:val="KMC16-Tablecontent"/>
              <w:keepNext/>
              <w:rPr>
                <w:lang w:eastAsia="en-AU"/>
              </w:rPr>
            </w:pPr>
            <w:r>
              <w:rPr>
                <w:lang w:eastAsia="en-AU"/>
              </w:rPr>
              <w:t>N</w:t>
            </w:r>
            <w:r w:rsidR="00BD5BB9" w:rsidRPr="00C51CFF">
              <w:rPr>
                <w:lang w:eastAsia="en-AU"/>
              </w:rPr>
              <w:t>ew death</w:t>
            </w:r>
          </w:p>
        </w:tc>
        <w:tc>
          <w:tcPr>
            <w:tcW w:w="2047" w:type="dxa"/>
            <w:shd w:val="clear" w:color="auto" w:fill="auto"/>
            <w:noWrap/>
            <w:hideMark/>
          </w:tcPr>
          <w:p w14:paraId="72D205A8" w14:textId="5EBAECDA" w:rsidR="00BD5BB9" w:rsidRPr="00C51CFF" w:rsidRDefault="00643A36" w:rsidP="002477F9">
            <w:pPr>
              <w:pStyle w:val="KMC16-Tablecontent"/>
              <w:keepNext/>
              <w:rPr>
                <w:lang w:eastAsia="en-AU"/>
              </w:rPr>
            </w:pPr>
            <w:r>
              <w:t>$</w:t>
            </w:r>
            <w:r w:rsidR="00BD5BB9" w:rsidRPr="00021556">
              <w:t>52</w:t>
            </w:r>
            <w:r w:rsidR="00F62326">
              <w:t>,</w:t>
            </w:r>
            <w:r w:rsidR="00BD5BB9" w:rsidRPr="00021556">
              <w:t>218.00</w:t>
            </w:r>
          </w:p>
        </w:tc>
        <w:tc>
          <w:tcPr>
            <w:tcW w:w="1757" w:type="dxa"/>
            <w:shd w:val="clear" w:color="auto" w:fill="auto"/>
            <w:noWrap/>
            <w:hideMark/>
          </w:tcPr>
          <w:p w14:paraId="7E2FE774" w14:textId="77777777" w:rsidR="00BD5BB9" w:rsidRPr="00C51CFF" w:rsidRDefault="00BD5BB9" w:rsidP="002477F9">
            <w:pPr>
              <w:pStyle w:val="KMC16-Tablecontent"/>
              <w:keepNext/>
              <w:rPr>
                <w:lang w:eastAsia="en-AU"/>
              </w:rPr>
            </w:pPr>
            <w:r w:rsidRPr="00C51CFF">
              <w:rPr>
                <w:lang w:eastAsia="en-AU"/>
              </w:rPr>
              <w:t>per event</w:t>
            </w:r>
          </w:p>
        </w:tc>
      </w:tr>
    </w:tbl>
    <w:p w14:paraId="53FDDA89" w14:textId="16E33315" w:rsidR="00D94131" w:rsidRDefault="00AE4109" w:rsidP="00D43506">
      <w:pPr>
        <w:spacing w:before="240" w:after="240"/>
      </w:pPr>
      <w:r>
        <w:fldChar w:fldCharType="begin"/>
      </w:r>
      <w:r>
        <w:instrText xml:space="preserve"> REF _Ref183993023 \h  \* MERGEFORMAT </w:instrText>
      </w:r>
      <w:r>
        <w:fldChar w:fldCharType="separate"/>
      </w:r>
      <w:r w:rsidR="00C02A66" w:rsidRPr="375F5CCE">
        <w:t>Table 8</w:t>
      </w:r>
      <w:r>
        <w:fldChar w:fldCharType="end"/>
      </w:r>
      <w:r w:rsidRPr="375F5CCE">
        <w:t xml:space="preserve"> </w:t>
      </w:r>
      <w:r w:rsidR="00643A36" w:rsidRPr="375F5CCE">
        <w:t xml:space="preserve">presents the </w:t>
      </w:r>
      <w:r w:rsidR="00D94131" w:rsidRPr="375F5CCE">
        <w:t>disaggregated and incremental costs demonstrating that the largest cost</w:t>
      </w:r>
      <w:r w:rsidR="00141F8C" w:rsidRPr="375F5CCE">
        <w:t xml:space="preserve"> component</w:t>
      </w:r>
      <w:r w:rsidR="00D94131" w:rsidRPr="375F5CCE">
        <w:t xml:space="preserve"> is </w:t>
      </w:r>
      <w:r w:rsidR="0055790C" w:rsidRPr="375F5CCE">
        <w:t>the cost</w:t>
      </w:r>
      <w:r w:rsidR="00D94131" w:rsidRPr="375F5CCE">
        <w:t xml:space="preserve"> of </w:t>
      </w:r>
      <w:r w:rsidR="00643A36" w:rsidRPr="375F5CCE">
        <w:t>D</w:t>
      </w:r>
      <w:r w:rsidR="00D94131" w:rsidRPr="375F5CCE">
        <w:t>B</w:t>
      </w:r>
      <w:r w:rsidR="00B85008" w:rsidRPr="375F5CCE">
        <w:t xml:space="preserve"> treatment. There </w:t>
      </w:r>
      <w:r w:rsidR="00643A36" w:rsidRPr="375F5CCE">
        <w:t xml:space="preserve">are </w:t>
      </w:r>
      <w:r w:rsidR="00B85008" w:rsidRPr="375F5CCE">
        <w:t xml:space="preserve">also </w:t>
      </w:r>
      <w:r w:rsidR="00896E7B" w:rsidRPr="375F5CCE">
        <w:t>some</w:t>
      </w:r>
      <w:r w:rsidR="00D94131" w:rsidRPr="375F5CCE">
        <w:t xml:space="preserve"> </w:t>
      </w:r>
      <w:r w:rsidR="00896E7B" w:rsidRPr="375F5CCE">
        <w:t xml:space="preserve">incremental </w:t>
      </w:r>
      <w:r w:rsidR="00D94131" w:rsidRPr="375F5CCE">
        <w:t xml:space="preserve">savings </w:t>
      </w:r>
      <w:r w:rsidR="00896E7B" w:rsidRPr="375F5CCE">
        <w:t xml:space="preserve">most likely explained by the </w:t>
      </w:r>
      <w:r w:rsidR="00C12355" w:rsidRPr="375F5CCE">
        <w:t xml:space="preserve">structural deficiency in the model that biased the outcomes in favour of </w:t>
      </w:r>
      <w:r w:rsidR="00643A36" w:rsidRPr="375F5CCE">
        <w:t>DB</w:t>
      </w:r>
      <w:r w:rsidR="003A77FE" w:rsidRPr="375F5CCE">
        <w:t>.</w:t>
      </w:r>
    </w:p>
    <w:p w14:paraId="4CB59974" w14:textId="252B6628" w:rsidR="00D94131" w:rsidRPr="00E03326" w:rsidRDefault="000C45F3" w:rsidP="00DE7EE5">
      <w:pPr>
        <w:pStyle w:val="Caption"/>
      </w:pPr>
      <w:bookmarkStart w:id="40" w:name="_Ref183993023"/>
      <w:bookmarkStart w:id="41" w:name="_Toc179288625"/>
      <w:r w:rsidRPr="00E03326">
        <w:t xml:space="preserve">Table </w:t>
      </w:r>
      <w:r>
        <w:fldChar w:fldCharType="begin"/>
      </w:r>
      <w:r>
        <w:instrText>SEQ Table \* ARABIC</w:instrText>
      </w:r>
      <w:r>
        <w:fldChar w:fldCharType="separate"/>
      </w:r>
      <w:r w:rsidR="00C02A66">
        <w:rPr>
          <w:noProof/>
        </w:rPr>
        <w:t>8</w:t>
      </w:r>
      <w:r>
        <w:fldChar w:fldCharType="end"/>
      </w:r>
      <w:bookmarkEnd w:id="40"/>
      <w:r w:rsidR="00643A36">
        <w:tab/>
      </w:r>
      <w:r w:rsidRPr="00E03326">
        <w:t>Disaggregated Modelled Base Case Costs</w:t>
      </w:r>
      <w:bookmarkEnd w:id="41"/>
    </w:p>
    <w:tbl>
      <w:tblPr>
        <w:tblW w:w="9067" w:type="dxa"/>
        <w:tblLayout w:type="fixed"/>
        <w:tblLook w:val="04A0" w:firstRow="1" w:lastRow="0" w:firstColumn="1" w:lastColumn="0" w:noHBand="0" w:noVBand="1"/>
      </w:tblPr>
      <w:tblGrid>
        <w:gridCol w:w="2689"/>
        <w:gridCol w:w="1594"/>
        <w:gridCol w:w="1595"/>
        <w:gridCol w:w="1594"/>
        <w:gridCol w:w="1595"/>
      </w:tblGrid>
      <w:tr w:rsidR="00D94131" w:rsidRPr="00643A36" w14:paraId="35280EBB" w14:textId="77777777" w:rsidTr="00E03326">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DCCCF41" w14:textId="77777777" w:rsidR="00D94131" w:rsidRPr="00E03326" w:rsidRDefault="00D94131" w:rsidP="00B70B76">
            <w:pPr>
              <w:pStyle w:val="KMC16-Tablecontent"/>
              <w:keepNext/>
              <w:rPr>
                <w:b/>
                <w:szCs w:val="20"/>
              </w:rPr>
            </w:pPr>
            <w:r w:rsidRPr="00E03326">
              <w:rPr>
                <w:b/>
                <w:szCs w:val="20"/>
              </w:rPr>
              <w:t> </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537E1D4" w14:textId="3D775B65" w:rsidR="00D94131" w:rsidRPr="00E03326" w:rsidRDefault="00643A36" w:rsidP="00643A36">
            <w:pPr>
              <w:pStyle w:val="KMC16-Tablecontent"/>
              <w:keepNext/>
              <w:jc w:val="center"/>
              <w:rPr>
                <w:b/>
                <w:szCs w:val="20"/>
              </w:rPr>
            </w:pPr>
            <w:r>
              <w:rPr>
                <w:b/>
                <w:szCs w:val="20"/>
              </w:rPr>
              <w:t>D</w:t>
            </w:r>
            <w:r w:rsidR="00D94131" w:rsidRPr="00E03326">
              <w:rPr>
                <w:b/>
                <w:szCs w:val="20"/>
              </w:rPr>
              <w:t>B arm</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2BDF6D8A" w14:textId="26F9FF65" w:rsidR="00D94131" w:rsidRPr="00E03326" w:rsidRDefault="00643A36" w:rsidP="00643A36">
            <w:pPr>
              <w:pStyle w:val="KMC16-Tablecontent"/>
              <w:keepNext/>
              <w:jc w:val="center"/>
              <w:rPr>
                <w:b/>
                <w:szCs w:val="20"/>
              </w:rPr>
            </w:pPr>
            <w:r>
              <w:rPr>
                <w:b/>
                <w:szCs w:val="20"/>
              </w:rPr>
              <w:t>C</w:t>
            </w:r>
            <w:r w:rsidR="00D94131" w:rsidRPr="00E03326">
              <w:rPr>
                <w:b/>
                <w:szCs w:val="20"/>
              </w:rPr>
              <w:t>ontrol arm</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357A13B6" w14:textId="77777777" w:rsidR="00D94131" w:rsidRPr="00E03326" w:rsidRDefault="00D94131" w:rsidP="00643A36">
            <w:pPr>
              <w:pStyle w:val="KMC16-Tablecontent"/>
              <w:keepNext/>
              <w:jc w:val="center"/>
              <w:rPr>
                <w:b/>
                <w:szCs w:val="20"/>
              </w:rPr>
            </w:pPr>
            <w:r w:rsidRPr="00E03326">
              <w:rPr>
                <w:b/>
                <w:szCs w:val="20"/>
              </w:rPr>
              <w:t>Incremental</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2752F905" w14:textId="77777777" w:rsidR="00D94131" w:rsidRPr="00E03326" w:rsidRDefault="00D94131" w:rsidP="00643A36">
            <w:pPr>
              <w:pStyle w:val="KMC16-Tablecontent"/>
              <w:keepNext/>
              <w:jc w:val="center"/>
              <w:rPr>
                <w:b/>
                <w:szCs w:val="20"/>
              </w:rPr>
            </w:pPr>
            <w:r w:rsidRPr="00E03326">
              <w:rPr>
                <w:b/>
                <w:szCs w:val="20"/>
              </w:rPr>
              <w:t>% of incremental</w:t>
            </w:r>
          </w:p>
        </w:tc>
      </w:tr>
      <w:tr w:rsidR="00D94131" w:rsidRPr="00643A36" w14:paraId="6101B6CE"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5CC9F493" w14:textId="5FC79E08" w:rsidR="00D94131" w:rsidRPr="00E03326" w:rsidRDefault="00D94131" w:rsidP="00B70B76">
            <w:pPr>
              <w:pStyle w:val="KMC16-Tablecontent"/>
              <w:keepNext/>
              <w:rPr>
                <w:szCs w:val="20"/>
              </w:rPr>
            </w:pPr>
            <w:r w:rsidRPr="00E03326">
              <w:rPr>
                <w:szCs w:val="20"/>
              </w:rPr>
              <w:t xml:space="preserve">Cost of </w:t>
            </w:r>
            <w:r w:rsidR="00643A36">
              <w:rPr>
                <w:szCs w:val="20"/>
              </w:rPr>
              <w:t>D</w:t>
            </w:r>
            <w:r w:rsidRPr="00E03326">
              <w:rPr>
                <w:szCs w:val="20"/>
              </w:rPr>
              <w:t xml:space="preserve">B treatment </w:t>
            </w:r>
          </w:p>
        </w:tc>
        <w:tc>
          <w:tcPr>
            <w:tcW w:w="1594" w:type="dxa"/>
            <w:tcBorders>
              <w:top w:val="nil"/>
              <w:left w:val="nil"/>
              <w:bottom w:val="single" w:sz="4" w:space="0" w:color="auto"/>
              <w:right w:val="single" w:sz="4" w:space="0" w:color="auto"/>
            </w:tcBorders>
            <w:shd w:val="clear" w:color="auto" w:fill="auto"/>
            <w:noWrap/>
            <w:vAlign w:val="center"/>
            <w:hideMark/>
          </w:tcPr>
          <w:p w14:paraId="4AB880AC" w14:textId="67E05C56" w:rsidR="00D94131" w:rsidRPr="00E03326" w:rsidRDefault="00D94131" w:rsidP="00E03326">
            <w:pPr>
              <w:pStyle w:val="KMC16-Tablecontent"/>
              <w:keepNext/>
              <w:jc w:val="center"/>
              <w:rPr>
                <w:szCs w:val="20"/>
              </w:rPr>
            </w:pPr>
            <w:r w:rsidRPr="00E03326">
              <w:rPr>
                <w:szCs w:val="20"/>
              </w:rPr>
              <w:t>$</w:t>
            </w:r>
            <w:r w:rsidR="004E27A4" w:rsidRPr="001F41CB">
              <w:rPr>
                <w:b/>
                <w:bCs/>
                <w:szCs w:val="20"/>
              </w:rPr>
              <w:t>redacted</w:t>
            </w:r>
          </w:p>
        </w:tc>
        <w:tc>
          <w:tcPr>
            <w:tcW w:w="1595" w:type="dxa"/>
            <w:tcBorders>
              <w:top w:val="nil"/>
              <w:left w:val="nil"/>
              <w:bottom w:val="single" w:sz="4" w:space="0" w:color="auto"/>
              <w:right w:val="single" w:sz="4" w:space="0" w:color="auto"/>
            </w:tcBorders>
            <w:shd w:val="clear" w:color="auto" w:fill="auto"/>
            <w:noWrap/>
            <w:vAlign w:val="center"/>
            <w:hideMark/>
          </w:tcPr>
          <w:p w14:paraId="232D1516" w14:textId="77777777" w:rsidR="00D94131" w:rsidRPr="00E03326" w:rsidRDefault="00D94131" w:rsidP="00E03326">
            <w:pPr>
              <w:pStyle w:val="KMC16-Tablecontent"/>
              <w:keepNext/>
              <w:jc w:val="center"/>
              <w:rPr>
                <w:szCs w:val="20"/>
              </w:rPr>
            </w:pPr>
            <w:r w:rsidRPr="00E03326">
              <w:rPr>
                <w:szCs w:val="20"/>
              </w:rPr>
              <w:t>$0</w:t>
            </w:r>
          </w:p>
        </w:tc>
        <w:tc>
          <w:tcPr>
            <w:tcW w:w="1594" w:type="dxa"/>
            <w:tcBorders>
              <w:top w:val="nil"/>
              <w:left w:val="nil"/>
              <w:bottom w:val="single" w:sz="4" w:space="0" w:color="auto"/>
              <w:right w:val="single" w:sz="4" w:space="0" w:color="auto"/>
            </w:tcBorders>
            <w:shd w:val="clear" w:color="auto" w:fill="auto"/>
            <w:noWrap/>
            <w:vAlign w:val="center"/>
            <w:hideMark/>
          </w:tcPr>
          <w:p w14:paraId="138EB53A" w14:textId="3CD0500E" w:rsidR="00D94131" w:rsidRPr="00E03326" w:rsidRDefault="00D94131" w:rsidP="00E03326">
            <w:pPr>
              <w:pStyle w:val="KMC16-Tablecontent"/>
              <w:keepNext/>
              <w:jc w:val="center"/>
              <w:rPr>
                <w:szCs w:val="20"/>
              </w:rPr>
            </w:pPr>
            <w:r w:rsidRPr="00E03326">
              <w:rPr>
                <w:szCs w:val="20"/>
              </w:rPr>
              <w:t>$</w:t>
            </w:r>
            <w:r w:rsidR="004E27A4" w:rsidRPr="001F41CB">
              <w:rPr>
                <w:b/>
                <w:bCs/>
                <w:szCs w:val="20"/>
              </w:rPr>
              <w:t>redacted</w:t>
            </w:r>
          </w:p>
        </w:tc>
        <w:tc>
          <w:tcPr>
            <w:tcW w:w="1595" w:type="dxa"/>
            <w:tcBorders>
              <w:top w:val="nil"/>
              <w:left w:val="nil"/>
              <w:bottom w:val="single" w:sz="4" w:space="0" w:color="auto"/>
              <w:right w:val="single" w:sz="4" w:space="0" w:color="auto"/>
            </w:tcBorders>
            <w:shd w:val="clear" w:color="auto" w:fill="auto"/>
            <w:noWrap/>
            <w:vAlign w:val="center"/>
            <w:hideMark/>
          </w:tcPr>
          <w:p w14:paraId="64CB2971" w14:textId="37BE11CD" w:rsidR="00D94131" w:rsidRPr="00E03326" w:rsidRDefault="004E27A4" w:rsidP="00643A36">
            <w:pPr>
              <w:pStyle w:val="KMC16-Tablecontent"/>
              <w:keepNext/>
              <w:jc w:val="center"/>
              <w:rPr>
                <w:bCs/>
                <w:szCs w:val="20"/>
              </w:rPr>
            </w:pPr>
            <w:r w:rsidRPr="001F41CB">
              <w:rPr>
                <w:b/>
                <w:szCs w:val="20"/>
              </w:rPr>
              <w:t>redacted</w:t>
            </w:r>
            <w:r w:rsidR="00D94131" w:rsidRPr="00E03326">
              <w:rPr>
                <w:bCs/>
                <w:szCs w:val="20"/>
              </w:rPr>
              <w:t>%</w:t>
            </w:r>
          </w:p>
        </w:tc>
      </w:tr>
      <w:tr w:rsidR="00D94131" w:rsidRPr="00643A36" w14:paraId="405F95E4"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19CEE61D" w14:textId="080678AB" w:rsidR="00D94131" w:rsidRPr="00E03326" w:rsidRDefault="00643A36" w:rsidP="00B70B76">
            <w:pPr>
              <w:pStyle w:val="KMC16-Tablecontent"/>
              <w:keepNext/>
              <w:rPr>
                <w:szCs w:val="20"/>
              </w:rPr>
            </w:pPr>
            <w:r>
              <w:rPr>
                <w:szCs w:val="20"/>
              </w:rPr>
              <w:t>D</w:t>
            </w:r>
            <w:r w:rsidR="00D94131" w:rsidRPr="00E03326">
              <w:rPr>
                <w:szCs w:val="20"/>
              </w:rPr>
              <w:t xml:space="preserve">B-associated cost </w:t>
            </w:r>
          </w:p>
        </w:tc>
        <w:tc>
          <w:tcPr>
            <w:tcW w:w="1594" w:type="dxa"/>
            <w:tcBorders>
              <w:top w:val="nil"/>
              <w:left w:val="nil"/>
              <w:bottom w:val="single" w:sz="4" w:space="0" w:color="auto"/>
              <w:right w:val="single" w:sz="4" w:space="0" w:color="auto"/>
            </w:tcBorders>
            <w:shd w:val="clear" w:color="auto" w:fill="auto"/>
            <w:noWrap/>
            <w:vAlign w:val="center"/>
            <w:hideMark/>
          </w:tcPr>
          <w:p w14:paraId="315EA1E1" w14:textId="77777777" w:rsidR="00D94131" w:rsidRPr="00E03326" w:rsidRDefault="00D94131" w:rsidP="00E03326">
            <w:pPr>
              <w:pStyle w:val="KMC16-Tablecontent"/>
              <w:keepNext/>
              <w:jc w:val="center"/>
              <w:rPr>
                <w:szCs w:val="20"/>
              </w:rPr>
            </w:pPr>
            <w:r w:rsidRPr="00E03326">
              <w:rPr>
                <w:szCs w:val="20"/>
              </w:rPr>
              <w:t>$1,357</w:t>
            </w:r>
          </w:p>
        </w:tc>
        <w:tc>
          <w:tcPr>
            <w:tcW w:w="1595" w:type="dxa"/>
            <w:tcBorders>
              <w:top w:val="nil"/>
              <w:left w:val="nil"/>
              <w:bottom w:val="single" w:sz="4" w:space="0" w:color="auto"/>
              <w:right w:val="single" w:sz="4" w:space="0" w:color="auto"/>
            </w:tcBorders>
            <w:shd w:val="clear" w:color="auto" w:fill="auto"/>
            <w:noWrap/>
            <w:vAlign w:val="center"/>
            <w:hideMark/>
          </w:tcPr>
          <w:p w14:paraId="1675092F" w14:textId="77777777" w:rsidR="00D94131" w:rsidRPr="00E03326" w:rsidRDefault="00D94131" w:rsidP="00E03326">
            <w:pPr>
              <w:pStyle w:val="KMC16-Tablecontent"/>
              <w:keepNext/>
              <w:jc w:val="center"/>
              <w:rPr>
                <w:szCs w:val="20"/>
              </w:rPr>
            </w:pPr>
            <w:r w:rsidRPr="00E03326">
              <w:rPr>
                <w:szCs w:val="20"/>
              </w:rPr>
              <w:t>$0</w:t>
            </w:r>
          </w:p>
        </w:tc>
        <w:tc>
          <w:tcPr>
            <w:tcW w:w="1594" w:type="dxa"/>
            <w:tcBorders>
              <w:top w:val="nil"/>
              <w:left w:val="nil"/>
              <w:bottom w:val="single" w:sz="4" w:space="0" w:color="auto"/>
              <w:right w:val="single" w:sz="4" w:space="0" w:color="auto"/>
            </w:tcBorders>
            <w:shd w:val="clear" w:color="auto" w:fill="auto"/>
            <w:noWrap/>
            <w:vAlign w:val="center"/>
            <w:hideMark/>
          </w:tcPr>
          <w:p w14:paraId="22EE1EC0" w14:textId="77777777" w:rsidR="00D94131" w:rsidRPr="00E03326" w:rsidRDefault="00D94131" w:rsidP="00E03326">
            <w:pPr>
              <w:pStyle w:val="KMC16-Tablecontent"/>
              <w:keepNext/>
              <w:jc w:val="center"/>
              <w:rPr>
                <w:szCs w:val="20"/>
              </w:rPr>
            </w:pPr>
            <w:r w:rsidRPr="00E03326">
              <w:rPr>
                <w:szCs w:val="20"/>
              </w:rPr>
              <w:t>$1,357</w:t>
            </w:r>
          </w:p>
        </w:tc>
        <w:tc>
          <w:tcPr>
            <w:tcW w:w="1595" w:type="dxa"/>
            <w:tcBorders>
              <w:top w:val="nil"/>
              <w:left w:val="nil"/>
              <w:bottom w:val="single" w:sz="4" w:space="0" w:color="auto"/>
              <w:right w:val="single" w:sz="4" w:space="0" w:color="auto"/>
            </w:tcBorders>
            <w:shd w:val="clear" w:color="auto" w:fill="auto"/>
            <w:noWrap/>
            <w:vAlign w:val="center"/>
            <w:hideMark/>
          </w:tcPr>
          <w:p w14:paraId="241E7AF4" w14:textId="7E8A527A" w:rsidR="00D94131" w:rsidRPr="00E03326" w:rsidRDefault="004E27A4" w:rsidP="00643A36">
            <w:pPr>
              <w:pStyle w:val="KMC16-Tablecontent"/>
              <w:keepNext/>
              <w:jc w:val="center"/>
              <w:rPr>
                <w:bCs/>
                <w:szCs w:val="20"/>
              </w:rPr>
            </w:pPr>
            <w:r w:rsidRPr="001F41CB">
              <w:rPr>
                <w:b/>
                <w:szCs w:val="20"/>
              </w:rPr>
              <w:t>redacted</w:t>
            </w:r>
            <w:r w:rsidR="00D94131" w:rsidRPr="00E03326">
              <w:rPr>
                <w:bCs/>
                <w:szCs w:val="20"/>
              </w:rPr>
              <w:t>%</w:t>
            </w:r>
          </w:p>
        </w:tc>
      </w:tr>
      <w:tr w:rsidR="00D94131" w:rsidRPr="00643A36" w14:paraId="1378D0B7"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2E062EF6" w14:textId="77777777" w:rsidR="00D94131" w:rsidRPr="00E03326" w:rsidRDefault="00D94131" w:rsidP="00B70B76">
            <w:pPr>
              <w:pStyle w:val="KMC16-Tablecontent"/>
              <w:keepNext/>
              <w:rPr>
                <w:szCs w:val="20"/>
              </w:rPr>
            </w:pPr>
            <w:r w:rsidRPr="00E03326">
              <w:rPr>
                <w:szCs w:val="20"/>
              </w:rPr>
              <w:t xml:space="preserve">PFS state cost </w:t>
            </w:r>
          </w:p>
        </w:tc>
        <w:tc>
          <w:tcPr>
            <w:tcW w:w="1594" w:type="dxa"/>
            <w:tcBorders>
              <w:top w:val="nil"/>
              <w:left w:val="nil"/>
              <w:bottom w:val="single" w:sz="4" w:space="0" w:color="auto"/>
              <w:right w:val="single" w:sz="4" w:space="0" w:color="auto"/>
            </w:tcBorders>
            <w:shd w:val="clear" w:color="auto" w:fill="auto"/>
            <w:noWrap/>
            <w:vAlign w:val="center"/>
            <w:hideMark/>
          </w:tcPr>
          <w:p w14:paraId="3E4452C2" w14:textId="77777777" w:rsidR="00D94131" w:rsidRPr="00E03326" w:rsidRDefault="00D94131" w:rsidP="00E03326">
            <w:pPr>
              <w:pStyle w:val="KMC16-Tablecontent"/>
              <w:keepNext/>
              <w:jc w:val="center"/>
              <w:rPr>
                <w:szCs w:val="20"/>
              </w:rPr>
            </w:pPr>
            <w:r w:rsidRPr="00E03326">
              <w:rPr>
                <w:szCs w:val="20"/>
              </w:rPr>
              <w:t>$16,442</w:t>
            </w:r>
          </w:p>
        </w:tc>
        <w:tc>
          <w:tcPr>
            <w:tcW w:w="1595" w:type="dxa"/>
            <w:tcBorders>
              <w:top w:val="nil"/>
              <w:left w:val="nil"/>
              <w:bottom w:val="single" w:sz="4" w:space="0" w:color="auto"/>
              <w:right w:val="single" w:sz="4" w:space="0" w:color="auto"/>
            </w:tcBorders>
            <w:shd w:val="clear" w:color="auto" w:fill="auto"/>
            <w:noWrap/>
            <w:vAlign w:val="center"/>
            <w:hideMark/>
          </w:tcPr>
          <w:p w14:paraId="5E27A994" w14:textId="77777777" w:rsidR="00D94131" w:rsidRPr="00E03326" w:rsidRDefault="00D94131" w:rsidP="00E03326">
            <w:pPr>
              <w:pStyle w:val="KMC16-Tablecontent"/>
              <w:keepNext/>
              <w:jc w:val="center"/>
              <w:rPr>
                <w:szCs w:val="20"/>
              </w:rPr>
            </w:pPr>
            <w:r w:rsidRPr="00E03326">
              <w:rPr>
                <w:szCs w:val="20"/>
              </w:rPr>
              <w:t>$4,956</w:t>
            </w:r>
          </w:p>
        </w:tc>
        <w:tc>
          <w:tcPr>
            <w:tcW w:w="1594" w:type="dxa"/>
            <w:tcBorders>
              <w:top w:val="nil"/>
              <w:left w:val="nil"/>
              <w:bottom w:val="single" w:sz="4" w:space="0" w:color="auto"/>
              <w:right w:val="single" w:sz="4" w:space="0" w:color="auto"/>
            </w:tcBorders>
            <w:shd w:val="clear" w:color="auto" w:fill="auto"/>
            <w:noWrap/>
            <w:vAlign w:val="center"/>
            <w:hideMark/>
          </w:tcPr>
          <w:p w14:paraId="32A16916" w14:textId="77777777" w:rsidR="00D94131" w:rsidRPr="00E03326" w:rsidRDefault="00D94131" w:rsidP="00E03326">
            <w:pPr>
              <w:pStyle w:val="KMC16-Tablecontent"/>
              <w:keepNext/>
              <w:jc w:val="center"/>
              <w:rPr>
                <w:szCs w:val="20"/>
              </w:rPr>
            </w:pPr>
            <w:r w:rsidRPr="00E03326">
              <w:rPr>
                <w:szCs w:val="20"/>
              </w:rPr>
              <w:t>$11,487</w:t>
            </w:r>
          </w:p>
        </w:tc>
        <w:tc>
          <w:tcPr>
            <w:tcW w:w="1595" w:type="dxa"/>
            <w:tcBorders>
              <w:top w:val="nil"/>
              <w:left w:val="nil"/>
              <w:bottom w:val="single" w:sz="4" w:space="0" w:color="auto"/>
              <w:right w:val="single" w:sz="4" w:space="0" w:color="auto"/>
            </w:tcBorders>
            <w:shd w:val="clear" w:color="auto" w:fill="auto"/>
            <w:noWrap/>
            <w:vAlign w:val="center"/>
            <w:hideMark/>
          </w:tcPr>
          <w:p w14:paraId="75492E0E" w14:textId="41913C54" w:rsidR="00D94131" w:rsidRPr="00E03326" w:rsidRDefault="004E27A4" w:rsidP="00643A36">
            <w:pPr>
              <w:pStyle w:val="KMC16-Tablecontent"/>
              <w:keepNext/>
              <w:jc w:val="center"/>
              <w:rPr>
                <w:bCs/>
                <w:szCs w:val="20"/>
              </w:rPr>
            </w:pPr>
            <w:r w:rsidRPr="001F41CB">
              <w:rPr>
                <w:b/>
                <w:szCs w:val="20"/>
              </w:rPr>
              <w:t>redacted</w:t>
            </w:r>
            <w:r w:rsidR="00D94131" w:rsidRPr="00E03326">
              <w:rPr>
                <w:bCs/>
                <w:szCs w:val="20"/>
              </w:rPr>
              <w:t>%</w:t>
            </w:r>
          </w:p>
        </w:tc>
      </w:tr>
      <w:tr w:rsidR="00D94131" w:rsidRPr="00643A36" w14:paraId="17D42F39"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1CEBB940" w14:textId="77777777" w:rsidR="00D94131" w:rsidRPr="00E03326" w:rsidRDefault="00D94131" w:rsidP="00B70B76">
            <w:pPr>
              <w:pStyle w:val="KMC16-Tablecontent"/>
              <w:keepNext/>
              <w:rPr>
                <w:szCs w:val="20"/>
              </w:rPr>
            </w:pPr>
            <w:r w:rsidRPr="00E03326">
              <w:rPr>
                <w:szCs w:val="20"/>
              </w:rPr>
              <w:t xml:space="preserve">After-progression state cost </w:t>
            </w:r>
          </w:p>
        </w:tc>
        <w:tc>
          <w:tcPr>
            <w:tcW w:w="1594" w:type="dxa"/>
            <w:tcBorders>
              <w:top w:val="nil"/>
              <w:left w:val="nil"/>
              <w:bottom w:val="single" w:sz="4" w:space="0" w:color="auto"/>
              <w:right w:val="single" w:sz="4" w:space="0" w:color="auto"/>
            </w:tcBorders>
            <w:shd w:val="clear" w:color="auto" w:fill="auto"/>
            <w:noWrap/>
            <w:vAlign w:val="center"/>
            <w:hideMark/>
          </w:tcPr>
          <w:p w14:paraId="1A2E8BA4" w14:textId="77777777" w:rsidR="00D94131" w:rsidRPr="00E03326" w:rsidRDefault="00D94131" w:rsidP="00E03326">
            <w:pPr>
              <w:pStyle w:val="KMC16-Tablecontent"/>
              <w:keepNext/>
              <w:jc w:val="center"/>
              <w:rPr>
                <w:szCs w:val="20"/>
              </w:rPr>
            </w:pPr>
            <w:r w:rsidRPr="00E03326">
              <w:rPr>
                <w:szCs w:val="20"/>
              </w:rPr>
              <w:t>$24,478</w:t>
            </w:r>
          </w:p>
        </w:tc>
        <w:tc>
          <w:tcPr>
            <w:tcW w:w="1595" w:type="dxa"/>
            <w:tcBorders>
              <w:top w:val="nil"/>
              <w:left w:val="nil"/>
              <w:bottom w:val="single" w:sz="4" w:space="0" w:color="auto"/>
              <w:right w:val="single" w:sz="4" w:space="0" w:color="auto"/>
            </w:tcBorders>
            <w:shd w:val="clear" w:color="auto" w:fill="auto"/>
            <w:noWrap/>
            <w:vAlign w:val="center"/>
            <w:hideMark/>
          </w:tcPr>
          <w:p w14:paraId="06AFDFAF" w14:textId="77777777" w:rsidR="00D94131" w:rsidRPr="00E03326" w:rsidRDefault="00D94131" w:rsidP="00E03326">
            <w:pPr>
              <w:pStyle w:val="KMC16-Tablecontent"/>
              <w:keepNext/>
              <w:jc w:val="center"/>
              <w:rPr>
                <w:szCs w:val="20"/>
              </w:rPr>
            </w:pPr>
            <w:r w:rsidRPr="00E03326">
              <w:rPr>
                <w:szCs w:val="20"/>
              </w:rPr>
              <w:t>$6,231</w:t>
            </w:r>
          </w:p>
        </w:tc>
        <w:tc>
          <w:tcPr>
            <w:tcW w:w="1594" w:type="dxa"/>
            <w:tcBorders>
              <w:top w:val="nil"/>
              <w:left w:val="nil"/>
              <w:bottom w:val="single" w:sz="4" w:space="0" w:color="auto"/>
              <w:right w:val="single" w:sz="4" w:space="0" w:color="auto"/>
            </w:tcBorders>
            <w:shd w:val="clear" w:color="auto" w:fill="auto"/>
            <w:noWrap/>
            <w:vAlign w:val="center"/>
            <w:hideMark/>
          </w:tcPr>
          <w:p w14:paraId="2424EC88" w14:textId="77777777" w:rsidR="00D94131" w:rsidRPr="00E03326" w:rsidRDefault="00D94131" w:rsidP="00E03326">
            <w:pPr>
              <w:pStyle w:val="KMC16-Tablecontent"/>
              <w:keepNext/>
              <w:jc w:val="center"/>
              <w:rPr>
                <w:szCs w:val="20"/>
              </w:rPr>
            </w:pPr>
            <w:r w:rsidRPr="00E03326">
              <w:rPr>
                <w:szCs w:val="20"/>
              </w:rPr>
              <w:t>$18,248</w:t>
            </w:r>
          </w:p>
        </w:tc>
        <w:tc>
          <w:tcPr>
            <w:tcW w:w="1595" w:type="dxa"/>
            <w:tcBorders>
              <w:top w:val="nil"/>
              <w:left w:val="nil"/>
              <w:bottom w:val="single" w:sz="4" w:space="0" w:color="auto"/>
              <w:right w:val="single" w:sz="4" w:space="0" w:color="auto"/>
            </w:tcBorders>
            <w:shd w:val="clear" w:color="auto" w:fill="auto"/>
            <w:noWrap/>
            <w:vAlign w:val="center"/>
            <w:hideMark/>
          </w:tcPr>
          <w:p w14:paraId="3792DA79" w14:textId="4718931F" w:rsidR="00D94131" w:rsidRPr="00E03326" w:rsidRDefault="004E27A4" w:rsidP="00643A36">
            <w:pPr>
              <w:pStyle w:val="KMC16-Tablecontent"/>
              <w:keepNext/>
              <w:jc w:val="center"/>
              <w:rPr>
                <w:bCs/>
                <w:szCs w:val="20"/>
              </w:rPr>
            </w:pPr>
            <w:r w:rsidRPr="001F41CB">
              <w:rPr>
                <w:b/>
                <w:szCs w:val="20"/>
              </w:rPr>
              <w:t>redacted</w:t>
            </w:r>
            <w:r w:rsidR="00D94131" w:rsidRPr="00E03326">
              <w:rPr>
                <w:bCs/>
                <w:szCs w:val="20"/>
              </w:rPr>
              <w:t>%</w:t>
            </w:r>
          </w:p>
        </w:tc>
      </w:tr>
      <w:tr w:rsidR="00D94131" w:rsidRPr="00643A36" w14:paraId="6247841A"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42245A53" w14:textId="77777777" w:rsidR="00D94131" w:rsidRPr="00E03326" w:rsidRDefault="00D94131" w:rsidP="00B70B76">
            <w:pPr>
              <w:pStyle w:val="KMC16-Tablecontent"/>
              <w:keepNext/>
              <w:rPr>
                <w:szCs w:val="20"/>
              </w:rPr>
            </w:pPr>
            <w:r w:rsidRPr="00E03326">
              <w:rPr>
                <w:szCs w:val="20"/>
              </w:rPr>
              <w:t xml:space="preserve">Death &amp; progression onset costs </w:t>
            </w:r>
          </w:p>
        </w:tc>
        <w:tc>
          <w:tcPr>
            <w:tcW w:w="1594" w:type="dxa"/>
            <w:tcBorders>
              <w:top w:val="nil"/>
              <w:left w:val="nil"/>
              <w:bottom w:val="single" w:sz="4" w:space="0" w:color="auto"/>
              <w:right w:val="single" w:sz="4" w:space="0" w:color="auto"/>
            </w:tcBorders>
            <w:shd w:val="clear" w:color="auto" w:fill="auto"/>
            <w:noWrap/>
            <w:vAlign w:val="center"/>
            <w:hideMark/>
          </w:tcPr>
          <w:p w14:paraId="07A9F9F9" w14:textId="77777777" w:rsidR="00D94131" w:rsidRPr="00E03326" w:rsidRDefault="00D94131" w:rsidP="00E03326">
            <w:pPr>
              <w:pStyle w:val="KMC16-Tablecontent"/>
              <w:keepNext/>
              <w:jc w:val="center"/>
              <w:rPr>
                <w:szCs w:val="20"/>
              </w:rPr>
            </w:pPr>
            <w:r w:rsidRPr="00E03326">
              <w:rPr>
                <w:szCs w:val="20"/>
              </w:rPr>
              <w:t>$89,491</w:t>
            </w:r>
          </w:p>
        </w:tc>
        <w:tc>
          <w:tcPr>
            <w:tcW w:w="1595" w:type="dxa"/>
            <w:tcBorders>
              <w:top w:val="nil"/>
              <w:left w:val="nil"/>
              <w:bottom w:val="single" w:sz="4" w:space="0" w:color="auto"/>
              <w:right w:val="single" w:sz="4" w:space="0" w:color="auto"/>
            </w:tcBorders>
            <w:shd w:val="clear" w:color="auto" w:fill="auto"/>
            <w:noWrap/>
            <w:vAlign w:val="center"/>
            <w:hideMark/>
          </w:tcPr>
          <w:p w14:paraId="1EE77470" w14:textId="77777777" w:rsidR="00D94131" w:rsidRPr="00E03326" w:rsidRDefault="00D94131" w:rsidP="00E03326">
            <w:pPr>
              <w:pStyle w:val="KMC16-Tablecontent"/>
              <w:keepNext/>
              <w:jc w:val="center"/>
              <w:rPr>
                <w:szCs w:val="20"/>
              </w:rPr>
            </w:pPr>
            <w:r w:rsidRPr="00E03326">
              <w:rPr>
                <w:szCs w:val="20"/>
              </w:rPr>
              <w:t>$93,946</w:t>
            </w:r>
          </w:p>
        </w:tc>
        <w:tc>
          <w:tcPr>
            <w:tcW w:w="1594" w:type="dxa"/>
            <w:tcBorders>
              <w:top w:val="nil"/>
              <w:left w:val="nil"/>
              <w:bottom w:val="single" w:sz="4" w:space="0" w:color="auto"/>
              <w:right w:val="single" w:sz="4" w:space="0" w:color="auto"/>
            </w:tcBorders>
            <w:shd w:val="clear" w:color="auto" w:fill="auto"/>
            <w:noWrap/>
            <w:vAlign w:val="center"/>
            <w:hideMark/>
          </w:tcPr>
          <w:p w14:paraId="306AC242" w14:textId="77777777" w:rsidR="00D94131" w:rsidRPr="00E03326" w:rsidRDefault="00D94131" w:rsidP="00E03326">
            <w:pPr>
              <w:pStyle w:val="KMC16-Tablecontent"/>
              <w:keepNext/>
              <w:jc w:val="center"/>
              <w:rPr>
                <w:szCs w:val="20"/>
              </w:rPr>
            </w:pPr>
            <w:r w:rsidRPr="00E03326">
              <w:rPr>
                <w:szCs w:val="20"/>
              </w:rPr>
              <w:t>-$4,455</w:t>
            </w:r>
          </w:p>
        </w:tc>
        <w:tc>
          <w:tcPr>
            <w:tcW w:w="1595" w:type="dxa"/>
            <w:tcBorders>
              <w:top w:val="nil"/>
              <w:left w:val="nil"/>
              <w:bottom w:val="single" w:sz="4" w:space="0" w:color="auto"/>
              <w:right w:val="single" w:sz="4" w:space="0" w:color="auto"/>
            </w:tcBorders>
            <w:shd w:val="clear" w:color="auto" w:fill="auto"/>
            <w:noWrap/>
            <w:vAlign w:val="center"/>
            <w:hideMark/>
          </w:tcPr>
          <w:p w14:paraId="0AAB2217" w14:textId="7F66741B" w:rsidR="00D94131" w:rsidRPr="00E03326" w:rsidRDefault="004E27A4" w:rsidP="00643A36">
            <w:pPr>
              <w:pStyle w:val="KMC16-Tablecontent"/>
              <w:keepNext/>
              <w:jc w:val="center"/>
              <w:rPr>
                <w:bCs/>
                <w:szCs w:val="20"/>
              </w:rPr>
            </w:pPr>
            <w:r w:rsidRPr="001F41CB">
              <w:rPr>
                <w:b/>
                <w:szCs w:val="20"/>
              </w:rPr>
              <w:t>redacted</w:t>
            </w:r>
            <w:r w:rsidR="00D94131" w:rsidRPr="00E03326">
              <w:rPr>
                <w:bCs/>
                <w:szCs w:val="20"/>
              </w:rPr>
              <w:t>%</w:t>
            </w:r>
          </w:p>
        </w:tc>
      </w:tr>
      <w:tr w:rsidR="00D94131" w:rsidRPr="00643A36" w14:paraId="708BFD54" w14:textId="77777777" w:rsidTr="00E03326">
        <w:trPr>
          <w:trHeight w:val="315"/>
        </w:trPr>
        <w:tc>
          <w:tcPr>
            <w:tcW w:w="2689" w:type="dxa"/>
            <w:tcBorders>
              <w:top w:val="nil"/>
              <w:left w:val="single" w:sz="4" w:space="0" w:color="auto"/>
              <w:bottom w:val="single" w:sz="4" w:space="0" w:color="auto"/>
              <w:right w:val="single" w:sz="4" w:space="0" w:color="auto"/>
            </w:tcBorders>
            <w:shd w:val="clear" w:color="auto" w:fill="auto"/>
            <w:hideMark/>
          </w:tcPr>
          <w:p w14:paraId="6CA3B8AD" w14:textId="77777777" w:rsidR="00D94131" w:rsidRPr="00E03326" w:rsidRDefault="00D94131" w:rsidP="00B70B76">
            <w:pPr>
              <w:pStyle w:val="KMC16-Tablecontent"/>
              <w:rPr>
                <w:b/>
                <w:szCs w:val="20"/>
              </w:rPr>
            </w:pPr>
            <w:r w:rsidRPr="00E03326">
              <w:rPr>
                <w:b/>
                <w:szCs w:val="20"/>
              </w:rPr>
              <w:t xml:space="preserve">Total cost </w:t>
            </w:r>
          </w:p>
        </w:tc>
        <w:tc>
          <w:tcPr>
            <w:tcW w:w="1594" w:type="dxa"/>
            <w:tcBorders>
              <w:top w:val="nil"/>
              <w:left w:val="nil"/>
              <w:bottom w:val="single" w:sz="4" w:space="0" w:color="auto"/>
              <w:right w:val="single" w:sz="4" w:space="0" w:color="auto"/>
            </w:tcBorders>
            <w:shd w:val="clear" w:color="auto" w:fill="auto"/>
            <w:noWrap/>
            <w:vAlign w:val="center"/>
            <w:hideMark/>
          </w:tcPr>
          <w:p w14:paraId="5FF0BFE1" w14:textId="2D695C2C" w:rsidR="00D94131" w:rsidRPr="00E03326" w:rsidRDefault="00D94131" w:rsidP="00E03326">
            <w:pPr>
              <w:pStyle w:val="KMC16-Tablecontent"/>
              <w:jc w:val="center"/>
              <w:rPr>
                <w:b/>
                <w:szCs w:val="20"/>
              </w:rPr>
            </w:pPr>
            <w:r w:rsidRPr="00E03326">
              <w:rPr>
                <w:b/>
                <w:szCs w:val="20"/>
              </w:rPr>
              <w:t>$</w:t>
            </w:r>
            <w:r w:rsidR="004E27A4">
              <w:rPr>
                <w:b/>
                <w:szCs w:val="20"/>
              </w:rPr>
              <w:t>redacted</w:t>
            </w:r>
          </w:p>
        </w:tc>
        <w:tc>
          <w:tcPr>
            <w:tcW w:w="1595" w:type="dxa"/>
            <w:tcBorders>
              <w:top w:val="nil"/>
              <w:left w:val="nil"/>
              <w:bottom w:val="single" w:sz="4" w:space="0" w:color="auto"/>
              <w:right w:val="single" w:sz="4" w:space="0" w:color="auto"/>
            </w:tcBorders>
            <w:shd w:val="clear" w:color="auto" w:fill="auto"/>
            <w:noWrap/>
            <w:vAlign w:val="center"/>
            <w:hideMark/>
          </w:tcPr>
          <w:p w14:paraId="31FDFE78" w14:textId="77777777" w:rsidR="00D94131" w:rsidRPr="00E03326" w:rsidRDefault="00D94131" w:rsidP="00E03326">
            <w:pPr>
              <w:pStyle w:val="KMC16-Tablecontent"/>
              <w:jc w:val="center"/>
              <w:rPr>
                <w:b/>
                <w:szCs w:val="20"/>
              </w:rPr>
            </w:pPr>
            <w:r w:rsidRPr="00E03326">
              <w:rPr>
                <w:b/>
                <w:szCs w:val="20"/>
              </w:rPr>
              <w:t>$105,133</w:t>
            </w:r>
          </w:p>
        </w:tc>
        <w:tc>
          <w:tcPr>
            <w:tcW w:w="1594" w:type="dxa"/>
            <w:tcBorders>
              <w:top w:val="nil"/>
              <w:left w:val="nil"/>
              <w:bottom w:val="single" w:sz="4" w:space="0" w:color="auto"/>
              <w:right w:val="single" w:sz="4" w:space="0" w:color="auto"/>
            </w:tcBorders>
            <w:shd w:val="clear" w:color="auto" w:fill="auto"/>
            <w:noWrap/>
            <w:vAlign w:val="center"/>
            <w:hideMark/>
          </w:tcPr>
          <w:p w14:paraId="7818125D" w14:textId="6F4AC719" w:rsidR="00D94131" w:rsidRPr="00E03326" w:rsidRDefault="00D94131" w:rsidP="00E03326">
            <w:pPr>
              <w:pStyle w:val="KMC16-Tablecontent"/>
              <w:jc w:val="center"/>
              <w:rPr>
                <w:b/>
                <w:szCs w:val="20"/>
              </w:rPr>
            </w:pPr>
            <w:r w:rsidRPr="00E03326">
              <w:rPr>
                <w:b/>
                <w:szCs w:val="20"/>
              </w:rPr>
              <w:t>$</w:t>
            </w:r>
            <w:r w:rsidR="004E27A4">
              <w:rPr>
                <w:b/>
                <w:szCs w:val="20"/>
              </w:rPr>
              <w:t>redacted</w:t>
            </w:r>
          </w:p>
        </w:tc>
        <w:tc>
          <w:tcPr>
            <w:tcW w:w="1595" w:type="dxa"/>
            <w:tcBorders>
              <w:top w:val="nil"/>
              <w:left w:val="nil"/>
              <w:bottom w:val="single" w:sz="4" w:space="0" w:color="auto"/>
              <w:right w:val="single" w:sz="4" w:space="0" w:color="auto"/>
            </w:tcBorders>
            <w:shd w:val="clear" w:color="auto" w:fill="auto"/>
            <w:noWrap/>
            <w:vAlign w:val="center"/>
            <w:hideMark/>
          </w:tcPr>
          <w:p w14:paraId="4E8572A5" w14:textId="77777777" w:rsidR="00D94131" w:rsidRPr="00E03326" w:rsidRDefault="00D94131" w:rsidP="00643A36">
            <w:pPr>
              <w:pStyle w:val="KMC16-Tablecontent"/>
              <w:keepNext/>
              <w:jc w:val="center"/>
              <w:rPr>
                <w:b/>
                <w:szCs w:val="20"/>
              </w:rPr>
            </w:pPr>
            <w:r w:rsidRPr="00E03326">
              <w:rPr>
                <w:b/>
                <w:szCs w:val="20"/>
              </w:rPr>
              <w:t>100%</w:t>
            </w:r>
          </w:p>
        </w:tc>
      </w:tr>
    </w:tbl>
    <w:p w14:paraId="3DA0E0C9" w14:textId="43868B68" w:rsidR="003075BD" w:rsidRDefault="001D5EC9" w:rsidP="00D43506">
      <w:pPr>
        <w:spacing w:before="240" w:after="240"/>
      </w:pPr>
      <w:r w:rsidRPr="375F5CCE">
        <w:t xml:space="preserve">Utilities for </w:t>
      </w:r>
      <w:r w:rsidR="00A74546" w:rsidRPr="375F5CCE">
        <w:t>the pre-progressed</w:t>
      </w:r>
      <w:r w:rsidR="00B93E30" w:rsidRPr="375F5CCE">
        <w:t xml:space="preserve"> and</w:t>
      </w:r>
      <w:r w:rsidRPr="375F5CCE">
        <w:t xml:space="preserve"> </w:t>
      </w:r>
      <w:r w:rsidR="00B93E30" w:rsidRPr="375F5CCE">
        <w:t>progressed disease</w:t>
      </w:r>
      <w:r w:rsidRPr="375F5CCE">
        <w:t xml:space="preserve"> health states were </w:t>
      </w:r>
      <w:r w:rsidR="000D246D" w:rsidRPr="375F5CCE">
        <w:t xml:space="preserve">identical to the utilities in </w:t>
      </w:r>
      <w:r w:rsidR="00643A36" w:rsidRPr="375F5CCE">
        <w:t>MSAC 1625</w:t>
      </w:r>
      <w:r w:rsidR="00F926E2" w:rsidRPr="375F5CCE">
        <w:t>.</w:t>
      </w:r>
      <w:r w:rsidR="002E2DCE" w:rsidRPr="375F5CCE">
        <w:t xml:space="preserve"> The </w:t>
      </w:r>
      <w:r w:rsidR="00643A36" w:rsidRPr="375F5CCE">
        <w:t>D</w:t>
      </w:r>
      <w:r w:rsidR="00857EEE" w:rsidRPr="375F5CCE">
        <w:t xml:space="preserve">B “maintenance” </w:t>
      </w:r>
      <w:r w:rsidR="00643A36" w:rsidRPr="375F5CCE">
        <w:t>MSAC 1625 ADAR</w:t>
      </w:r>
      <w:r w:rsidR="00857EEE" w:rsidRPr="375F5CCE">
        <w:t xml:space="preserve"> </w:t>
      </w:r>
      <w:r w:rsidR="00CC6D21" w:rsidRPr="375F5CCE">
        <w:t xml:space="preserve">estimated </w:t>
      </w:r>
      <w:r w:rsidR="00423FE9" w:rsidRPr="375F5CCE">
        <w:t xml:space="preserve">the </w:t>
      </w:r>
      <w:r w:rsidR="00CC6D21" w:rsidRPr="375F5CCE">
        <w:t>paediatric population norms based on EQ-5D-5L adult population norms reported in the literature (McCaffrey 2016)</w:t>
      </w:r>
      <w:r w:rsidR="001F5321">
        <w:rPr>
          <w:rStyle w:val="FootnoteReference"/>
        </w:rPr>
        <w:footnoteReference w:id="20"/>
      </w:r>
      <w:r w:rsidR="00CC6D21" w:rsidRPr="375F5CCE">
        <w:t xml:space="preserve"> and then </w:t>
      </w:r>
      <w:r w:rsidR="002109B4" w:rsidRPr="375F5CCE">
        <w:t xml:space="preserve">applied </w:t>
      </w:r>
      <w:r w:rsidR="00CC6D21" w:rsidRPr="375F5CCE">
        <w:t>a utility decrement for the stable disease state (-7.3%) and failure state (</w:t>
      </w:r>
      <w:r w:rsidR="00E106FD">
        <w:noBreakHyphen/>
      </w:r>
      <w:r w:rsidR="00CC6D21" w:rsidRPr="375F5CCE">
        <w:t xml:space="preserve">41.7%) based on HUI2 and HUI3 values from Portwine </w:t>
      </w:r>
      <w:r w:rsidR="00423FE9" w:rsidRPr="375F5CCE">
        <w:t>(</w:t>
      </w:r>
      <w:r w:rsidR="00CC6D21" w:rsidRPr="375F5CCE">
        <w:t>2016</w:t>
      </w:r>
      <w:r w:rsidR="00423FE9" w:rsidRPr="375F5CCE">
        <w:t>)</w:t>
      </w:r>
      <w:r w:rsidR="00BB18F0">
        <w:rPr>
          <w:rStyle w:val="FootnoteReference"/>
        </w:rPr>
        <w:footnoteReference w:id="21"/>
      </w:r>
      <w:r w:rsidR="00CC6D21" w:rsidRPr="375F5CCE">
        <w:t xml:space="preserve"> and Barr </w:t>
      </w:r>
      <w:r w:rsidR="00423FE9" w:rsidRPr="375F5CCE">
        <w:t>(</w:t>
      </w:r>
      <w:r w:rsidR="00CC6D21" w:rsidRPr="375F5CCE">
        <w:t>1999</w:t>
      </w:r>
      <w:r w:rsidR="00AA2B98">
        <w:rPr>
          <w:rStyle w:val="FootnoteReference"/>
        </w:rPr>
        <w:footnoteReference w:id="22"/>
      </w:r>
      <w:r w:rsidR="00423FE9" w:rsidRPr="375F5CCE">
        <w:t>)</w:t>
      </w:r>
      <w:r w:rsidR="00CC6D21" w:rsidRPr="375F5CCE">
        <w:t>.</w:t>
      </w:r>
      <w:r w:rsidR="00634BAC" w:rsidRPr="375F5CCE">
        <w:t xml:space="preserve"> </w:t>
      </w:r>
      <w:r w:rsidR="00456A36" w:rsidRPr="375F5CCE">
        <w:t xml:space="preserve">The </w:t>
      </w:r>
      <w:r w:rsidR="00643A36" w:rsidRPr="375F5CCE">
        <w:t xml:space="preserve">ADAR </w:t>
      </w:r>
      <w:r w:rsidR="00456A36" w:rsidRPr="375F5CCE">
        <w:t xml:space="preserve">stated that </w:t>
      </w:r>
      <w:r w:rsidR="007A7FEF" w:rsidRPr="375F5CCE">
        <w:t>it uses the same literature</w:t>
      </w:r>
      <w:r w:rsidR="00456A36" w:rsidRPr="375F5CCE">
        <w:t xml:space="preserve"> sources</w:t>
      </w:r>
      <w:r w:rsidR="00F926E2" w:rsidRPr="375F5CCE">
        <w:t>,</w:t>
      </w:r>
      <w:r w:rsidR="00456A36" w:rsidRPr="375F5CCE">
        <w:t xml:space="preserve"> </w:t>
      </w:r>
      <w:r w:rsidR="007A7FEF" w:rsidRPr="375F5CCE">
        <w:t xml:space="preserve">however it could not be verified whether </w:t>
      </w:r>
      <w:r w:rsidR="00634BAC" w:rsidRPr="375F5CCE">
        <w:t xml:space="preserve">the same algorithm </w:t>
      </w:r>
      <w:r w:rsidR="0091708F" w:rsidRPr="375F5CCE">
        <w:t xml:space="preserve">for estimating </w:t>
      </w:r>
      <w:r w:rsidR="002E2DCE" w:rsidRPr="375F5CCE">
        <w:t xml:space="preserve">health state </w:t>
      </w:r>
      <w:r w:rsidR="0091708F" w:rsidRPr="375F5CCE">
        <w:t>utilit</w:t>
      </w:r>
      <w:r w:rsidR="002E2DCE" w:rsidRPr="375F5CCE">
        <w:t>ies</w:t>
      </w:r>
      <w:r w:rsidR="0091708F" w:rsidRPr="375F5CCE">
        <w:t xml:space="preserve"> </w:t>
      </w:r>
      <w:r w:rsidR="00634BAC" w:rsidRPr="375F5CCE">
        <w:t xml:space="preserve">was used in </w:t>
      </w:r>
      <w:r w:rsidR="00643A36" w:rsidRPr="375F5CCE">
        <w:t>this ADAR</w:t>
      </w:r>
      <w:r w:rsidR="00634BAC" w:rsidRPr="375F5CCE">
        <w:t xml:space="preserve"> and whether the </w:t>
      </w:r>
      <w:r w:rsidR="0091708F" w:rsidRPr="375F5CCE">
        <w:t>reported values of 0.89</w:t>
      </w:r>
      <w:r w:rsidR="002E2DCE" w:rsidRPr="375F5CCE">
        <w:t xml:space="preserve"> (</w:t>
      </w:r>
      <w:r w:rsidR="006E34D3" w:rsidRPr="375F5CCE">
        <w:t>p</w:t>
      </w:r>
      <w:r w:rsidR="002E2DCE" w:rsidRPr="375F5CCE">
        <w:t xml:space="preserve">re-progression) and </w:t>
      </w:r>
      <w:r w:rsidR="003D2492" w:rsidRPr="375F5CCE">
        <w:t xml:space="preserve">0.56 </w:t>
      </w:r>
      <w:r w:rsidR="006E34D3" w:rsidRPr="375F5CCE">
        <w:t>(</w:t>
      </w:r>
      <w:r w:rsidR="003D2492" w:rsidRPr="375F5CCE">
        <w:t>progressed disease</w:t>
      </w:r>
      <w:r w:rsidR="006E34D3" w:rsidRPr="375F5CCE">
        <w:t>)</w:t>
      </w:r>
      <w:r w:rsidR="0091708F" w:rsidRPr="375F5CCE">
        <w:t xml:space="preserve"> </w:t>
      </w:r>
      <w:r w:rsidR="003D2492" w:rsidRPr="375F5CCE">
        <w:t>are the same</w:t>
      </w:r>
      <w:r w:rsidR="006E34D3" w:rsidRPr="375F5CCE">
        <w:t xml:space="preserve"> as in the </w:t>
      </w:r>
      <w:r w:rsidR="00643A36" w:rsidRPr="375F5CCE">
        <w:t>MSAC 1625 ADAR</w:t>
      </w:r>
      <w:r w:rsidR="003D2492" w:rsidRPr="375F5CCE">
        <w:t>.</w:t>
      </w:r>
      <w:r w:rsidR="0091708F" w:rsidRPr="375F5CCE">
        <w:t xml:space="preserve"> </w:t>
      </w:r>
      <w:r w:rsidR="00580A1B" w:rsidRPr="375F5CCE">
        <w:t>Subject to this reservation,</w:t>
      </w:r>
      <w:r w:rsidR="008E5ED5" w:rsidRPr="375F5CCE">
        <w:t xml:space="preserve"> a</w:t>
      </w:r>
      <w:r w:rsidR="00580A1B" w:rsidRPr="375F5CCE">
        <w:t xml:space="preserve">pplication of utilities </w:t>
      </w:r>
      <w:r w:rsidR="008E5ED5" w:rsidRPr="375F5CCE">
        <w:t>was</w:t>
      </w:r>
      <w:r w:rsidR="00580A1B" w:rsidRPr="375F5CCE">
        <w:t xml:space="preserve"> </w:t>
      </w:r>
      <w:r w:rsidR="00643A36" w:rsidRPr="375F5CCE">
        <w:t xml:space="preserve">considered </w:t>
      </w:r>
      <w:r w:rsidR="00580A1B" w:rsidRPr="375F5CCE">
        <w:t>reasonable</w:t>
      </w:r>
      <w:r w:rsidR="00643A36" w:rsidRPr="375F5CCE">
        <w:t xml:space="preserve"> by the commentary</w:t>
      </w:r>
      <w:r w:rsidR="00580A1B" w:rsidRPr="375F5CCE">
        <w:t>.</w:t>
      </w:r>
      <w:r w:rsidR="00207863" w:rsidRPr="375F5CCE">
        <w:t xml:space="preserve"> No cost or utility decrement associated with AEs were included.</w:t>
      </w:r>
      <w:r w:rsidR="00194400" w:rsidRPr="375F5CCE">
        <w:t xml:space="preserve"> </w:t>
      </w:r>
    </w:p>
    <w:p w14:paraId="57EA8852" w14:textId="60D900F8" w:rsidR="0091708F" w:rsidRDefault="00A10FDF" w:rsidP="005F558B">
      <w:pPr>
        <w:spacing w:after="240"/>
      </w:pPr>
      <w:r>
        <w:fldChar w:fldCharType="begin"/>
      </w:r>
      <w:r>
        <w:instrText xml:space="preserve"> REF _Ref183993129 \h  \* MERGEFORMAT </w:instrText>
      </w:r>
      <w:r>
        <w:fldChar w:fldCharType="separate"/>
      </w:r>
      <w:r w:rsidR="00C02A66">
        <w:t>Table 9</w:t>
      </w:r>
      <w:r>
        <w:fldChar w:fldCharType="end"/>
      </w:r>
      <w:r>
        <w:t xml:space="preserve"> presents base case results as reported in the </w:t>
      </w:r>
      <w:r w:rsidR="003075BD">
        <w:t>ADAR</w:t>
      </w:r>
      <w:r w:rsidR="00683949">
        <w:t xml:space="preserve"> using Method 1</w:t>
      </w:r>
      <w:r w:rsidR="007523BE">
        <w:t xml:space="preserve">. </w:t>
      </w:r>
      <w:r w:rsidR="0055480F">
        <w:t xml:space="preserve">ICER in relation to the </w:t>
      </w:r>
      <w:r w:rsidR="00BA0AE5">
        <w:t>LY outcome</w:t>
      </w:r>
      <w:r w:rsidR="0055480F">
        <w:t xml:space="preserve"> was </w:t>
      </w:r>
      <w:r w:rsidR="00BA0AE5">
        <w:t>included</w:t>
      </w:r>
      <w:r w:rsidR="0055480F">
        <w:t xml:space="preserve"> for </w:t>
      </w:r>
      <w:r w:rsidR="00A16BF8">
        <w:t xml:space="preserve">the sake of </w:t>
      </w:r>
      <w:r w:rsidR="0055480F">
        <w:t>complet</w:t>
      </w:r>
      <w:r w:rsidR="009D45ED">
        <w:t>eness</w:t>
      </w:r>
      <w:r w:rsidR="001957D0">
        <w:t>;</w:t>
      </w:r>
      <w:r w:rsidR="00F62F43">
        <w:t xml:space="preserve"> the </w:t>
      </w:r>
      <w:r w:rsidR="006853ED">
        <w:t>problems</w:t>
      </w:r>
      <w:r w:rsidR="003946A3">
        <w:t xml:space="preserve"> </w:t>
      </w:r>
      <w:r w:rsidR="006853ED">
        <w:t>with</w:t>
      </w:r>
      <w:r w:rsidR="00AB091E">
        <w:t xml:space="preserve"> the modelled </w:t>
      </w:r>
      <w:r w:rsidR="00AB091E">
        <w:lastRenderedPageBreak/>
        <w:t>economic evaluation outlined above equally apply</w:t>
      </w:r>
      <w:r w:rsidR="0089359F">
        <w:t xml:space="preserve"> to the</w:t>
      </w:r>
      <w:r w:rsidR="00E17406">
        <w:t xml:space="preserve"> incremental cost per LY</w:t>
      </w:r>
      <w:r w:rsidR="00184D7C">
        <w:t xml:space="preserve"> gained</w:t>
      </w:r>
      <w:r w:rsidR="0A623C43">
        <w:t>.</w:t>
      </w:r>
      <w:r w:rsidR="0051312F">
        <w:t xml:space="preserve"> </w:t>
      </w:r>
      <w:r w:rsidR="00C1692B">
        <w:t xml:space="preserve">Both </w:t>
      </w:r>
      <w:r w:rsidR="0051312F">
        <w:t>ICER estimate</w:t>
      </w:r>
      <w:r w:rsidR="001957D0">
        <w:t>s</w:t>
      </w:r>
      <w:r w:rsidR="0051312F">
        <w:t xml:space="preserve"> should be interpreted with caution. </w:t>
      </w:r>
    </w:p>
    <w:p w14:paraId="7F25699A" w14:textId="12251383" w:rsidR="00831564" w:rsidRPr="00E03326" w:rsidRDefault="00AE4109" w:rsidP="002477F9">
      <w:pPr>
        <w:pStyle w:val="Caption"/>
      </w:pPr>
      <w:bookmarkStart w:id="42" w:name="_Ref183993129"/>
      <w:bookmarkStart w:id="43" w:name="_Toc179288624"/>
      <w:r w:rsidRPr="00E03326">
        <w:t xml:space="preserve">Table </w:t>
      </w:r>
      <w:r>
        <w:fldChar w:fldCharType="begin"/>
      </w:r>
      <w:r>
        <w:instrText>SEQ Table \* ARABIC</w:instrText>
      </w:r>
      <w:r>
        <w:fldChar w:fldCharType="separate"/>
      </w:r>
      <w:r w:rsidR="00C02A66">
        <w:rPr>
          <w:noProof/>
        </w:rPr>
        <w:t>9</w:t>
      </w:r>
      <w:r>
        <w:fldChar w:fldCharType="end"/>
      </w:r>
      <w:bookmarkEnd w:id="42"/>
      <w:r w:rsidR="003075BD">
        <w:tab/>
      </w:r>
      <w:r w:rsidR="00831564" w:rsidRPr="00E03326">
        <w:t>Base Case results for the RRHRNBL population</w:t>
      </w:r>
      <w:bookmarkEnd w:id="43"/>
      <w:r w:rsidR="00831564" w:rsidRPr="00E03326">
        <w:t xml:space="preserve"> </w:t>
      </w:r>
      <w:r w:rsidR="005540DA">
        <w:t>(using Method 1)</w:t>
      </w:r>
    </w:p>
    <w:tbl>
      <w:tblPr>
        <w:tblW w:w="9067" w:type="dxa"/>
        <w:tblLayout w:type="fixed"/>
        <w:tblLook w:val="04A0" w:firstRow="1" w:lastRow="0" w:firstColumn="1" w:lastColumn="0" w:noHBand="0" w:noVBand="1"/>
      </w:tblPr>
      <w:tblGrid>
        <w:gridCol w:w="990"/>
        <w:gridCol w:w="937"/>
        <w:gridCol w:w="876"/>
        <w:gridCol w:w="877"/>
        <w:gridCol w:w="1001"/>
        <w:gridCol w:w="846"/>
        <w:gridCol w:w="846"/>
        <w:gridCol w:w="1441"/>
        <w:gridCol w:w="1253"/>
      </w:tblGrid>
      <w:tr w:rsidR="003075BD" w:rsidRPr="003075BD" w14:paraId="7EE17154" w14:textId="77777777" w:rsidTr="00E03326">
        <w:trPr>
          <w:trHeight w:val="300"/>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13639" w14:textId="77777777" w:rsidR="00831564" w:rsidRPr="00E03326" w:rsidRDefault="00831564" w:rsidP="002477F9">
            <w:pPr>
              <w:pStyle w:val="KMC16-Tablecontent"/>
              <w:keepNext/>
              <w:rPr>
                <w:b/>
                <w:szCs w:val="20"/>
                <w:lang w:eastAsia="en-AU"/>
              </w:rPr>
            </w:pPr>
            <w:r w:rsidRPr="00E03326">
              <w:rPr>
                <w:rFonts w:eastAsia="Calibri"/>
                <w:b/>
                <w:szCs w:val="20"/>
                <w:lang w:eastAsia="en-AU"/>
              </w:rPr>
              <w:t>Therapies</w:t>
            </w:r>
          </w:p>
        </w:tc>
        <w:tc>
          <w:tcPr>
            <w:tcW w:w="2690" w:type="dxa"/>
            <w:gridSpan w:val="3"/>
            <w:tcBorders>
              <w:top w:val="single" w:sz="4" w:space="0" w:color="auto"/>
              <w:left w:val="nil"/>
              <w:bottom w:val="single" w:sz="4" w:space="0" w:color="auto"/>
              <w:right w:val="single" w:sz="4" w:space="0" w:color="auto"/>
            </w:tcBorders>
            <w:shd w:val="clear" w:color="auto" w:fill="auto"/>
            <w:vAlign w:val="center"/>
            <w:hideMark/>
          </w:tcPr>
          <w:p w14:paraId="1B9A1D86"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Total</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026B57FA"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Incremental</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AD16F"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ICER (discounted)</w:t>
            </w:r>
          </w:p>
        </w:tc>
      </w:tr>
      <w:tr w:rsidR="003075BD" w:rsidRPr="003075BD" w14:paraId="4288F8D4" w14:textId="77777777" w:rsidTr="003075BD">
        <w:trPr>
          <w:trHeight w:val="300"/>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5AAEA" w14:textId="77777777" w:rsidR="00831564" w:rsidRPr="00E03326" w:rsidRDefault="00831564" w:rsidP="002477F9">
            <w:pPr>
              <w:pStyle w:val="KMC16-Tablecontent"/>
              <w:keepNext/>
              <w:rPr>
                <w:b/>
                <w:szCs w:val="20"/>
                <w:lang w:eastAsia="en-AU"/>
              </w:rPr>
            </w:pPr>
          </w:p>
        </w:tc>
        <w:tc>
          <w:tcPr>
            <w:tcW w:w="937" w:type="dxa"/>
            <w:tcBorders>
              <w:top w:val="nil"/>
              <w:left w:val="nil"/>
              <w:bottom w:val="single" w:sz="4" w:space="0" w:color="auto"/>
              <w:right w:val="single" w:sz="4" w:space="0" w:color="auto"/>
            </w:tcBorders>
            <w:shd w:val="clear" w:color="auto" w:fill="auto"/>
            <w:hideMark/>
          </w:tcPr>
          <w:p w14:paraId="1F3A8F2D"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Cost</w:t>
            </w:r>
          </w:p>
        </w:tc>
        <w:tc>
          <w:tcPr>
            <w:tcW w:w="876" w:type="dxa"/>
            <w:tcBorders>
              <w:top w:val="nil"/>
              <w:left w:val="nil"/>
              <w:bottom w:val="single" w:sz="4" w:space="0" w:color="auto"/>
              <w:right w:val="single" w:sz="4" w:space="0" w:color="auto"/>
            </w:tcBorders>
            <w:shd w:val="clear" w:color="auto" w:fill="auto"/>
            <w:hideMark/>
          </w:tcPr>
          <w:p w14:paraId="249385B8" w14:textId="43207FD2" w:rsidR="00831564" w:rsidRPr="00E03326" w:rsidRDefault="003075BD" w:rsidP="002477F9">
            <w:pPr>
              <w:pStyle w:val="KMC16-Tablecontent"/>
              <w:keepNext/>
              <w:jc w:val="center"/>
              <w:rPr>
                <w:b/>
                <w:szCs w:val="20"/>
                <w:lang w:eastAsia="en-AU"/>
              </w:rPr>
            </w:pPr>
            <w:r>
              <w:rPr>
                <w:rFonts w:eastAsia="Calibri"/>
                <w:b/>
                <w:szCs w:val="20"/>
                <w:lang w:eastAsia="en-AU"/>
              </w:rPr>
              <w:t>LYs</w:t>
            </w:r>
          </w:p>
        </w:tc>
        <w:tc>
          <w:tcPr>
            <w:tcW w:w="877" w:type="dxa"/>
            <w:tcBorders>
              <w:top w:val="nil"/>
              <w:left w:val="nil"/>
              <w:bottom w:val="single" w:sz="4" w:space="0" w:color="auto"/>
              <w:right w:val="single" w:sz="4" w:space="0" w:color="auto"/>
            </w:tcBorders>
            <w:shd w:val="clear" w:color="auto" w:fill="auto"/>
            <w:hideMark/>
          </w:tcPr>
          <w:p w14:paraId="4A7DAB8D"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QALYs</w:t>
            </w:r>
          </w:p>
        </w:tc>
        <w:tc>
          <w:tcPr>
            <w:tcW w:w="1001" w:type="dxa"/>
            <w:tcBorders>
              <w:top w:val="nil"/>
              <w:left w:val="nil"/>
              <w:bottom w:val="single" w:sz="4" w:space="0" w:color="auto"/>
              <w:right w:val="single" w:sz="4" w:space="0" w:color="auto"/>
            </w:tcBorders>
            <w:shd w:val="clear" w:color="auto" w:fill="auto"/>
            <w:hideMark/>
          </w:tcPr>
          <w:p w14:paraId="522B138B"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Cost</w:t>
            </w:r>
          </w:p>
        </w:tc>
        <w:tc>
          <w:tcPr>
            <w:tcW w:w="846" w:type="dxa"/>
            <w:tcBorders>
              <w:top w:val="nil"/>
              <w:left w:val="nil"/>
              <w:bottom w:val="single" w:sz="4" w:space="0" w:color="auto"/>
              <w:right w:val="single" w:sz="4" w:space="0" w:color="auto"/>
            </w:tcBorders>
            <w:shd w:val="clear" w:color="auto" w:fill="auto"/>
            <w:hideMark/>
          </w:tcPr>
          <w:p w14:paraId="599994BC" w14:textId="50D468D7" w:rsidR="00831564" w:rsidRPr="00E03326" w:rsidRDefault="003075BD" w:rsidP="002477F9">
            <w:pPr>
              <w:pStyle w:val="KMC16-Tablecontent"/>
              <w:keepNext/>
              <w:jc w:val="center"/>
              <w:rPr>
                <w:b/>
                <w:szCs w:val="20"/>
                <w:lang w:eastAsia="en-AU"/>
              </w:rPr>
            </w:pPr>
            <w:r>
              <w:rPr>
                <w:rFonts w:eastAsia="Calibri"/>
                <w:b/>
                <w:szCs w:val="20"/>
                <w:lang w:eastAsia="en-AU"/>
              </w:rPr>
              <w:t>LYs</w:t>
            </w:r>
          </w:p>
        </w:tc>
        <w:tc>
          <w:tcPr>
            <w:tcW w:w="846" w:type="dxa"/>
            <w:tcBorders>
              <w:top w:val="nil"/>
              <w:left w:val="nil"/>
              <w:bottom w:val="single" w:sz="4" w:space="0" w:color="auto"/>
              <w:right w:val="single" w:sz="4" w:space="0" w:color="auto"/>
            </w:tcBorders>
            <w:shd w:val="clear" w:color="auto" w:fill="auto"/>
            <w:hideMark/>
          </w:tcPr>
          <w:p w14:paraId="73EBD6F2"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QALYs</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39A1FC46"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Cost per LYG</w:t>
            </w:r>
          </w:p>
        </w:tc>
        <w:tc>
          <w:tcPr>
            <w:tcW w:w="1253" w:type="dxa"/>
            <w:tcBorders>
              <w:top w:val="nil"/>
              <w:left w:val="nil"/>
              <w:bottom w:val="single" w:sz="4" w:space="0" w:color="auto"/>
              <w:right w:val="single" w:sz="4" w:space="0" w:color="auto"/>
            </w:tcBorders>
            <w:shd w:val="clear" w:color="auto" w:fill="auto"/>
            <w:hideMark/>
          </w:tcPr>
          <w:p w14:paraId="1657D4BC" w14:textId="77777777" w:rsidR="00831564" w:rsidRPr="00E03326" w:rsidRDefault="00831564" w:rsidP="002477F9">
            <w:pPr>
              <w:pStyle w:val="KMC16-Tablecontent"/>
              <w:keepNext/>
              <w:jc w:val="center"/>
              <w:rPr>
                <w:b/>
                <w:szCs w:val="20"/>
                <w:lang w:eastAsia="en-AU"/>
              </w:rPr>
            </w:pPr>
            <w:r w:rsidRPr="00E03326">
              <w:rPr>
                <w:rFonts w:eastAsia="Calibri"/>
                <w:b/>
                <w:szCs w:val="20"/>
                <w:lang w:eastAsia="en-AU"/>
              </w:rPr>
              <w:t>($/QALY)</w:t>
            </w:r>
          </w:p>
        </w:tc>
      </w:tr>
      <w:tr w:rsidR="003075BD" w:rsidRPr="003075BD" w14:paraId="60FF1BED" w14:textId="77777777" w:rsidTr="00E03326">
        <w:trPr>
          <w:trHeight w:val="3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BEB043" w14:textId="77777777" w:rsidR="00831564" w:rsidRPr="00E03326" w:rsidRDefault="00831564" w:rsidP="002477F9">
            <w:pPr>
              <w:pStyle w:val="KMC16-Tablecontent"/>
              <w:keepNext/>
              <w:rPr>
                <w:szCs w:val="20"/>
                <w:lang w:eastAsia="en-AU"/>
              </w:rPr>
            </w:pPr>
            <w:r w:rsidRPr="00E03326">
              <w:rPr>
                <w:rFonts w:eastAsia="Calibri"/>
                <w:szCs w:val="20"/>
                <w:lang w:eastAsia="en-AU"/>
              </w:rPr>
              <w:t xml:space="preserve">Control </w:t>
            </w:r>
          </w:p>
        </w:tc>
        <w:tc>
          <w:tcPr>
            <w:tcW w:w="937" w:type="dxa"/>
            <w:tcBorders>
              <w:top w:val="nil"/>
              <w:left w:val="nil"/>
              <w:bottom w:val="single" w:sz="4" w:space="0" w:color="auto"/>
              <w:right w:val="single" w:sz="4" w:space="0" w:color="auto"/>
            </w:tcBorders>
            <w:shd w:val="clear" w:color="auto" w:fill="auto"/>
            <w:hideMark/>
          </w:tcPr>
          <w:p w14:paraId="7D7CCC9C" w14:textId="77777777" w:rsidR="00831564" w:rsidRPr="00E03326" w:rsidRDefault="00831564" w:rsidP="002477F9">
            <w:pPr>
              <w:pStyle w:val="KMC16-Tablecontent"/>
              <w:keepNext/>
              <w:jc w:val="right"/>
              <w:rPr>
                <w:szCs w:val="20"/>
                <w:lang w:eastAsia="en-AU"/>
              </w:rPr>
            </w:pPr>
            <w:r w:rsidRPr="00E03326">
              <w:rPr>
                <w:szCs w:val="20"/>
              </w:rPr>
              <w:t>$105,133</w:t>
            </w:r>
          </w:p>
        </w:tc>
        <w:tc>
          <w:tcPr>
            <w:tcW w:w="876" w:type="dxa"/>
            <w:tcBorders>
              <w:top w:val="nil"/>
              <w:left w:val="nil"/>
              <w:bottom w:val="single" w:sz="4" w:space="0" w:color="auto"/>
              <w:right w:val="single" w:sz="4" w:space="0" w:color="auto"/>
            </w:tcBorders>
            <w:shd w:val="clear" w:color="auto" w:fill="auto"/>
            <w:hideMark/>
          </w:tcPr>
          <w:p w14:paraId="37C26772" w14:textId="77777777" w:rsidR="00831564" w:rsidRPr="00E03326" w:rsidRDefault="00831564" w:rsidP="002477F9">
            <w:pPr>
              <w:pStyle w:val="KMC16-Tablecontent"/>
              <w:keepNext/>
              <w:jc w:val="center"/>
              <w:rPr>
                <w:szCs w:val="20"/>
                <w:lang w:eastAsia="en-AU"/>
              </w:rPr>
            </w:pPr>
            <w:r w:rsidRPr="00E03326">
              <w:rPr>
                <w:szCs w:val="20"/>
              </w:rPr>
              <w:t>1.08</w:t>
            </w:r>
          </w:p>
        </w:tc>
        <w:tc>
          <w:tcPr>
            <w:tcW w:w="877" w:type="dxa"/>
            <w:tcBorders>
              <w:top w:val="nil"/>
              <w:left w:val="nil"/>
              <w:bottom w:val="single" w:sz="4" w:space="0" w:color="auto"/>
              <w:right w:val="single" w:sz="4" w:space="0" w:color="auto"/>
            </w:tcBorders>
            <w:shd w:val="clear" w:color="auto" w:fill="auto"/>
            <w:hideMark/>
          </w:tcPr>
          <w:p w14:paraId="3807541C" w14:textId="0D807BE8" w:rsidR="00831564" w:rsidRPr="001F41CB" w:rsidRDefault="004E27A4" w:rsidP="002477F9">
            <w:pPr>
              <w:pStyle w:val="KMC16-Tablecontent"/>
              <w:keepNext/>
              <w:jc w:val="center"/>
              <w:rPr>
                <w:b/>
                <w:bCs/>
                <w:szCs w:val="20"/>
                <w:highlight w:val="red"/>
                <w:lang w:eastAsia="en-AU"/>
              </w:rPr>
            </w:pPr>
            <w:r w:rsidRPr="001F41CB">
              <w:rPr>
                <w:rFonts w:eastAsia="Calibri"/>
                <w:b/>
                <w:bCs/>
                <w:szCs w:val="20"/>
              </w:rPr>
              <w:t>redacted</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C328BE5" w14:textId="1D2EF9F0" w:rsidR="00831564" w:rsidRPr="00E03326" w:rsidRDefault="00831564" w:rsidP="002477F9">
            <w:pPr>
              <w:pStyle w:val="KMC16-Tablecontent"/>
              <w:keepNext/>
              <w:jc w:val="center"/>
              <w:rPr>
                <w:szCs w:val="20"/>
                <w:lang w:eastAsia="en-AU"/>
              </w:rPr>
            </w:pPr>
            <w:r w:rsidRPr="00E03326">
              <w:rPr>
                <w:szCs w:val="20"/>
              </w:rPr>
              <w:t>$</w:t>
            </w:r>
            <w:r w:rsidR="004E27A4" w:rsidRPr="001F41CB">
              <w:rPr>
                <w:b/>
                <w:bCs/>
                <w:szCs w:val="20"/>
              </w:rPr>
              <w:t>redacted</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0A2D7BE1" w14:textId="77777777" w:rsidR="00831564" w:rsidRPr="00E03326" w:rsidRDefault="00831564" w:rsidP="002477F9">
            <w:pPr>
              <w:pStyle w:val="KMC16-Tablecontent"/>
              <w:keepNext/>
              <w:jc w:val="center"/>
              <w:rPr>
                <w:szCs w:val="20"/>
                <w:lang w:eastAsia="en-AU"/>
              </w:rPr>
            </w:pPr>
            <w:r w:rsidRPr="00E03326">
              <w:rPr>
                <w:rFonts w:eastAsia="Calibri"/>
                <w:szCs w:val="20"/>
              </w:rPr>
              <w:t>2.</w:t>
            </w:r>
            <w:r w:rsidRPr="00E03326">
              <w:rPr>
                <w:szCs w:val="20"/>
              </w:rPr>
              <w:t>69</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0DF6163F" w14:textId="022CE99D" w:rsidR="00831564" w:rsidRPr="001F41CB" w:rsidRDefault="004E27A4" w:rsidP="002477F9">
            <w:pPr>
              <w:pStyle w:val="KMC16-Tablecontent"/>
              <w:keepNext/>
              <w:jc w:val="center"/>
              <w:rPr>
                <w:b/>
                <w:bCs/>
                <w:szCs w:val="20"/>
                <w:lang w:eastAsia="en-AU"/>
              </w:rPr>
            </w:pPr>
            <w:r w:rsidRPr="001F41CB">
              <w:rPr>
                <w:rFonts w:eastAsia="Calibri"/>
                <w:b/>
                <w:bCs/>
                <w:szCs w:val="20"/>
              </w:rPr>
              <w:t>redacted</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34C02882" w14:textId="74054C70" w:rsidR="00831564" w:rsidRPr="00E03326" w:rsidRDefault="00831564" w:rsidP="002477F9">
            <w:pPr>
              <w:pStyle w:val="KMC16-Tablecontent"/>
              <w:keepNext/>
              <w:jc w:val="center"/>
              <w:rPr>
                <w:b/>
                <w:szCs w:val="20"/>
                <w:lang w:eastAsia="en-AU"/>
              </w:rPr>
            </w:pPr>
            <w:r w:rsidRPr="00E03326">
              <w:rPr>
                <w:b/>
                <w:szCs w:val="20"/>
              </w:rPr>
              <w:t>$</w:t>
            </w:r>
            <w:r w:rsidR="004E27A4">
              <w:rPr>
                <w:b/>
                <w:szCs w:val="20"/>
              </w:rPr>
              <w:t>redacted</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4ADED0DA" w14:textId="0D1A53C4" w:rsidR="00831564" w:rsidRPr="00E03326" w:rsidRDefault="00831564" w:rsidP="002477F9">
            <w:pPr>
              <w:pStyle w:val="KMC16-Tablecontent"/>
              <w:keepNext/>
              <w:jc w:val="center"/>
              <w:rPr>
                <w:b/>
                <w:szCs w:val="20"/>
                <w:lang w:eastAsia="en-AU"/>
              </w:rPr>
            </w:pPr>
            <w:r w:rsidRPr="00E03326">
              <w:rPr>
                <w:b/>
                <w:szCs w:val="20"/>
              </w:rPr>
              <w:t>$</w:t>
            </w:r>
            <w:r w:rsidR="004E27A4">
              <w:rPr>
                <w:b/>
                <w:szCs w:val="20"/>
              </w:rPr>
              <w:t>redacted</w:t>
            </w:r>
          </w:p>
        </w:tc>
      </w:tr>
      <w:tr w:rsidR="003075BD" w:rsidRPr="003075BD" w14:paraId="116CB601" w14:textId="77777777" w:rsidTr="00E03326">
        <w:trPr>
          <w:trHeight w:val="3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DF400B" w14:textId="7FC6D9DE" w:rsidR="00831564" w:rsidRPr="00E03326" w:rsidRDefault="003075BD" w:rsidP="002477F9">
            <w:pPr>
              <w:pStyle w:val="KMC16-Tablecontent"/>
              <w:keepNext/>
              <w:rPr>
                <w:szCs w:val="20"/>
                <w:lang w:eastAsia="en-AU"/>
              </w:rPr>
            </w:pPr>
            <w:r>
              <w:rPr>
                <w:rFonts w:eastAsia="Calibri"/>
                <w:szCs w:val="20"/>
                <w:lang w:eastAsia="en-AU"/>
              </w:rPr>
              <w:t>DB</w:t>
            </w:r>
            <w:r w:rsidR="00831564" w:rsidRPr="00E03326">
              <w:rPr>
                <w:rFonts w:eastAsia="Calibri"/>
                <w:szCs w:val="20"/>
                <w:lang w:eastAsia="en-AU"/>
              </w:rPr>
              <w:t xml:space="preserve"> </w:t>
            </w:r>
          </w:p>
        </w:tc>
        <w:tc>
          <w:tcPr>
            <w:tcW w:w="937" w:type="dxa"/>
            <w:tcBorders>
              <w:top w:val="nil"/>
              <w:left w:val="nil"/>
              <w:bottom w:val="single" w:sz="4" w:space="0" w:color="auto"/>
              <w:right w:val="single" w:sz="4" w:space="0" w:color="auto"/>
            </w:tcBorders>
            <w:shd w:val="clear" w:color="auto" w:fill="auto"/>
            <w:hideMark/>
          </w:tcPr>
          <w:p w14:paraId="50A8C3E1" w14:textId="0F25E8E1" w:rsidR="00831564" w:rsidRPr="00E03326" w:rsidRDefault="00831564" w:rsidP="002477F9">
            <w:pPr>
              <w:pStyle w:val="KMC16-Tablecontent"/>
              <w:keepNext/>
              <w:jc w:val="right"/>
              <w:rPr>
                <w:szCs w:val="20"/>
                <w:lang w:eastAsia="en-AU"/>
              </w:rPr>
            </w:pPr>
            <w:r w:rsidRPr="00E03326">
              <w:rPr>
                <w:szCs w:val="20"/>
              </w:rPr>
              <w:t>$</w:t>
            </w:r>
            <w:r w:rsidR="004E27A4" w:rsidRPr="001F41CB">
              <w:rPr>
                <w:b/>
                <w:bCs/>
                <w:szCs w:val="20"/>
              </w:rPr>
              <w:t>redacted</w:t>
            </w:r>
          </w:p>
        </w:tc>
        <w:tc>
          <w:tcPr>
            <w:tcW w:w="876" w:type="dxa"/>
            <w:tcBorders>
              <w:top w:val="nil"/>
              <w:left w:val="nil"/>
              <w:bottom w:val="single" w:sz="4" w:space="0" w:color="auto"/>
              <w:right w:val="single" w:sz="4" w:space="0" w:color="auto"/>
            </w:tcBorders>
            <w:shd w:val="clear" w:color="auto" w:fill="auto"/>
            <w:hideMark/>
          </w:tcPr>
          <w:p w14:paraId="756F7F6D" w14:textId="77777777" w:rsidR="00831564" w:rsidRPr="00E03326" w:rsidRDefault="00831564" w:rsidP="002477F9">
            <w:pPr>
              <w:pStyle w:val="KMC16-Tablecontent"/>
              <w:keepNext/>
              <w:jc w:val="center"/>
              <w:rPr>
                <w:szCs w:val="20"/>
                <w:lang w:eastAsia="en-AU"/>
              </w:rPr>
            </w:pPr>
            <w:r w:rsidRPr="00E03326">
              <w:rPr>
                <w:rFonts w:eastAsia="Calibri"/>
                <w:szCs w:val="20"/>
              </w:rPr>
              <w:t>3.</w:t>
            </w:r>
            <w:r w:rsidRPr="00E03326">
              <w:rPr>
                <w:szCs w:val="20"/>
              </w:rPr>
              <w:t>77</w:t>
            </w:r>
          </w:p>
        </w:tc>
        <w:tc>
          <w:tcPr>
            <w:tcW w:w="877" w:type="dxa"/>
            <w:tcBorders>
              <w:top w:val="nil"/>
              <w:left w:val="nil"/>
              <w:bottom w:val="single" w:sz="4" w:space="0" w:color="auto"/>
              <w:right w:val="single" w:sz="4" w:space="0" w:color="auto"/>
            </w:tcBorders>
            <w:shd w:val="clear" w:color="auto" w:fill="auto"/>
            <w:hideMark/>
          </w:tcPr>
          <w:p w14:paraId="51787FFE" w14:textId="2DEA632A" w:rsidR="00831564" w:rsidRPr="001F41CB" w:rsidRDefault="004E27A4" w:rsidP="002477F9">
            <w:pPr>
              <w:pStyle w:val="KMC16-Tablecontent"/>
              <w:keepNext/>
              <w:jc w:val="center"/>
              <w:rPr>
                <w:b/>
                <w:bCs/>
                <w:szCs w:val="20"/>
                <w:lang w:eastAsia="en-AU"/>
              </w:rPr>
            </w:pPr>
            <w:r w:rsidRPr="001F41CB">
              <w:rPr>
                <w:rFonts w:eastAsia="Calibri"/>
                <w:b/>
                <w:bCs/>
                <w:szCs w:val="20"/>
              </w:rPr>
              <w:t>redacted</w:t>
            </w:r>
          </w:p>
        </w:tc>
        <w:tc>
          <w:tcPr>
            <w:tcW w:w="1001" w:type="dxa"/>
            <w:vMerge/>
            <w:tcBorders>
              <w:top w:val="nil"/>
              <w:left w:val="single" w:sz="4" w:space="0" w:color="auto"/>
              <w:bottom w:val="single" w:sz="4" w:space="0" w:color="auto"/>
              <w:right w:val="single" w:sz="4" w:space="0" w:color="auto"/>
            </w:tcBorders>
            <w:shd w:val="clear" w:color="auto" w:fill="auto"/>
            <w:vAlign w:val="center"/>
            <w:hideMark/>
          </w:tcPr>
          <w:p w14:paraId="16D315CF" w14:textId="77777777" w:rsidR="00831564" w:rsidRPr="00E03326" w:rsidRDefault="00831564" w:rsidP="002477F9">
            <w:pPr>
              <w:pStyle w:val="KMC16-Tablecontent"/>
              <w:keepNext/>
              <w:rPr>
                <w:szCs w:val="20"/>
                <w:lang w:eastAsia="en-AU"/>
              </w:rPr>
            </w:pPr>
          </w:p>
        </w:tc>
        <w:tc>
          <w:tcPr>
            <w:tcW w:w="846" w:type="dxa"/>
            <w:vMerge/>
            <w:tcBorders>
              <w:top w:val="nil"/>
              <w:left w:val="single" w:sz="4" w:space="0" w:color="auto"/>
              <w:bottom w:val="single" w:sz="4" w:space="0" w:color="auto"/>
              <w:right w:val="single" w:sz="4" w:space="0" w:color="auto"/>
            </w:tcBorders>
            <w:shd w:val="clear" w:color="auto" w:fill="auto"/>
            <w:vAlign w:val="center"/>
            <w:hideMark/>
          </w:tcPr>
          <w:p w14:paraId="3AF85435" w14:textId="77777777" w:rsidR="00831564" w:rsidRPr="00E03326" w:rsidRDefault="00831564" w:rsidP="002477F9">
            <w:pPr>
              <w:pStyle w:val="KMC16-Tablecontent"/>
              <w:keepNext/>
              <w:rPr>
                <w:szCs w:val="20"/>
                <w:lang w:eastAsia="en-AU"/>
              </w:rPr>
            </w:pPr>
          </w:p>
        </w:tc>
        <w:tc>
          <w:tcPr>
            <w:tcW w:w="846" w:type="dxa"/>
            <w:vMerge/>
            <w:tcBorders>
              <w:top w:val="nil"/>
              <w:left w:val="single" w:sz="4" w:space="0" w:color="auto"/>
              <w:bottom w:val="single" w:sz="4" w:space="0" w:color="auto"/>
              <w:right w:val="single" w:sz="4" w:space="0" w:color="auto"/>
            </w:tcBorders>
            <w:shd w:val="clear" w:color="auto" w:fill="auto"/>
            <w:vAlign w:val="center"/>
            <w:hideMark/>
          </w:tcPr>
          <w:p w14:paraId="63C33CF5" w14:textId="77777777" w:rsidR="00831564" w:rsidRPr="00E03326" w:rsidRDefault="00831564" w:rsidP="002477F9">
            <w:pPr>
              <w:pStyle w:val="KMC16-Tablecontent"/>
              <w:keepNext/>
              <w:rPr>
                <w:szCs w:val="20"/>
                <w:lang w:eastAsia="en-AU"/>
              </w:rPr>
            </w:pPr>
          </w:p>
        </w:tc>
        <w:tc>
          <w:tcPr>
            <w:tcW w:w="1441" w:type="dxa"/>
            <w:vMerge/>
            <w:tcBorders>
              <w:top w:val="nil"/>
              <w:left w:val="single" w:sz="4" w:space="0" w:color="auto"/>
              <w:bottom w:val="single" w:sz="4" w:space="0" w:color="auto"/>
              <w:right w:val="single" w:sz="4" w:space="0" w:color="auto"/>
            </w:tcBorders>
            <w:shd w:val="clear" w:color="auto" w:fill="auto"/>
            <w:vAlign w:val="center"/>
            <w:hideMark/>
          </w:tcPr>
          <w:p w14:paraId="54067CB0" w14:textId="77777777" w:rsidR="00831564" w:rsidRPr="00E03326" w:rsidRDefault="00831564" w:rsidP="002477F9">
            <w:pPr>
              <w:pStyle w:val="KMC16-Tablecontent"/>
              <w:keepNext/>
              <w:rPr>
                <w:szCs w:val="20"/>
                <w:lang w:eastAsia="en-AU"/>
              </w:rPr>
            </w:pPr>
          </w:p>
        </w:tc>
        <w:tc>
          <w:tcPr>
            <w:tcW w:w="1253" w:type="dxa"/>
            <w:vMerge/>
            <w:tcBorders>
              <w:top w:val="nil"/>
              <w:left w:val="single" w:sz="4" w:space="0" w:color="auto"/>
              <w:bottom w:val="single" w:sz="4" w:space="0" w:color="auto"/>
              <w:right w:val="single" w:sz="4" w:space="0" w:color="auto"/>
            </w:tcBorders>
            <w:shd w:val="clear" w:color="auto" w:fill="auto"/>
            <w:vAlign w:val="center"/>
            <w:hideMark/>
          </w:tcPr>
          <w:p w14:paraId="17EA452E" w14:textId="77777777" w:rsidR="00831564" w:rsidRPr="00E03326" w:rsidRDefault="00831564" w:rsidP="002477F9">
            <w:pPr>
              <w:pStyle w:val="KMC16-Tablecontent"/>
              <w:keepNext/>
              <w:rPr>
                <w:szCs w:val="20"/>
                <w:lang w:eastAsia="en-AU"/>
              </w:rPr>
            </w:pPr>
          </w:p>
        </w:tc>
      </w:tr>
    </w:tbl>
    <w:p w14:paraId="6F6AC6DC" w14:textId="59A1E19C" w:rsidR="003075BD" w:rsidRPr="008375D1" w:rsidRDefault="003075BD" w:rsidP="00EF2E1F">
      <w:pPr>
        <w:pStyle w:val="KMC16-Text"/>
        <w:keepNext/>
        <w:spacing w:after="0"/>
        <w:rPr>
          <w:color w:val="auto"/>
        </w:rPr>
      </w:pPr>
      <w:r>
        <w:rPr>
          <w:rFonts w:ascii="Arial Narrow" w:hAnsi="Arial Narrow"/>
          <w:color w:val="auto"/>
          <w:sz w:val="18"/>
          <w:szCs w:val="18"/>
        </w:rPr>
        <w:t>LY = life year; QALY = quality adjusted life year</w:t>
      </w:r>
    </w:p>
    <w:p w14:paraId="2CC2C670" w14:textId="43D8562A" w:rsidR="00C22E84" w:rsidRDefault="00343F41" w:rsidP="005F558B">
      <w:pPr>
        <w:spacing w:after="240"/>
      </w:pPr>
      <w:r w:rsidRPr="375F5CCE">
        <w:t>Serious</w:t>
      </w:r>
      <w:r w:rsidR="009649A1" w:rsidRPr="375F5CCE">
        <w:t xml:space="preserve"> structural, conceptual and evidence-related deficiencies in the </w:t>
      </w:r>
      <w:r w:rsidRPr="375F5CCE">
        <w:t>modelled economic evaluation</w:t>
      </w:r>
      <w:r w:rsidR="009649A1" w:rsidRPr="375F5CCE">
        <w:t xml:space="preserve"> </w:t>
      </w:r>
      <w:r w:rsidRPr="375F5CCE">
        <w:t xml:space="preserve">were outlined above. </w:t>
      </w:r>
      <w:r w:rsidR="00DD53D7" w:rsidRPr="375F5CCE">
        <w:t xml:space="preserve">The biggest challenge of the </w:t>
      </w:r>
      <w:r w:rsidR="003075BD" w:rsidRPr="375F5CCE">
        <w:t xml:space="preserve">ADAR </w:t>
      </w:r>
      <w:r w:rsidR="00B83FA6" w:rsidRPr="375F5CCE">
        <w:t>was</w:t>
      </w:r>
      <w:r w:rsidR="00DD53D7" w:rsidRPr="375F5CCE">
        <w:t xml:space="preserve"> the absence of a data source to inform </w:t>
      </w:r>
      <w:r w:rsidR="0092129F" w:rsidRPr="375F5CCE">
        <w:t>disease progression and mortality from a sin</w:t>
      </w:r>
      <w:r w:rsidR="008334F5" w:rsidRPr="375F5CCE">
        <w:t>gle comparative</w:t>
      </w:r>
      <w:r w:rsidR="003075BD" w:rsidRPr="375F5CCE">
        <w:t xml:space="preserve"> study</w:t>
      </w:r>
      <w:r w:rsidR="008334F5" w:rsidRPr="375F5CCE">
        <w:t>.</w:t>
      </w:r>
      <w:r w:rsidR="0092129F" w:rsidRPr="375F5CCE">
        <w:t xml:space="preserve"> </w:t>
      </w:r>
      <w:r w:rsidR="00D3505B" w:rsidRPr="375F5CCE">
        <w:t>The commentary note</w:t>
      </w:r>
      <w:r w:rsidR="00A246E3">
        <w:t>d</w:t>
      </w:r>
      <w:r w:rsidR="00D3505B" w:rsidRPr="375F5CCE">
        <w:t xml:space="preserve"> that the ADAR also </w:t>
      </w:r>
      <w:r w:rsidR="008E6A28" w:rsidRPr="375F5CCE">
        <w:t>ar</w:t>
      </w:r>
      <w:r w:rsidR="00385C90" w:rsidRPr="375F5CCE">
        <w:t>g</w:t>
      </w:r>
      <w:r w:rsidR="008E6A28" w:rsidRPr="375F5CCE">
        <w:t>ued</w:t>
      </w:r>
      <w:r w:rsidR="00D3505B" w:rsidRPr="375F5CCE">
        <w:t xml:space="preserve"> </w:t>
      </w:r>
      <w:r w:rsidR="00D523BB" w:rsidRPr="375F5CCE">
        <w:t xml:space="preserve">that </w:t>
      </w:r>
      <w:r w:rsidR="00860349" w:rsidRPr="375F5CCE">
        <w:t>the result of a sensitivity analysis</w:t>
      </w:r>
      <w:r w:rsidR="00D523BB" w:rsidRPr="375F5CCE">
        <w:t xml:space="preserve"> assuming a </w:t>
      </w:r>
      <w:proofErr w:type="gramStart"/>
      <w:r w:rsidR="00D523BB" w:rsidRPr="375F5CCE">
        <w:t>zer</w:t>
      </w:r>
      <w:r w:rsidR="00EF2EB4" w:rsidRPr="375F5CCE">
        <w:t>o discount</w:t>
      </w:r>
      <w:proofErr w:type="gramEnd"/>
      <w:r w:rsidR="00EF2EB4" w:rsidRPr="375F5CCE">
        <w:t xml:space="preserve"> rate </w:t>
      </w:r>
      <w:r w:rsidR="00296C64" w:rsidRPr="375F5CCE">
        <w:t>bringing the ICER down to</w:t>
      </w:r>
      <w:r w:rsidR="008E6A28" w:rsidRPr="375F5CCE">
        <w:t xml:space="preserve"> </w:t>
      </w:r>
      <w:r w:rsidR="00A26AA9" w:rsidRPr="375F5CCE">
        <w:t>$</w:t>
      </w:r>
      <w:r w:rsidR="00D665C8" w:rsidRPr="001F41CB">
        <w:rPr>
          <w:b/>
          <w:bCs/>
        </w:rPr>
        <w:t>redacted</w:t>
      </w:r>
      <w:r w:rsidR="00A26AA9" w:rsidRPr="375F5CCE">
        <w:t xml:space="preserve"> was more appropriate </w:t>
      </w:r>
      <w:r w:rsidR="00F40E50" w:rsidRPr="375F5CCE">
        <w:t>for a young patient cohort</w:t>
      </w:r>
      <w:r w:rsidR="002C045D" w:rsidRPr="375F5CCE">
        <w:t>.</w:t>
      </w:r>
      <w:r w:rsidR="00296C64" w:rsidRPr="375F5CCE">
        <w:t xml:space="preserve"> </w:t>
      </w:r>
      <w:r w:rsidR="00F40E50" w:rsidRPr="375F5CCE">
        <w:t>However, t</w:t>
      </w:r>
      <w:r w:rsidR="003075BD" w:rsidRPr="375F5CCE">
        <w:t>he commentary consider</w:t>
      </w:r>
      <w:r w:rsidR="00A246E3">
        <w:t>ed</w:t>
      </w:r>
      <w:r w:rsidR="002A404C" w:rsidRPr="375F5CCE">
        <w:t xml:space="preserve"> that </w:t>
      </w:r>
      <w:r w:rsidR="00E33E23" w:rsidRPr="375F5CCE">
        <w:t xml:space="preserve">as </w:t>
      </w:r>
      <w:r w:rsidR="002A404C" w:rsidRPr="375F5CCE">
        <w:t>a</w:t>
      </w:r>
      <w:r w:rsidR="00974EB2" w:rsidRPr="375F5CCE">
        <w:t xml:space="preserve"> </w:t>
      </w:r>
      <w:r w:rsidR="005E5936" w:rsidRPr="375F5CCE">
        <w:t>plausible ICER could not be estimated</w:t>
      </w:r>
      <w:r w:rsidR="00F40E50" w:rsidRPr="375F5CCE">
        <w:t xml:space="preserve">, </w:t>
      </w:r>
      <w:r w:rsidR="003075BD" w:rsidRPr="375F5CCE">
        <w:t>th</w:t>
      </w:r>
      <w:r w:rsidR="00626BD6" w:rsidRPr="375F5CCE">
        <w:t xml:space="preserve">ere is </w:t>
      </w:r>
      <w:r w:rsidR="004F6D67" w:rsidRPr="375F5CCE">
        <w:t>no</w:t>
      </w:r>
      <w:r w:rsidR="00626BD6" w:rsidRPr="375F5CCE">
        <w:t xml:space="preserve"> value in </w:t>
      </w:r>
      <w:r w:rsidR="004F6D67" w:rsidRPr="375F5CCE">
        <w:t>conducting</w:t>
      </w:r>
      <w:r w:rsidR="00626BD6" w:rsidRPr="375F5CCE">
        <w:t xml:space="preserve"> </w:t>
      </w:r>
      <w:r w:rsidR="00105EB8" w:rsidRPr="375F5CCE">
        <w:t>sensitivity analys</w:t>
      </w:r>
      <w:r w:rsidR="00136DC9" w:rsidRPr="375F5CCE">
        <w:t>e</w:t>
      </w:r>
      <w:r w:rsidR="00105EB8" w:rsidRPr="375F5CCE">
        <w:t xml:space="preserve">s of </w:t>
      </w:r>
      <w:r w:rsidR="004F6D67" w:rsidRPr="375F5CCE">
        <w:t xml:space="preserve">the </w:t>
      </w:r>
      <w:r w:rsidR="00105EB8" w:rsidRPr="375F5CCE">
        <w:t>outcomes</w:t>
      </w:r>
      <w:r w:rsidR="004F6D67" w:rsidRPr="375F5CCE">
        <w:t xml:space="preserve"> of </w:t>
      </w:r>
      <w:r w:rsidR="003075BD" w:rsidRPr="375F5CCE">
        <w:t xml:space="preserve">a </w:t>
      </w:r>
      <w:r w:rsidR="004F6D67" w:rsidRPr="375F5CCE">
        <w:t>model that l</w:t>
      </w:r>
      <w:r w:rsidR="00813595" w:rsidRPr="375F5CCE">
        <w:t>acks face validity</w:t>
      </w:r>
    </w:p>
    <w:p w14:paraId="05D25537" w14:textId="0B5F543E" w:rsidR="003075BD" w:rsidRDefault="004E20F8" w:rsidP="005F558B">
      <w:pPr>
        <w:spacing w:after="240"/>
      </w:pPr>
      <w:r w:rsidRPr="375F5CCE">
        <w:t>Instead, a set of scenario analyses were undertaken to demonstrate the variability of the [unreliable] modelled outcomes to the choice of the sources of clinical evidence</w:t>
      </w:r>
      <w:r w:rsidR="007C17E7" w:rsidRPr="375F5CCE">
        <w:t xml:space="preserve"> and assumptions about </w:t>
      </w:r>
      <w:r w:rsidR="00367E9D" w:rsidRPr="375F5CCE">
        <w:t xml:space="preserve">the best fitted </w:t>
      </w:r>
      <w:r w:rsidR="00E4512D" w:rsidRPr="375F5CCE">
        <w:t>parametric functions</w:t>
      </w:r>
      <w:r w:rsidRPr="375F5CCE">
        <w:t>.</w:t>
      </w:r>
      <w:r w:rsidR="00853958" w:rsidRPr="375F5CCE">
        <w:t xml:space="preserve"> </w:t>
      </w:r>
      <w:r>
        <w:fldChar w:fldCharType="begin"/>
      </w:r>
      <w:r>
        <w:instrText xml:space="preserve"> REF _Ref184187665 \h </w:instrText>
      </w:r>
      <w:r>
        <w:fldChar w:fldCharType="separate"/>
      </w:r>
      <w:r w:rsidR="00C02A66" w:rsidRPr="375F5CCE">
        <w:t>Table </w:t>
      </w:r>
      <w:r w:rsidR="00C02A66" w:rsidRPr="375F5CCE">
        <w:rPr>
          <w:noProof/>
        </w:rPr>
        <w:t>10</w:t>
      </w:r>
      <w:r>
        <w:fldChar w:fldCharType="end"/>
      </w:r>
      <w:r w:rsidR="00136DC9" w:rsidRPr="375F5CCE">
        <w:t xml:space="preserve"> </w:t>
      </w:r>
      <w:r w:rsidR="003075BD" w:rsidRPr="375F5CCE">
        <w:t>presents results of the model based on Method 1</w:t>
      </w:r>
      <w:r w:rsidR="002E79E9" w:rsidRPr="375F5CCE">
        <w:t xml:space="preserve"> </w:t>
      </w:r>
      <w:r w:rsidR="0023493A" w:rsidRPr="375F5CCE">
        <w:t>and</w:t>
      </w:r>
      <w:r w:rsidR="002E79E9" w:rsidRPr="375F5CCE">
        <w:t xml:space="preserve"> </w:t>
      </w:r>
      <w:r w:rsidR="0023493A" w:rsidRPr="375F5CCE">
        <w:t>various data sources</w:t>
      </w:r>
      <w:r w:rsidR="00853958" w:rsidRPr="375F5CCE">
        <w:t>.</w:t>
      </w:r>
      <w:r w:rsidR="003075BD" w:rsidRPr="375F5CCE">
        <w:t xml:space="preserve"> Of </w:t>
      </w:r>
      <w:proofErr w:type="gramStart"/>
      <w:r w:rsidR="003075BD" w:rsidRPr="375F5CCE">
        <w:t>particular note</w:t>
      </w:r>
      <w:proofErr w:type="gramEnd"/>
      <w:r w:rsidR="003075BD" w:rsidRPr="375F5CCE">
        <w:t xml:space="preserve">, there is considerable sensitivity of ICER estimates to the choice of parametric distribution to model the PFS populated from the DB study by Wieczorek (2023). This became even more pronounced in the </w:t>
      </w:r>
      <w:r w:rsidR="0070507E" w:rsidRPr="375F5CCE">
        <w:t>Method 2</w:t>
      </w:r>
      <w:r w:rsidR="003075BD" w:rsidRPr="375F5CCE">
        <w:t xml:space="preserve"> modelling approach (see </w:t>
      </w:r>
      <w:r>
        <w:fldChar w:fldCharType="begin"/>
      </w:r>
      <w:r>
        <w:instrText xml:space="preserve"> REF _Ref183993335 \h  \* MERGEFORMAT </w:instrText>
      </w:r>
      <w:r>
        <w:fldChar w:fldCharType="separate"/>
      </w:r>
      <w:r w:rsidR="00C02A66" w:rsidRPr="375F5CCE">
        <w:t>Table 12</w:t>
      </w:r>
      <w:r>
        <w:fldChar w:fldCharType="end"/>
      </w:r>
      <w:r w:rsidR="003075BD" w:rsidRPr="375F5CCE">
        <w:t xml:space="preserve">). A version of the model solely based on the data from the </w:t>
      </w:r>
      <w:r w:rsidR="00C510FD" w:rsidRPr="375F5CCE">
        <w:t>BEACON-</w:t>
      </w:r>
      <w:proofErr w:type="spellStart"/>
      <w:r w:rsidR="00C510FD" w:rsidRPr="375F5CCE">
        <w:t>Immuno</w:t>
      </w:r>
      <w:proofErr w:type="spellEnd"/>
      <w:r w:rsidR="003075BD" w:rsidRPr="375F5CCE">
        <w:t xml:space="preserve"> trial was not presented in the ADAR even for illustrative purposes and under a conservative assumption of the control group crossing over to DB, benefitting the comparator.</w:t>
      </w:r>
    </w:p>
    <w:p w14:paraId="50809020" w14:textId="14E4EC5B" w:rsidR="0070507E" w:rsidRDefault="54BC0407" w:rsidP="005F558B">
      <w:pPr>
        <w:spacing w:after="240"/>
      </w:pPr>
      <w:r>
        <w:t>The r</w:t>
      </w:r>
      <w:r w:rsidR="14468598">
        <w:t xml:space="preserve">esults in </w:t>
      </w:r>
      <w:r w:rsidR="003649EB">
        <w:fldChar w:fldCharType="begin"/>
      </w:r>
      <w:r w:rsidR="003649EB">
        <w:instrText xml:space="preserve"> REF _Ref184187665 \h </w:instrText>
      </w:r>
      <w:r w:rsidR="003649EB">
        <w:fldChar w:fldCharType="separate"/>
      </w:r>
      <w:r w:rsidR="7A001FCE">
        <w:t>Table </w:t>
      </w:r>
      <w:r w:rsidR="7A001FCE" w:rsidRPr="149474C2">
        <w:rPr>
          <w:noProof/>
        </w:rPr>
        <w:t>10</w:t>
      </w:r>
      <w:r w:rsidR="003649EB">
        <w:fldChar w:fldCharType="end"/>
      </w:r>
      <w:r w:rsidR="14468598">
        <w:t xml:space="preserve"> indicate that using only the </w:t>
      </w:r>
      <w:r w:rsidR="135762D7">
        <w:t>BEACON-</w:t>
      </w:r>
      <w:proofErr w:type="spellStart"/>
      <w:r w:rsidR="135762D7">
        <w:t>Immuno</w:t>
      </w:r>
      <w:proofErr w:type="spellEnd"/>
      <w:r w:rsidR="14468598">
        <w:t xml:space="preserve"> observations for the PFS analysis in both arms (</w:t>
      </w:r>
      <w:r>
        <w:t>S</w:t>
      </w:r>
      <w:r w:rsidR="14468598">
        <w:t>cenario 2), increased ICER from $</w:t>
      </w:r>
      <w:r w:rsidR="00D665C8" w:rsidRPr="001F41CB">
        <w:rPr>
          <w:b/>
          <w:bCs/>
        </w:rPr>
        <w:t>redacted</w:t>
      </w:r>
      <w:r w:rsidR="14468598">
        <w:t xml:space="preserve"> in the base case to $</w:t>
      </w:r>
      <w:r w:rsidR="00D665C8" w:rsidRPr="001F41CB">
        <w:rPr>
          <w:b/>
          <w:bCs/>
        </w:rPr>
        <w:t>redacted</w:t>
      </w:r>
      <w:r w:rsidR="14468598">
        <w:t xml:space="preserve">, indicating the importance of the Wieczorek (2023) data </w:t>
      </w:r>
      <w:r w:rsidR="14468598" w:rsidRPr="0037157F">
        <w:t>for keeping ICER under a $</w:t>
      </w:r>
      <w:r w:rsidR="00D665C8" w:rsidRPr="0037157F">
        <w:rPr>
          <w:b/>
          <w:bCs/>
        </w:rPr>
        <w:t>redacted</w:t>
      </w:r>
      <w:r w:rsidR="00D665C8" w:rsidRPr="0037157F">
        <w:t xml:space="preserve"> </w:t>
      </w:r>
      <w:r w:rsidR="14468598" w:rsidRPr="0037157F">
        <w:t>threshold</w:t>
      </w:r>
      <w:r w:rsidR="14468598">
        <w:t xml:space="preserve"> (</w:t>
      </w:r>
      <w:r>
        <w:t>S</w:t>
      </w:r>
      <w:r w:rsidR="14468598">
        <w:t xml:space="preserve">cenario 3). The </w:t>
      </w:r>
      <w:r>
        <w:t>ADAR</w:t>
      </w:r>
      <w:r w:rsidR="14468598">
        <w:t xml:space="preserve"> claimed a similarity between the </w:t>
      </w:r>
      <w:r w:rsidR="135762D7">
        <w:t>BEACON-</w:t>
      </w:r>
      <w:proofErr w:type="spellStart"/>
      <w:r w:rsidR="135762D7">
        <w:t>Immuno</w:t>
      </w:r>
      <w:proofErr w:type="spellEnd"/>
      <w:r w:rsidR="14468598">
        <w:t xml:space="preserve"> and Wieczorek (2023) studies, so in </w:t>
      </w:r>
      <w:r>
        <w:t>S</w:t>
      </w:r>
      <w:r w:rsidR="14468598">
        <w:t xml:space="preserve">cenario 5, where the </w:t>
      </w:r>
      <w:r>
        <w:t>D</w:t>
      </w:r>
      <w:r w:rsidR="14468598">
        <w:t xml:space="preserve">B arm was modelled solely from Wieczorek (2023), </w:t>
      </w:r>
      <w:r>
        <w:t xml:space="preserve">the </w:t>
      </w:r>
      <w:r w:rsidR="14468598">
        <w:t>ICER slightly decreased from $</w:t>
      </w:r>
      <w:r w:rsidR="0056207C" w:rsidRPr="0037157F">
        <w:rPr>
          <w:b/>
          <w:bCs/>
        </w:rPr>
        <w:t>redacted</w:t>
      </w:r>
      <w:r w:rsidR="14468598">
        <w:t xml:space="preserve"> to $</w:t>
      </w:r>
      <w:r w:rsidR="0056207C" w:rsidRPr="0037157F">
        <w:rPr>
          <w:b/>
          <w:bCs/>
        </w:rPr>
        <w:t>redacted</w:t>
      </w:r>
      <w:r w:rsidR="14468598">
        <w:t>. However, in this scenario</w:t>
      </w:r>
      <w:r>
        <w:t>, the</w:t>
      </w:r>
      <w:r w:rsidR="14468598">
        <w:t xml:space="preserve"> ICER was sensitive to the choice of a parametric function (next best fitted parametric function produced ICER of $</w:t>
      </w:r>
      <w:r w:rsidR="0056207C" w:rsidRPr="0037157F">
        <w:rPr>
          <w:b/>
          <w:bCs/>
        </w:rPr>
        <w:t>redacted</w:t>
      </w:r>
      <w:r w:rsidR="14468598">
        <w:t xml:space="preserve">, </w:t>
      </w:r>
      <w:r w:rsidR="14468598" w:rsidRPr="0037157F">
        <w:t xml:space="preserve">a </w:t>
      </w:r>
      <w:r w:rsidR="0056207C" w:rsidRPr="0037157F">
        <w:rPr>
          <w:b/>
          <w:bCs/>
        </w:rPr>
        <w:t>redacted</w:t>
      </w:r>
      <w:r w:rsidR="14468598" w:rsidRPr="0037157F">
        <w:t>% increase</w:t>
      </w:r>
      <w:r w:rsidR="14468598">
        <w:t>).</w:t>
      </w:r>
      <w:r w:rsidR="14468598" w:rsidRPr="149474C2">
        <w:rPr>
          <w:rFonts w:ascii="Arial Narrow" w:hAnsi="Arial Narrow"/>
        </w:rPr>
        <w:t xml:space="preserve"> </w:t>
      </w:r>
      <w:r w:rsidR="14468598">
        <w:t xml:space="preserve">In a set of analyses from </w:t>
      </w:r>
      <w:r>
        <w:t>S</w:t>
      </w:r>
      <w:r w:rsidR="14468598">
        <w:t xml:space="preserve">cenario 6, the PFS data for the </w:t>
      </w:r>
      <w:r>
        <w:t>D</w:t>
      </w:r>
      <w:r w:rsidR="14468598">
        <w:t xml:space="preserve">B arm </w:t>
      </w:r>
      <w:r w:rsidR="3C9DBB8B">
        <w:t>w</w:t>
      </w:r>
      <w:r w:rsidR="1617C013">
        <w:t>as</w:t>
      </w:r>
      <w:r w:rsidR="14468598">
        <w:t xml:space="preserve"> from the </w:t>
      </w:r>
      <w:r w:rsidR="135762D7">
        <w:t>BEACON-</w:t>
      </w:r>
      <w:proofErr w:type="spellStart"/>
      <w:r w:rsidR="135762D7">
        <w:t>Immuno</w:t>
      </w:r>
      <w:proofErr w:type="spellEnd"/>
      <w:r w:rsidR="14468598">
        <w:t xml:space="preserve"> trial, while the chemotherapy arm </w:t>
      </w:r>
      <w:proofErr w:type="gramStart"/>
      <w:r w:rsidR="14468598">
        <w:t>w</w:t>
      </w:r>
      <w:r w:rsidR="4739D479">
        <w:t>ere</w:t>
      </w:r>
      <w:proofErr w:type="gramEnd"/>
      <w:r w:rsidR="14468598">
        <w:t xml:space="preserve"> populated with each of the individual studies in turn instead of using the entire combination of these studies as in the base case. After fitting the best parametric distribution (by the AIC criterion, if available, otherwise as in the base case), the corresponding ICER estimates ranged from $</w:t>
      </w:r>
      <w:r w:rsidR="0056207C" w:rsidRPr="00D403E2">
        <w:rPr>
          <w:b/>
          <w:bCs/>
        </w:rPr>
        <w:t>redacted</w:t>
      </w:r>
      <w:r w:rsidR="14468598">
        <w:t xml:space="preserve"> (</w:t>
      </w:r>
      <w:proofErr w:type="spellStart"/>
      <w:r w:rsidR="38D2917F">
        <w:t>Bagatell</w:t>
      </w:r>
      <w:proofErr w:type="spellEnd"/>
      <w:r w:rsidR="14468598">
        <w:t>, 2011) to $</w:t>
      </w:r>
      <w:r w:rsidR="0056207C" w:rsidRPr="00D403E2">
        <w:rPr>
          <w:b/>
          <w:bCs/>
        </w:rPr>
        <w:t>redacted</w:t>
      </w:r>
      <w:r w:rsidR="14468598">
        <w:t xml:space="preserve"> (BEACON-1, TEMIRI or TOTEM data). </w:t>
      </w:r>
    </w:p>
    <w:p w14:paraId="7ACD20E1" w14:textId="67984AB1" w:rsidR="00940151" w:rsidRPr="0052532F" w:rsidRDefault="00940151" w:rsidP="00940151">
      <w:pPr>
        <w:pStyle w:val="TableHeading"/>
      </w:pPr>
      <w:bookmarkStart w:id="44" w:name="_Ref184187665"/>
      <w:r w:rsidRPr="375F5CCE">
        <w:lastRenderedPageBreak/>
        <w:t>Table </w:t>
      </w:r>
      <w:r w:rsidRPr="375F5CCE">
        <w:rPr>
          <w:noProof/>
        </w:rPr>
        <w:fldChar w:fldCharType="begin"/>
      </w:r>
      <w:r w:rsidRPr="375F5CCE">
        <w:rPr>
          <w:noProof/>
        </w:rPr>
        <w:instrText xml:space="preserve"> SEQ Table \* ARABIC </w:instrText>
      </w:r>
      <w:r w:rsidRPr="375F5CCE">
        <w:rPr>
          <w:noProof/>
        </w:rPr>
        <w:fldChar w:fldCharType="separate"/>
      </w:r>
      <w:r w:rsidR="00C02A66" w:rsidRPr="375F5CCE">
        <w:rPr>
          <w:noProof/>
        </w:rPr>
        <w:t>10</w:t>
      </w:r>
      <w:r w:rsidRPr="375F5CCE">
        <w:rPr>
          <w:noProof/>
        </w:rPr>
        <w:fldChar w:fldCharType="end"/>
      </w:r>
      <w:bookmarkEnd w:id="44"/>
      <w:r>
        <w:tab/>
      </w:r>
      <w:r w:rsidRPr="375F5CCE">
        <w:t xml:space="preserve">Data sources used in Method 1: combining different sources of PFS and OS data </w:t>
      </w:r>
    </w:p>
    <w:tbl>
      <w:tblPr>
        <w:tblStyle w:val="TableGrid"/>
        <w:tblW w:w="9635" w:type="dxa"/>
        <w:tblLook w:val="04A0" w:firstRow="1" w:lastRow="0" w:firstColumn="1" w:lastColumn="0" w:noHBand="0" w:noVBand="1"/>
      </w:tblPr>
      <w:tblGrid>
        <w:gridCol w:w="1980"/>
        <w:gridCol w:w="993"/>
        <w:gridCol w:w="2126"/>
        <w:gridCol w:w="2410"/>
        <w:gridCol w:w="2126"/>
      </w:tblGrid>
      <w:tr w:rsidR="00940151" w:rsidRPr="0052532F" w14:paraId="012862DE" w14:textId="77777777" w:rsidTr="375F5CCE">
        <w:trPr>
          <w:trHeight w:val="274"/>
        </w:trPr>
        <w:tc>
          <w:tcPr>
            <w:tcW w:w="1980" w:type="dxa"/>
            <w:vAlign w:val="center"/>
          </w:tcPr>
          <w:p w14:paraId="2A7347FC" w14:textId="77777777" w:rsidR="00940151" w:rsidRPr="0052532F" w:rsidRDefault="00940151" w:rsidP="00B70B76">
            <w:pPr>
              <w:pStyle w:val="KMC16-Text"/>
              <w:keepNext/>
              <w:keepLines/>
              <w:spacing w:before="40" w:after="40" w:line="240" w:lineRule="auto"/>
              <w:jc w:val="left"/>
              <w:rPr>
                <w:rFonts w:ascii="Arial Narrow" w:hAnsi="Arial Narrow"/>
                <w:b/>
                <w:bCs/>
                <w:color w:val="auto"/>
                <w:sz w:val="20"/>
                <w:szCs w:val="20"/>
              </w:rPr>
            </w:pPr>
            <w:bookmarkStart w:id="45" w:name="_Hlk198907581"/>
            <w:r w:rsidRPr="0052532F">
              <w:rPr>
                <w:rFonts w:ascii="Arial Narrow" w:hAnsi="Arial Narrow"/>
                <w:b/>
                <w:bCs/>
                <w:color w:val="auto"/>
                <w:sz w:val="20"/>
                <w:szCs w:val="20"/>
              </w:rPr>
              <w:t>Scenario</w:t>
            </w:r>
          </w:p>
        </w:tc>
        <w:tc>
          <w:tcPr>
            <w:tcW w:w="993" w:type="dxa"/>
            <w:vAlign w:val="center"/>
          </w:tcPr>
          <w:p w14:paraId="239D45EC" w14:textId="77777777" w:rsidR="00940151" w:rsidRPr="0052532F" w:rsidRDefault="00940151" w:rsidP="00B70B76">
            <w:pPr>
              <w:pStyle w:val="KMC16-Text"/>
              <w:keepNext/>
              <w:keepLines/>
              <w:spacing w:before="40" w:after="40" w:line="240" w:lineRule="auto"/>
              <w:jc w:val="center"/>
              <w:rPr>
                <w:rFonts w:ascii="Arial Narrow" w:hAnsi="Arial Narrow"/>
                <w:b/>
                <w:bCs/>
                <w:color w:val="auto"/>
                <w:sz w:val="20"/>
                <w:szCs w:val="20"/>
              </w:rPr>
            </w:pPr>
            <w:r w:rsidRPr="0052532F">
              <w:rPr>
                <w:rFonts w:ascii="Arial Narrow" w:hAnsi="Arial Narrow"/>
                <w:b/>
                <w:bCs/>
                <w:color w:val="auto"/>
                <w:sz w:val="20"/>
                <w:szCs w:val="20"/>
              </w:rPr>
              <w:t>PFS/OS</w:t>
            </w:r>
          </w:p>
        </w:tc>
        <w:tc>
          <w:tcPr>
            <w:tcW w:w="2126" w:type="dxa"/>
            <w:vAlign w:val="center"/>
          </w:tcPr>
          <w:p w14:paraId="63902B20" w14:textId="77777777" w:rsidR="00940151" w:rsidRPr="0052532F" w:rsidRDefault="00940151" w:rsidP="00B70B76">
            <w:pPr>
              <w:pStyle w:val="KMC16-Text"/>
              <w:keepNext/>
              <w:keepLines/>
              <w:spacing w:before="40" w:after="40" w:line="240" w:lineRule="auto"/>
              <w:jc w:val="center"/>
              <w:rPr>
                <w:rFonts w:ascii="Arial Narrow" w:hAnsi="Arial Narrow"/>
                <w:b/>
                <w:bCs/>
                <w:color w:val="auto"/>
                <w:sz w:val="20"/>
                <w:szCs w:val="20"/>
              </w:rPr>
            </w:pPr>
            <w:r w:rsidRPr="0052532F">
              <w:rPr>
                <w:rFonts w:ascii="Arial Narrow" w:hAnsi="Arial Narrow"/>
                <w:b/>
                <w:bCs/>
                <w:color w:val="auto"/>
                <w:sz w:val="20"/>
                <w:szCs w:val="20"/>
              </w:rPr>
              <w:t>Intervention arm</w:t>
            </w:r>
          </w:p>
          <w:p w14:paraId="2CD353E7" w14:textId="77777777" w:rsidR="00940151" w:rsidRPr="0052532F" w:rsidRDefault="00940151" w:rsidP="375F5CCE">
            <w:pPr>
              <w:pStyle w:val="KMC16-Text"/>
              <w:keepNext/>
              <w:keepLines/>
              <w:spacing w:before="40" w:after="40" w:line="240" w:lineRule="auto"/>
              <w:jc w:val="center"/>
              <w:rPr>
                <w:rFonts w:ascii="Arial Narrow" w:hAnsi="Arial Narrow"/>
                <w:b/>
                <w:bCs/>
                <w:color w:val="auto"/>
                <w:sz w:val="20"/>
                <w:szCs w:val="20"/>
              </w:rPr>
            </w:pPr>
            <w:r w:rsidRPr="375F5CCE">
              <w:rPr>
                <w:rFonts w:ascii="Arial Narrow" w:hAnsi="Arial Narrow"/>
                <w:b/>
                <w:bCs/>
                <w:color w:val="auto"/>
                <w:sz w:val="20"/>
                <w:szCs w:val="20"/>
              </w:rPr>
              <w:t xml:space="preserve">(drug dB or </w:t>
            </w:r>
            <w:proofErr w:type="spellStart"/>
            <w:r w:rsidRPr="375F5CCE">
              <w:rPr>
                <w:rFonts w:ascii="Arial Narrow" w:hAnsi="Arial Narrow"/>
                <w:b/>
                <w:bCs/>
                <w:color w:val="auto"/>
                <w:sz w:val="20"/>
                <w:szCs w:val="20"/>
              </w:rPr>
              <w:t>dA</w:t>
            </w:r>
            <w:proofErr w:type="spellEnd"/>
            <w:r w:rsidRPr="375F5CCE">
              <w:rPr>
                <w:rFonts w:ascii="Arial Narrow" w:hAnsi="Arial Narrow"/>
                <w:b/>
                <w:bCs/>
                <w:color w:val="auto"/>
                <w:sz w:val="20"/>
                <w:szCs w:val="20"/>
              </w:rPr>
              <w:t>; N)</w:t>
            </w:r>
          </w:p>
        </w:tc>
        <w:tc>
          <w:tcPr>
            <w:tcW w:w="2410" w:type="dxa"/>
            <w:vAlign w:val="center"/>
          </w:tcPr>
          <w:p w14:paraId="42468043" w14:textId="77777777" w:rsidR="00940151" w:rsidRPr="0052532F" w:rsidRDefault="00940151" w:rsidP="00B70B76">
            <w:pPr>
              <w:pStyle w:val="KMC16-Text"/>
              <w:keepNext/>
              <w:keepLines/>
              <w:spacing w:before="40" w:after="40" w:line="240" w:lineRule="auto"/>
              <w:jc w:val="center"/>
              <w:rPr>
                <w:rFonts w:ascii="Arial Narrow" w:hAnsi="Arial Narrow"/>
                <w:b/>
                <w:bCs/>
                <w:color w:val="auto"/>
                <w:sz w:val="20"/>
                <w:szCs w:val="20"/>
              </w:rPr>
            </w:pPr>
            <w:r w:rsidRPr="0052532F">
              <w:rPr>
                <w:rFonts w:ascii="Arial Narrow" w:hAnsi="Arial Narrow"/>
                <w:b/>
                <w:bCs/>
                <w:color w:val="auto"/>
                <w:sz w:val="20"/>
                <w:szCs w:val="20"/>
              </w:rPr>
              <w:t>Comparator arm</w:t>
            </w:r>
          </w:p>
          <w:p w14:paraId="25B35EC9" w14:textId="77777777" w:rsidR="00940151" w:rsidRPr="0052532F" w:rsidRDefault="00940151" w:rsidP="00B70B76">
            <w:pPr>
              <w:pStyle w:val="KMC16-Text"/>
              <w:keepNext/>
              <w:keepLines/>
              <w:spacing w:before="40" w:after="40" w:line="240" w:lineRule="auto"/>
              <w:jc w:val="center"/>
              <w:rPr>
                <w:rFonts w:ascii="Arial Narrow" w:hAnsi="Arial Narrow"/>
                <w:b/>
                <w:bCs/>
                <w:color w:val="auto"/>
                <w:sz w:val="20"/>
                <w:szCs w:val="20"/>
              </w:rPr>
            </w:pPr>
            <w:r w:rsidRPr="0052532F">
              <w:rPr>
                <w:rFonts w:ascii="Arial Narrow" w:hAnsi="Arial Narrow"/>
                <w:b/>
                <w:bCs/>
                <w:color w:val="auto"/>
                <w:sz w:val="20"/>
                <w:szCs w:val="20"/>
              </w:rPr>
              <w:t>(chemotherapy)</w:t>
            </w:r>
          </w:p>
        </w:tc>
        <w:tc>
          <w:tcPr>
            <w:tcW w:w="2126" w:type="dxa"/>
            <w:vAlign w:val="center"/>
          </w:tcPr>
          <w:p w14:paraId="6D4813B1" w14:textId="77777777" w:rsidR="00940151" w:rsidRPr="0052532F" w:rsidRDefault="00940151" w:rsidP="00B70B76">
            <w:pPr>
              <w:pStyle w:val="KMC16-Text"/>
              <w:keepNext/>
              <w:keepLines/>
              <w:spacing w:before="40" w:after="40" w:line="240" w:lineRule="auto"/>
              <w:jc w:val="center"/>
              <w:rPr>
                <w:rFonts w:ascii="Arial Narrow" w:hAnsi="Arial Narrow"/>
                <w:b/>
                <w:bCs/>
                <w:color w:val="auto"/>
                <w:sz w:val="20"/>
                <w:szCs w:val="20"/>
              </w:rPr>
            </w:pPr>
            <w:r w:rsidRPr="0052532F">
              <w:rPr>
                <w:rFonts w:ascii="Arial Narrow" w:hAnsi="Arial Narrow"/>
                <w:b/>
                <w:bCs/>
                <w:color w:val="auto"/>
                <w:sz w:val="20"/>
                <w:szCs w:val="20"/>
              </w:rPr>
              <w:t>ICER</w:t>
            </w:r>
            <w:r w:rsidRPr="0052532F">
              <w:rPr>
                <w:sz w:val="20"/>
                <w:szCs w:val="20"/>
              </w:rPr>
              <w:t xml:space="preserve"> </w:t>
            </w:r>
            <w:r w:rsidRPr="0052532F">
              <w:rPr>
                <w:rFonts w:ascii="Arial Narrow" w:hAnsi="Arial Narrow"/>
                <w:b/>
                <w:bCs/>
                <w:color w:val="auto"/>
                <w:sz w:val="20"/>
                <w:szCs w:val="20"/>
              </w:rPr>
              <w:t>per QALY gained*</w:t>
            </w:r>
          </w:p>
        </w:tc>
      </w:tr>
      <w:bookmarkEnd w:id="45"/>
      <w:tr w:rsidR="00940151" w:rsidRPr="0052532F" w14:paraId="07345EC3" w14:textId="77777777" w:rsidTr="375F5CCE">
        <w:tc>
          <w:tcPr>
            <w:tcW w:w="1980" w:type="dxa"/>
            <w:vMerge w:val="restart"/>
            <w:vAlign w:val="center"/>
          </w:tcPr>
          <w:p w14:paraId="056591FA" w14:textId="3D5C8E7A" w:rsidR="00940151" w:rsidRPr="0052532F" w:rsidRDefault="00940151" w:rsidP="375F5CCE">
            <w:pPr>
              <w:pStyle w:val="KMC16-Text"/>
              <w:keepNext/>
              <w:keepLines/>
              <w:spacing w:before="40" w:after="40" w:line="240" w:lineRule="auto"/>
              <w:jc w:val="left"/>
              <w:rPr>
                <w:rFonts w:ascii="Arial Narrow" w:hAnsi="Arial Narrow"/>
                <w:color w:val="auto"/>
                <w:sz w:val="20"/>
                <w:szCs w:val="20"/>
              </w:rPr>
            </w:pPr>
            <w:r w:rsidRPr="375F5CCE">
              <w:rPr>
                <w:rFonts w:ascii="Arial Narrow" w:hAnsi="Arial Narrow"/>
                <w:color w:val="auto"/>
                <w:sz w:val="20"/>
                <w:szCs w:val="20"/>
              </w:rPr>
              <w:t xml:space="preserve">1. Based only on </w:t>
            </w:r>
            <w:r w:rsidR="00C510FD" w:rsidRPr="375F5CCE">
              <w:rPr>
                <w:rFonts w:ascii="Arial Narrow" w:hAnsi="Arial Narrow"/>
                <w:color w:val="auto"/>
                <w:sz w:val="20"/>
                <w:szCs w:val="20"/>
              </w:rPr>
              <w:t>BEACON-</w:t>
            </w:r>
            <w:proofErr w:type="spellStart"/>
            <w:r w:rsidR="00C510FD" w:rsidRPr="375F5CCE">
              <w:rPr>
                <w:rFonts w:ascii="Arial Narrow" w:hAnsi="Arial Narrow"/>
                <w:color w:val="auto"/>
                <w:sz w:val="20"/>
                <w:szCs w:val="20"/>
              </w:rPr>
              <w:t>Immuno</w:t>
            </w:r>
            <w:proofErr w:type="spellEnd"/>
            <w:r w:rsidRPr="375F5CCE">
              <w:rPr>
                <w:rFonts w:ascii="Arial Narrow" w:hAnsi="Arial Narrow"/>
                <w:color w:val="auto"/>
                <w:sz w:val="20"/>
                <w:szCs w:val="20"/>
              </w:rPr>
              <w:t xml:space="preserve"> data for both PFS and OS analyses (hypothetical)</w:t>
            </w:r>
          </w:p>
        </w:tc>
        <w:tc>
          <w:tcPr>
            <w:tcW w:w="993" w:type="dxa"/>
            <w:vAlign w:val="center"/>
          </w:tcPr>
          <w:p w14:paraId="249DE78F"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PFS</w:t>
            </w:r>
          </w:p>
        </w:tc>
        <w:tc>
          <w:tcPr>
            <w:tcW w:w="2126" w:type="dxa"/>
            <w:vAlign w:val="center"/>
          </w:tcPr>
          <w:p w14:paraId="58C91FB7" w14:textId="09CA44BE" w:rsidR="00940151" w:rsidRPr="0052532F" w:rsidRDefault="00C510FD" w:rsidP="00B70B76">
            <w:pPr>
              <w:pStyle w:val="KMC16-Text"/>
              <w:keepNext/>
              <w:keepLines/>
              <w:spacing w:before="40" w:after="40" w:line="240" w:lineRule="auto"/>
              <w:jc w:val="left"/>
              <w:rPr>
                <w:rFonts w:ascii="Arial Narrow" w:hAnsi="Arial Narrow"/>
                <w:color w:val="auto"/>
                <w:sz w:val="20"/>
                <w:szCs w:val="20"/>
              </w:rPr>
            </w:pPr>
            <w:r>
              <w:rPr>
                <w:rFonts w:ascii="Arial Narrow" w:hAnsi="Arial Narrow"/>
                <w:color w:val="auto"/>
                <w:sz w:val="20"/>
                <w:szCs w:val="20"/>
              </w:rPr>
              <w:t>BEACON-</w:t>
            </w:r>
            <w:proofErr w:type="spellStart"/>
            <w:r>
              <w:rPr>
                <w:rFonts w:ascii="Arial Narrow" w:hAnsi="Arial Narrow"/>
                <w:color w:val="auto"/>
                <w:sz w:val="20"/>
                <w:szCs w:val="20"/>
              </w:rPr>
              <w:t>Immuno</w:t>
            </w:r>
            <w:proofErr w:type="spellEnd"/>
            <w:r w:rsidR="00940151">
              <w:rPr>
                <w:rFonts w:ascii="Arial Narrow" w:hAnsi="Arial Narrow"/>
                <w:color w:val="auto"/>
                <w:sz w:val="20"/>
                <w:szCs w:val="20"/>
              </w:rPr>
              <w:br/>
            </w:r>
            <w:r w:rsidR="00940151" w:rsidRPr="0052532F">
              <w:rPr>
                <w:rFonts w:ascii="Arial Narrow" w:hAnsi="Arial Narrow"/>
                <w:color w:val="auto"/>
                <w:sz w:val="20"/>
                <w:szCs w:val="20"/>
              </w:rPr>
              <w:t>(</w:t>
            </w:r>
            <w:r w:rsidR="00940151">
              <w:rPr>
                <w:rFonts w:ascii="Arial Narrow" w:hAnsi="Arial Narrow"/>
                <w:color w:val="auto"/>
                <w:sz w:val="20"/>
                <w:szCs w:val="20"/>
              </w:rPr>
              <w:t>D</w:t>
            </w:r>
            <w:r w:rsidR="00940151" w:rsidRPr="0052532F">
              <w:rPr>
                <w:rFonts w:ascii="Arial Narrow" w:hAnsi="Arial Narrow"/>
                <w:color w:val="auto"/>
                <w:sz w:val="20"/>
                <w:szCs w:val="20"/>
              </w:rPr>
              <w:t>B; N=43)</w:t>
            </w:r>
          </w:p>
        </w:tc>
        <w:tc>
          <w:tcPr>
            <w:tcW w:w="2410" w:type="dxa"/>
            <w:vAlign w:val="center"/>
          </w:tcPr>
          <w:p w14:paraId="36D283F7" w14:textId="549DABCF" w:rsidR="00940151" w:rsidRPr="0052532F" w:rsidRDefault="00C510FD" w:rsidP="00B70B76">
            <w:pPr>
              <w:pStyle w:val="KMC16-Text"/>
              <w:keepNext/>
              <w:keepLines/>
              <w:spacing w:before="40" w:after="40" w:line="240" w:lineRule="auto"/>
              <w:jc w:val="left"/>
              <w:rPr>
                <w:rFonts w:ascii="Arial Narrow" w:hAnsi="Arial Narrow"/>
                <w:color w:val="auto"/>
                <w:sz w:val="20"/>
                <w:szCs w:val="20"/>
              </w:rPr>
            </w:pPr>
            <w:r>
              <w:rPr>
                <w:rFonts w:ascii="Arial Narrow" w:hAnsi="Arial Narrow"/>
                <w:color w:val="auto"/>
                <w:sz w:val="20"/>
                <w:szCs w:val="20"/>
              </w:rPr>
              <w:t>BEACON-</w:t>
            </w:r>
            <w:proofErr w:type="spellStart"/>
            <w:r>
              <w:rPr>
                <w:rFonts w:ascii="Arial Narrow" w:hAnsi="Arial Narrow"/>
                <w:color w:val="auto"/>
                <w:sz w:val="20"/>
                <w:szCs w:val="20"/>
              </w:rPr>
              <w:t>Immuno</w:t>
            </w:r>
            <w:proofErr w:type="spellEnd"/>
            <w:r w:rsidR="00940151">
              <w:rPr>
                <w:rFonts w:ascii="Arial Narrow" w:hAnsi="Arial Narrow"/>
                <w:color w:val="auto"/>
                <w:sz w:val="20"/>
                <w:szCs w:val="20"/>
              </w:rPr>
              <w:br/>
            </w:r>
            <w:r w:rsidR="00940151" w:rsidRPr="0052532F">
              <w:rPr>
                <w:rFonts w:ascii="Arial Narrow" w:hAnsi="Arial Narrow"/>
                <w:color w:val="auto"/>
                <w:sz w:val="20"/>
                <w:szCs w:val="20"/>
              </w:rPr>
              <w:t>(TOTEM or TIMIRI; N=22)</w:t>
            </w:r>
          </w:p>
        </w:tc>
        <w:tc>
          <w:tcPr>
            <w:tcW w:w="2126" w:type="dxa"/>
            <w:vMerge w:val="restart"/>
            <w:vAlign w:val="center"/>
          </w:tcPr>
          <w:p w14:paraId="451D59AC"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Not reported</w:t>
            </w:r>
          </w:p>
          <w:p w14:paraId="1205E524"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 xml:space="preserve">Without the primary individual patient data, the ICER could not be estimated </w:t>
            </w:r>
          </w:p>
        </w:tc>
      </w:tr>
      <w:tr w:rsidR="00940151" w:rsidRPr="0052532F" w14:paraId="1341314C" w14:textId="77777777" w:rsidTr="375F5CCE">
        <w:tc>
          <w:tcPr>
            <w:tcW w:w="1980" w:type="dxa"/>
            <w:vMerge/>
            <w:vAlign w:val="center"/>
          </w:tcPr>
          <w:p w14:paraId="7F2419A8"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c>
          <w:tcPr>
            <w:tcW w:w="993" w:type="dxa"/>
            <w:vAlign w:val="center"/>
          </w:tcPr>
          <w:p w14:paraId="26F9326D"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OS</w:t>
            </w:r>
          </w:p>
        </w:tc>
        <w:tc>
          <w:tcPr>
            <w:tcW w:w="2126" w:type="dxa"/>
            <w:vAlign w:val="center"/>
          </w:tcPr>
          <w:p w14:paraId="411044C2" w14:textId="6CE86BD9" w:rsidR="00940151" w:rsidRPr="0052532F" w:rsidRDefault="00C510FD" w:rsidP="00B70B76">
            <w:pPr>
              <w:pStyle w:val="KMC16-Tablecontent"/>
              <w:keepNext/>
              <w:keepLines/>
              <w:rPr>
                <w:color w:val="auto"/>
                <w:szCs w:val="20"/>
              </w:rPr>
            </w:pPr>
            <w:r>
              <w:rPr>
                <w:color w:val="auto"/>
                <w:szCs w:val="20"/>
              </w:rPr>
              <w:t>BEACON-</w:t>
            </w:r>
            <w:proofErr w:type="spellStart"/>
            <w:r>
              <w:rPr>
                <w:color w:val="auto"/>
                <w:szCs w:val="20"/>
              </w:rPr>
              <w:t>Immuno</w:t>
            </w:r>
            <w:proofErr w:type="spellEnd"/>
            <w:r w:rsidR="00940151" w:rsidRPr="0052532F">
              <w:rPr>
                <w:color w:val="auto"/>
                <w:szCs w:val="20"/>
              </w:rPr>
              <w:t xml:space="preserve"> </w:t>
            </w:r>
            <w:r w:rsidR="00940151">
              <w:rPr>
                <w:color w:val="auto"/>
                <w:szCs w:val="20"/>
              </w:rPr>
              <w:br/>
            </w:r>
            <w:r w:rsidR="00940151" w:rsidRPr="0052532F">
              <w:rPr>
                <w:color w:val="auto"/>
                <w:szCs w:val="20"/>
              </w:rPr>
              <w:t>(</w:t>
            </w:r>
            <w:r w:rsidR="00940151">
              <w:rPr>
                <w:color w:val="auto"/>
                <w:szCs w:val="20"/>
              </w:rPr>
              <w:t>D</w:t>
            </w:r>
            <w:r w:rsidR="00940151" w:rsidRPr="0052532F">
              <w:rPr>
                <w:color w:val="auto"/>
                <w:szCs w:val="20"/>
              </w:rPr>
              <w:t>B; N=43)</w:t>
            </w:r>
          </w:p>
        </w:tc>
        <w:tc>
          <w:tcPr>
            <w:tcW w:w="2410" w:type="dxa"/>
            <w:vAlign w:val="center"/>
          </w:tcPr>
          <w:p w14:paraId="282A930E" w14:textId="2A354600" w:rsidR="00940151" w:rsidRDefault="00C510FD" w:rsidP="375F5CCE">
            <w:pPr>
              <w:pStyle w:val="KMC16-Text"/>
              <w:keepNext/>
              <w:keepLines/>
              <w:spacing w:before="40" w:after="40" w:line="240" w:lineRule="auto"/>
              <w:jc w:val="left"/>
              <w:rPr>
                <w:color w:val="auto"/>
                <w:sz w:val="20"/>
                <w:szCs w:val="20"/>
              </w:rPr>
            </w:pPr>
            <w:r w:rsidRPr="375F5CCE">
              <w:rPr>
                <w:rFonts w:ascii="Arial Narrow" w:hAnsi="Arial Narrow"/>
                <w:color w:val="auto"/>
                <w:sz w:val="20"/>
                <w:szCs w:val="20"/>
              </w:rPr>
              <w:t>BEACON-</w:t>
            </w:r>
            <w:proofErr w:type="spellStart"/>
            <w:r w:rsidRPr="375F5CCE">
              <w:rPr>
                <w:rFonts w:ascii="Arial Narrow" w:hAnsi="Arial Narrow"/>
                <w:color w:val="auto"/>
                <w:sz w:val="20"/>
                <w:szCs w:val="20"/>
              </w:rPr>
              <w:t>Immuno</w:t>
            </w:r>
            <w:proofErr w:type="spellEnd"/>
            <w:r w:rsidR="00940151" w:rsidRPr="375F5CCE">
              <w:rPr>
                <w:rFonts w:ascii="Arial Narrow" w:hAnsi="Arial Narrow"/>
                <w:color w:val="auto"/>
                <w:sz w:val="20"/>
                <w:szCs w:val="20"/>
              </w:rPr>
              <w:t xml:space="preserve"> </w:t>
            </w:r>
          </w:p>
          <w:p w14:paraId="04584BFE"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(TOTEM or TIMIRI; N=22)</w:t>
            </w:r>
            <w:r w:rsidRPr="0052532F">
              <w:rPr>
                <w:color w:val="auto"/>
                <w:sz w:val="20"/>
                <w:szCs w:val="20"/>
                <w:vertAlign w:val="superscript"/>
              </w:rPr>
              <w:t>1</w:t>
            </w:r>
          </w:p>
        </w:tc>
        <w:tc>
          <w:tcPr>
            <w:tcW w:w="2126" w:type="dxa"/>
            <w:vMerge/>
            <w:vAlign w:val="center"/>
          </w:tcPr>
          <w:p w14:paraId="4A6802D3"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r>
      <w:tr w:rsidR="00940151" w:rsidRPr="0052532F" w14:paraId="786433F2" w14:textId="77777777" w:rsidTr="375F5CCE">
        <w:tc>
          <w:tcPr>
            <w:tcW w:w="1980" w:type="dxa"/>
            <w:vMerge w:val="restart"/>
            <w:vAlign w:val="center"/>
          </w:tcPr>
          <w:p w14:paraId="470CDF84" w14:textId="0964B6B9" w:rsidR="00940151" w:rsidRPr="0052532F" w:rsidRDefault="00940151" w:rsidP="375F5CCE">
            <w:pPr>
              <w:pStyle w:val="KMC16-Text"/>
              <w:keepNext/>
              <w:keepLines/>
              <w:spacing w:before="40" w:after="40" w:line="240" w:lineRule="auto"/>
              <w:jc w:val="left"/>
              <w:rPr>
                <w:rFonts w:ascii="Arial Narrow" w:hAnsi="Arial Narrow"/>
                <w:color w:val="auto"/>
                <w:sz w:val="20"/>
                <w:szCs w:val="20"/>
              </w:rPr>
            </w:pPr>
            <w:bookmarkStart w:id="46" w:name="_Hlk198907598"/>
            <w:r w:rsidRPr="375F5CCE">
              <w:rPr>
                <w:rFonts w:ascii="Arial Narrow" w:hAnsi="Arial Narrow"/>
                <w:color w:val="auto"/>
                <w:sz w:val="20"/>
                <w:szCs w:val="20"/>
              </w:rPr>
              <w:t xml:space="preserve">2. Based on </w:t>
            </w:r>
            <w:r w:rsidR="00C510FD" w:rsidRPr="375F5CCE">
              <w:rPr>
                <w:rFonts w:ascii="Arial Narrow" w:hAnsi="Arial Narrow"/>
                <w:color w:val="auto"/>
                <w:sz w:val="20"/>
                <w:szCs w:val="20"/>
              </w:rPr>
              <w:t>BEACON-</w:t>
            </w:r>
            <w:proofErr w:type="spellStart"/>
            <w:r w:rsidR="00C510FD" w:rsidRPr="375F5CCE">
              <w:rPr>
                <w:rFonts w:ascii="Arial Narrow" w:hAnsi="Arial Narrow"/>
                <w:color w:val="auto"/>
                <w:sz w:val="20"/>
                <w:szCs w:val="20"/>
              </w:rPr>
              <w:t>Immuno</w:t>
            </w:r>
            <w:proofErr w:type="spellEnd"/>
            <w:r w:rsidRPr="375F5CCE">
              <w:rPr>
                <w:rFonts w:ascii="Arial Narrow" w:hAnsi="Arial Narrow"/>
                <w:color w:val="auto"/>
                <w:sz w:val="20"/>
                <w:szCs w:val="20"/>
              </w:rPr>
              <w:t xml:space="preserve"> data for PFS and on SCH (2024) data for OS </w:t>
            </w:r>
          </w:p>
        </w:tc>
        <w:tc>
          <w:tcPr>
            <w:tcW w:w="993" w:type="dxa"/>
            <w:vAlign w:val="center"/>
          </w:tcPr>
          <w:p w14:paraId="53E7998D"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PFS</w:t>
            </w:r>
          </w:p>
        </w:tc>
        <w:tc>
          <w:tcPr>
            <w:tcW w:w="2126" w:type="dxa"/>
            <w:vAlign w:val="center"/>
          </w:tcPr>
          <w:p w14:paraId="76FAA4D0" w14:textId="7B01E7C1" w:rsidR="00940151" w:rsidRPr="0052532F" w:rsidRDefault="00C510FD" w:rsidP="00B70B76">
            <w:pPr>
              <w:pStyle w:val="KMC16-Tablecontent"/>
              <w:keepNext/>
              <w:keepLines/>
              <w:rPr>
                <w:color w:val="auto"/>
                <w:szCs w:val="20"/>
              </w:rPr>
            </w:pPr>
            <w:r>
              <w:rPr>
                <w:color w:val="auto"/>
                <w:szCs w:val="20"/>
              </w:rPr>
              <w:t>BEACON-</w:t>
            </w:r>
            <w:proofErr w:type="spellStart"/>
            <w:r>
              <w:rPr>
                <w:color w:val="auto"/>
                <w:szCs w:val="20"/>
              </w:rPr>
              <w:t>Immuno</w:t>
            </w:r>
            <w:proofErr w:type="spellEnd"/>
            <w:r w:rsidR="00940151" w:rsidRPr="0052532F">
              <w:rPr>
                <w:color w:val="auto"/>
                <w:szCs w:val="20"/>
              </w:rPr>
              <w:t xml:space="preserve"> </w:t>
            </w:r>
            <w:r w:rsidR="00940151">
              <w:rPr>
                <w:color w:val="auto"/>
                <w:szCs w:val="20"/>
              </w:rPr>
              <w:br/>
            </w:r>
            <w:r w:rsidR="00940151" w:rsidRPr="0052532F">
              <w:rPr>
                <w:color w:val="auto"/>
                <w:szCs w:val="20"/>
              </w:rPr>
              <w:t>(</w:t>
            </w:r>
            <w:r w:rsidR="00940151">
              <w:rPr>
                <w:color w:val="auto"/>
                <w:szCs w:val="20"/>
              </w:rPr>
              <w:t>D</w:t>
            </w:r>
            <w:r w:rsidR="00940151" w:rsidRPr="0052532F">
              <w:rPr>
                <w:color w:val="auto"/>
                <w:szCs w:val="20"/>
              </w:rPr>
              <w:t>B; N=43)</w:t>
            </w:r>
          </w:p>
        </w:tc>
        <w:tc>
          <w:tcPr>
            <w:tcW w:w="2410" w:type="dxa"/>
            <w:vAlign w:val="center"/>
          </w:tcPr>
          <w:p w14:paraId="0891C3AA" w14:textId="07764F66" w:rsidR="00940151" w:rsidRPr="0052532F" w:rsidRDefault="00C510FD" w:rsidP="00B70B76">
            <w:pPr>
              <w:pStyle w:val="KMC16-Text"/>
              <w:keepNext/>
              <w:keepLines/>
              <w:spacing w:before="40" w:after="40" w:line="240" w:lineRule="auto"/>
              <w:jc w:val="left"/>
            </w:pPr>
            <w:r>
              <w:rPr>
                <w:rFonts w:ascii="Arial Narrow" w:hAnsi="Arial Narrow"/>
                <w:color w:val="auto"/>
                <w:sz w:val="20"/>
                <w:szCs w:val="20"/>
              </w:rPr>
              <w:t>BEACON-</w:t>
            </w:r>
            <w:proofErr w:type="spellStart"/>
            <w:r>
              <w:rPr>
                <w:rFonts w:ascii="Arial Narrow" w:hAnsi="Arial Narrow"/>
                <w:color w:val="auto"/>
                <w:sz w:val="20"/>
                <w:szCs w:val="20"/>
              </w:rPr>
              <w:t>Immuno</w:t>
            </w:r>
            <w:proofErr w:type="spellEnd"/>
            <w:r w:rsidR="00940151">
              <w:rPr>
                <w:rFonts w:ascii="Arial Narrow" w:hAnsi="Arial Narrow"/>
                <w:color w:val="auto"/>
                <w:sz w:val="20"/>
                <w:szCs w:val="20"/>
              </w:rPr>
              <w:br/>
            </w:r>
            <w:r w:rsidR="00940151" w:rsidRPr="0052532F">
              <w:rPr>
                <w:rFonts w:ascii="Arial Narrow" w:hAnsi="Arial Narrow"/>
                <w:color w:val="auto"/>
                <w:sz w:val="20"/>
                <w:szCs w:val="20"/>
              </w:rPr>
              <w:t>(TOTEM or TIMIRI; N=22)</w:t>
            </w:r>
          </w:p>
        </w:tc>
        <w:tc>
          <w:tcPr>
            <w:tcW w:w="2126" w:type="dxa"/>
            <w:vMerge w:val="restart"/>
            <w:vAlign w:val="center"/>
          </w:tcPr>
          <w:p w14:paraId="5B0C0D39" w14:textId="3F272AC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sidRPr="0052532F">
              <w:rPr>
                <w:rFonts w:ascii="Arial Narrow" w:hAnsi="Arial Narrow"/>
                <w:color w:val="auto"/>
                <w:sz w:val="20"/>
                <w:szCs w:val="20"/>
              </w:rPr>
              <w:t xml:space="preserve"> </w:t>
            </w:r>
          </w:p>
        </w:tc>
      </w:tr>
      <w:tr w:rsidR="00940151" w:rsidRPr="0052532F" w14:paraId="7734F09E" w14:textId="77777777" w:rsidTr="375F5CCE">
        <w:tc>
          <w:tcPr>
            <w:tcW w:w="1980" w:type="dxa"/>
            <w:vMerge/>
            <w:vAlign w:val="center"/>
          </w:tcPr>
          <w:p w14:paraId="3729CEDD"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c>
          <w:tcPr>
            <w:tcW w:w="993" w:type="dxa"/>
            <w:vAlign w:val="center"/>
          </w:tcPr>
          <w:p w14:paraId="59F1C92D"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OS</w:t>
            </w:r>
          </w:p>
        </w:tc>
        <w:tc>
          <w:tcPr>
            <w:tcW w:w="2126" w:type="dxa"/>
            <w:vAlign w:val="center"/>
          </w:tcPr>
          <w:p w14:paraId="2BBFBBD5" w14:textId="77777777"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Pr>
                <w:szCs w:val="20"/>
                <w:lang w:val="en-AU"/>
              </w:rPr>
              <w:t>D</w:t>
            </w:r>
            <w:r w:rsidRPr="0052532F">
              <w:rPr>
                <w:szCs w:val="20"/>
                <w:lang w:val="en-AU"/>
              </w:rPr>
              <w:t>A; N=12)</w:t>
            </w:r>
          </w:p>
        </w:tc>
        <w:tc>
          <w:tcPr>
            <w:tcW w:w="2410" w:type="dxa"/>
            <w:vAlign w:val="center"/>
          </w:tcPr>
          <w:p w14:paraId="7595B736" w14:textId="486750A3"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sidR="002477F9">
              <w:rPr>
                <w:szCs w:val="20"/>
                <w:lang w:val="en-AU"/>
              </w:rPr>
              <w:t>Chemotherapy/palliation</w:t>
            </w:r>
            <w:r w:rsidRPr="0052532F">
              <w:rPr>
                <w:szCs w:val="20"/>
                <w:lang w:val="en-AU"/>
              </w:rPr>
              <w:t>; N=8)</w:t>
            </w:r>
          </w:p>
        </w:tc>
        <w:tc>
          <w:tcPr>
            <w:tcW w:w="2126" w:type="dxa"/>
            <w:vMerge/>
            <w:vAlign w:val="center"/>
          </w:tcPr>
          <w:p w14:paraId="0BA294D9"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r>
      <w:tr w:rsidR="00940151" w:rsidRPr="0052532F" w14:paraId="1CE466B3" w14:textId="77777777" w:rsidTr="375F5CCE">
        <w:tc>
          <w:tcPr>
            <w:tcW w:w="1980" w:type="dxa"/>
            <w:vMerge w:val="restart"/>
            <w:vAlign w:val="center"/>
          </w:tcPr>
          <w:p w14:paraId="44FFC88C" w14:textId="43F0034A" w:rsidR="00940151" w:rsidRPr="0052532F" w:rsidRDefault="00940151" w:rsidP="00B70B76">
            <w:pPr>
              <w:pStyle w:val="KMC16-Tablecontent"/>
              <w:keepNext/>
              <w:keepLines/>
              <w:rPr>
                <w:szCs w:val="20"/>
                <w:lang w:val="en-AU"/>
              </w:rPr>
            </w:pPr>
            <w:r w:rsidRPr="0052532F">
              <w:rPr>
                <w:szCs w:val="20"/>
                <w:lang w:val="en-AU"/>
              </w:rPr>
              <w:t xml:space="preserve">3. Adding the Wieczorek (2023) data to </w:t>
            </w:r>
            <w:r w:rsidR="00C510FD">
              <w:rPr>
                <w:szCs w:val="20"/>
                <w:lang w:val="en-AU"/>
              </w:rPr>
              <w:t>BEACON-</w:t>
            </w:r>
            <w:proofErr w:type="spellStart"/>
            <w:r w:rsidR="00C510FD">
              <w:rPr>
                <w:szCs w:val="20"/>
                <w:lang w:val="en-AU"/>
              </w:rPr>
              <w:t>Immuno</w:t>
            </w:r>
            <w:proofErr w:type="spellEnd"/>
            <w:r w:rsidRPr="0052532F">
              <w:rPr>
                <w:szCs w:val="20"/>
                <w:lang w:val="en-AU"/>
              </w:rPr>
              <w:t xml:space="preserve"> for PFS</w:t>
            </w:r>
          </w:p>
        </w:tc>
        <w:tc>
          <w:tcPr>
            <w:tcW w:w="993" w:type="dxa"/>
            <w:vAlign w:val="center"/>
          </w:tcPr>
          <w:p w14:paraId="23BD731C" w14:textId="77777777" w:rsidR="00940151" w:rsidRPr="0052532F" w:rsidRDefault="00940151" w:rsidP="00B70B76">
            <w:pPr>
              <w:pStyle w:val="KMC16-Tablecontent"/>
              <w:keepNext/>
              <w:keepLines/>
              <w:jc w:val="center"/>
              <w:rPr>
                <w:szCs w:val="20"/>
                <w:lang w:val="en-AU"/>
              </w:rPr>
            </w:pPr>
            <w:r w:rsidRPr="0052532F">
              <w:rPr>
                <w:color w:val="auto"/>
                <w:szCs w:val="20"/>
              </w:rPr>
              <w:t>PFS</w:t>
            </w:r>
          </w:p>
        </w:tc>
        <w:tc>
          <w:tcPr>
            <w:tcW w:w="2126" w:type="dxa"/>
            <w:vAlign w:val="center"/>
          </w:tcPr>
          <w:p w14:paraId="35F5C141" w14:textId="47AB2FCD" w:rsidR="00940151" w:rsidRDefault="00C510FD" w:rsidP="00B70B76">
            <w:pPr>
              <w:pStyle w:val="KMC16-Tablecontent"/>
              <w:keepNext/>
              <w:keepLines/>
              <w:rPr>
                <w:szCs w:val="20"/>
                <w:lang w:val="en-AU"/>
              </w:rPr>
            </w:pPr>
            <w:r>
              <w:rPr>
                <w:szCs w:val="20"/>
                <w:lang w:val="en-AU"/>
              </w:rPr>
              <w:t>BEACON-</w:t>
            </w:r>
            <w:proofErr w:type="spellStart"/>
            <w:r>
              <w:rPr>
                <w:szCs w:val="20"/>
                <w:lang w:val="en-AU"/>
              </w:rPr>
              <w:t>Immuno</w:t>
            </w:r>
            <w:proofErr w:type="spellEnd"/>
            <w:r w:rsidR="00940151" w:rsidRPr="0052532F">
              <w:rPr>
                <w:szCs w:val="20"/>
                <w:lang w:val="en-AU"/>
              </w:rPr>
              <w:t xml:space="preserve"> </w:t>
            </w:r>
            <w:r w:rsidR="00940151">
              <w:rPr>
                <w:szCs w:val="20"/>
                <w:lang w:val="en-AU"/>
              </w:rPr>
              <w:br/>
            </w:r>
            <w:r w:rsidR="00940151" w:rsidRPr="0052532F">
              <w:rPr>
                <w:szCs w:val="20"/>
                <w:lang w:val="en-AU"/>
              </w:rPr>
              <w:t>(</w:t>
            </w:r>
            <w:r w:rsidR="00940151">
              <w:rPr>
                <w:szCs w:val="20"/>
                <w:lang w:val="en-AU"/>
              </w:rPr>
              <w:t>D</w:t>
            </w:r>
            <w:r w:rsidR="00940151" w:rsidRPr="0052532F">
              <w:rPr>
                <w:szCs w:val="20"/>
                <w:lang w:val="en-AU"/>
              </w:rPr>
              <w:t xml:space="preserve">B; N=43) </w:t>
            </w:r>
          </w:p>
          <w:p w14:paraId="3003AA6A" w14:textId="77777777" w:rsidR="00940151" w:rsidRPr="0052532F" w:rsidRDefault="00940151" w:rsidP="00B70B76">
            <w:pPr>
              <w:pStyle w:val="KMC16-Tablecontent"/>
              <w:keepNext/>
              <w:keepLines/>
              <w:rPr>
                <w:szCs w:val="20"/>
                <w:lang w:val="en-AU"/>
              </w:rPr>
            </w:pPr>
            <w:r w:rsidRPr="0052532F">
              <w:rPr>
                <w:szCs w:val="20"/>
                <w:lang w:val="en-AU"/>
              </w:rPr>
              <w:t>+ Wieczorek (</w:t>
            </w:r>
            <w:r>
              <w:rPr>
                <w:szCs w:val="20"/>
                <w:lang w:val="en-AU"/>
              </w:rPr>
              <w:t>D</w:t>
            </w:r>
            <w:r w:rsidRPr="0052532F">
              <w:rPr>
                <w:szCs w:val="20"/>
                <w:lang w:val="en-AU"/>
              </w:rPr>
              <w:t>B; N=25)</w:t>
            </w:r>
          </w:p>
        </w:tc>
        <w:tc>
          <w:tcPr>
            <w:tcW w:w="2410" w:type="dxa"/>
            <w:vAlign w:val="center"/>
          </w:tcPr>
          <w:p w14:paraId="17AD6925" w14:textId="295AA3BF" w:rsidR="00940151" w:rsidRPr="0052532F" w:rsidRDefault="00C510FD" w:rsidP="00B70B76">
            <w:pPr>
              <w:pStyle w:val="KMC16-Text"/>
              <w:keepNext/>
              <w:keepLines/>
              <w:spacing w:before="40" w:after="40" w:line="240" w:lineRule="auto"/>
              <w:jc w:val="left"/>
              <w:rPr>
                <w:sz w:val="20"/>
                <w:szCs w:val="20"/>
              </w:rPr>
            </w:pPr>
            <w:r>
              <w:rPr>
                <w:rFonts w:ascii="Arial Narrow" w:hAnsi="Arial Narrow"/>
                <w:color w:val="auto"/>
                <w:sz w:val="20"/>
                <w:szCs w:val="20"/>
              </w:rPr>
              <w:t>BEACON-</w:t>
            </w:r>
            <w:proofErr w:type="spellStart"/>
            <w:r>
              <w:rPr>
                <w:rFonts w:ascii="Arial Narrow" w:hAnsi="Arial Narrow"/>
                <w:color w:val="auto"/>
                <w:sz w:val="20"/>
                <w:szCs w:val="20"/>
              </w:rPr>
              <w:t>Immuno</w:t>
            </w:r>
            <w:proofErr w:type="spellEnd"/>
            <w:r w:rsidR="00940151" w:rsidRPr="0052532F">
              <w:rPr>
                <w:rFonts w:ascii="Arial Narrow" w:hAnsi="Arial Narrow"/>
                <w:color w:val="auto"/>
                <w:sz w:val="20"/>
                <w:szCs w:val="20"/>
              </w:rPr>
              <w:br/>
              <w:t>(TOTEM or TIMIRI; N=22)</w:t>
            </w:r>
          </w:p>
        </w:tc>
        <w:tc>
          <w:tcPr>
            <w:tcW w:w="2126" w:type="dxa"/>
            <w:vMerge w:val="restart"/>
            <w:vAlign w:val="center"/>
          </w:tcPr>
          <w:p w14:paraId="72A7729A" w14:textId="7F0A25DD" w:rsidR="00940151" w:rsidRPr="0052532F" w:rsidRDefault="00940151" w:rsidP="00B70B76">
            <w:pPr>
              <w:pStyle w:val="KMC16-Tablecontent"/>
              <w:keepNext/>
              <w:keepLines/>
              <w:rPr>
                <w:szCs w:val="20"/>
                <w:lang w:val="en-AU"/>
              </w:rPr>
            </w:pPr>
            <w:r w:rsidRPr="0052532F">
              <w:rPr>
                <w:color w:val="auto"/>
                <w:szCs w:val="20"/>
              </w:rPr>
              <w:t>$</w:t>
            </w:r>
            <w:r w:rsidR="00142E36" w:rsidRPr="00D403E2">
              <w:rPr>
                <w:b/>
                <w:bCs/>
                <w:color w:val="auto"/>
                <w:szCs w:val="20"/>
              </w:rPr>
              <w:t>redacted</w:t>
            </w:r>
            <w:r w:rsidRPr="0052532F">
              <w:rPr>
                <w:color w:val="auto"/>
                <w:szCs w:val="20"/>
              </w:rPr>
              <w:t xml:space="preserve"> </w:t>
            </w:r>
          </w:p>
        </w:tc>
      </w:tr>
      <w:tr w:rsidR="00940151" w:rsidRPr="0052532F" w14:paraId="72E5F8A3" w14:textId="77777777" w:rsidTr="375F5CCE">
        <w:tc>
          <w:tcPr>
            <w:tcW w:w="1980" w:type="dxa"/>
            <w:vMerge/>
            <w:vAlign w:val="center"/>
          </w:tcPr>
          <w:p w14:paraId="0144921C" w14:textId="77777777" w:rsidR="00940151" w:rsidRPr="0052532F" w:rsidRDefault="00940151" w:rsidP="00B70B76">
            <w:pPr>
              <w:pStyle w:val="KMC16-Tablecontent"/>
              <w:keepNext/>
              <w:keepLines/>
              <w:rPr>
                <w:szCs w:val="20"/>
                <w:lang w:val="en-AU"/>
              </w:rPr>
            </w:pPr>
          </w:p>
        </w:tc>
        <w:tc>
          <w:tcPr>
            <w:tcW w:w="993" w:type="dxa"/>
            <w:vAlign w:val="center"/>
          </w:tcPr>
          <w:p w14:paraId="3EA5EEAD" w14:textId="77777777" w:rsidR="00940151" w:rsidRPr="0052532F" w:rsidRDefault="00940151" w:rsidP="00B70B76">
            <w:pPr>
              <w:pStyle w:val="KMC16-Tablecontent"/>
              <w:keepNext/>
              <w:keepLines/>
              <w:jc w:val="center"/>
              <w:rPr>
                <w:szCs w:val="20"/>
                <w:lang w:val="en-AU"/>
              </w:rPr>
            </w:pPr>
            <w:r w:rsidRPr="0052532F">
              <w:rPr>
                <w:color w:val="auto"/>
                <w:szCs w:val="20"/>
              </w:rPr>
              <w:t>OS</w:t>
            </w:r>
          </w:p>
        </w:tc>
        <w:tc>
          <w:tcPr>
            <w:tcW w:w="2126" w:type="dxa"/>
            <w:vAlign w:val="center"/>
          </w:tcPr>
          <w:p w14:paraId="7EC226A8" w14:textId="77777777"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Pr>
                <w:szCs w:val="20"/>
                <w:lang w:val="en-AU"/>
              </w:rPr>
              <w:t>D</w:t>
            </w:r>
            <w:r w:rsidRPr="0052532F">
              <w:rPr>
                <w:szCs w:val="20"/>
                <w:lang w:val="en-AU"/>
              </w:rPr>
              <w:t>A; N=12)</w:t>
            </w:r>
          </w:p>
        </w:tc>
        <w:tc>
          <w:tcPr>
            <w:tcW w:w="2410" w:type="dxa"/>
            <w:vAlign w:val="center"/>
          </w:tcPr>
          <w:p w14:paraId="7951EF18" w14:textId="1D6E21FE"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sidR="002477F9">
              <w:rPr>
                <w:szCs w:val="20"/>
                <w:lang w:val="en-AU"/>
              </w:rPr>
              <w:t>Chemotherapy/palliation</w:t>
            </w:r>
            <w:r w:rsidRPr="0052532F">
              <w:rPr>
                <w:szCs w:val="20"/>
                <w:lang w:val="en-AU"/>
              </w:rPr>
              <w:t>; N=8)</w:t>
            </w:r>
          </w:p>
        </w:tc>
        <w:tc>
          <w:tcPr>
            <w:tcW w:w="2126" w:type="dxa"/>
            <w:vMerge/>
            <w:vAlign w:val="center"/>
          </w:tcPr>
          <w:p w14:paraId="574E537E" w14:textId="77777777" w:rsidR="00940151" w:rsidRPr="0052532F" w:rsidRDefault="00940151" w:rsidP="00B70B76">
            <w:pPr>
              <w:pStyle w:val="KMC16-Tablecontent"/>
              <w:keepNext/>
              <w:keepLines/>
              <w:rPr>
                <w:szCs w:val="20"/>
                <w:lang w:val="en-AU"/>
              </w:rPr>
            </w:pPr>
          </w:p>
        </w:tc>
      </w:tr>
      <w:bookmarkEnd w:id="46"/>
      <w:tr w:rsidR="00940151" w:rsidRPr="0052532F" w14:paraId="367DECA2" w14:textId="77777777" w:rsidTr="375F5CCE">
        <w:tc>
          <w:tcPr>
            <w:tcW w:w="1980" w:type="dxa"/>
            <w:vMerge w:val="restart"/>
            <w:vAlign w:val="center"/>
          </w:tcPr>
          <w:p w14:paraId="7B808CAF"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 xml:space="preserve">4. </w:t>
            </w:r>
            <w:r w:rsidRPr="0052532F">
              <w:rPr>
                <w:rFonts w:ascii="Arial Narrow" w:hAnsi="Arial Narrow"/>
                <w:b/>
                <w:bCs/>
                <w:color w:val="auto"/>
                <w:sz w:val="20"/>
                <w:szCs w:val="20"/>
              </w:rPr>
              <w:t xml:space="preserve">Base case </w:t>
            </w:r>
          </w:p>
        </w:tc>
        <w:tc>
          <w:tcPr>
            <w:tcW w:w="993" w:type="dxa"/>
            <w:vAlign w:val="center"/>
          </w:tcPr>
          <w:p w14:paraId="0DA1FF00"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PFS</w:t>
            </w:r>
          </w:p>
        </w:tc>
        <w:tc>
          <w:tcPr>
            <w:tcW w:w="2126" w:type="dxa"/>
            <w:vAlign w:val="center"/>
          </w:tcPr>
          <w:p w14:paraId="1AC06C5B" w14:textId="1CB23FE1" w:rsidR="00940151" w:rsidRDefault="00C510FD" w:rsidP="00B70B76">
            <w:pPr>
              <w:pStyle w:val="KMC16-Tablecontent"/>
              <w:keepNext/>
              <w:keepLines/>
              <w:rPr>
                <w:szCs w:val="20"/>
                <w:lang w:val="en-AU"/>
              </w:rPr>
            </w:pPr>
            <w:r>
              <w:rPr>
                <w:szCs w:val="20"/>
                <w:lang w:val="en-AU"/>
              </w:rPr>
              <w:t>BEACON-</w:t>
            </w:r>
            <w:proofErr w:type="spellStart"/>
            <w:r>
              <w:rPr>
                <w:szCs w:val="20"/>
                <w:lang w:val="en-AU"/>
              </w:rPr>
              <w:t>Immuno</w:t>
            </w:r>
            <w:proofErr w:type="spellEnd"/>
            <w:r w:rsidR="00940151" w:rsidRPr="0052532F">
              <w:rPr>
                <w:szCs w:val="20"/>
                <w:lang w:val="en-AU"/>
              </w:rPr>
              <w:t xml:space="preserve"> </w:t>
            </w:r>
            <w:r w:rsidR="00940151">
              <w:rPr>
                <w:szCs w:val="20"/>
                <w:lang w:val="en-AU"/>
              </w:rPr>
              <w:br/>
            </w:r>
            <w:r w:rsidR="00940151" w:rsidRPr="0052532F">
              <w:rPr>
                <w:szCs w:val="20"/>
                <w:lang w:val="en-AU"/>
              </w:rPr>
              <w:t>(</w:t>
            </w:r>
            <w:r w:rsidR="00940151">
              <w:rPr>
                <w:szCs w:val="20"/>
                <w:lang w:val="en-AU"/>
              </w:rPr>
              <w:t>D</w:t>
            </w:r>
            <w:r w:rsidR="00940151" w:rsidRPr="0052532F">
              <w:rPr>
                <w:szCs w:val="20"/>
                <w:lang w:val="en-AU"/>
              </w:rPr>
              <w:t xml:space="preserve">B; N=43) </w:t>
            </w:r>
          </w:p>
          <w:p w14:paraId="6309B23A" w14:textId="77777777" w:rsidR="00940151" w:rsidRPr="0052532F" w:rsidRDefault="00940151" w:rsidP="00B70B76">
            <w:pPr>
              <w:pStyle w:val="KMC16-Tablecontent"/>
              <w:keepNext/>
              <w:keepLines/>
              <w:rPr>
                <w:color w:val="auto"/>
                <w:szCs w:val="20"/>
              </w:rPr>
            </w:pPr>
            <w:r w:rsidRPr="0052532F">
              <w:rPr>
                <w:szCs w:val="20"/>
                <w:lang w:val="en-AU"/>
              </w:rPr>
              <w:t>+ Wieczorek (</w:t>
            </w:r>
            <w:r>
              <w:rPr>
                <w:szCs w:val="20"/>
                <w:lang w:val="en-AU"/>
              </w:rPr>
              <w:t>D</w:t>
            </w:r>
            <w:r w:rsidRPr="0052532F">
              <w:rPr>
                <w:szCs w:val="20"/>
                <w:lang w:val="en-AU"/>
              </w:rPr>
              <w:t>B; N=25)</w:t>
            </w:r>
          </w:p>
        </w:tc>
        <w:tc>
          <w:tcPr>
            <w:tcW w:w="2410" w:type="dxa"/>
            <w:vAlign w:val="center"/>
          </w:tcPr>
          <w:p w14:paraId="06074CBE" w14:textId="030AA5F9" w:rsidR="00940151" w:rsidRDefault="00C510FD" w:rsidP="00B70B76">
            <w:pPr>
              <w:pStyle w:val="KMC16-Tablecontent"/>
              <w:keepNext/>
              <w:keepLines/>
              <w:rPr>
                <w:color w:val="auto"/>
                <w:szCs w:val="20"/>
              </w:rPr>
            </w:pPr>
            <w:r>
              <w:rPr>
                <w:color w:val="auto"/>
                <w:szCs w:val="20"/>
              </w:rPr>
              <w:t>BEACON-</w:t>
            </w:r>
            <w:proofErr w:type="spellStart"/>
            <w:r>
              <w:rPr>
                <w:color w:val="auto"/>
                <w:szCs w:val="20"/>
              </w:rPr>
              <w:t>Immuno</w:t>
            </w:r>
            <w:proofErr w:type="spellEnd"/>
            <w:r w:rsidR="00940151">
              <w:rPr>
                <w:color w:val="auto"/>
                <w:szCs w:val="20"/>
              </w:rPr>
              <w:br/>
            </w:r>
            <w:r w:rsidR="00940151" w:rsidRPr="0052532F">
              <w:rPr>
                <w:color w:val="auto"/>
                <w:szCs w:val="20"/>
              </w:rPr>
              <w:t>(TOTEM or TIMIRI; N=22)</w:t>
            </w:r>
          </w:p>
          <w:p w14:paraId="6117B730" w14:textId="77777777" w:rsidR="00940151" w:rsidRPr="0052532F" w:rsidRDefault="00940151" w:rsidP="00B70B76">
            <w:pPr>
              <w:pStyle w:val="KMC16-Tablecontent"/>
              <w:keepNext/>
              <w:keepLines/>
              <w:rPr>
                <w:color w:val="auto"/>
                <w:szCs w:val="20"/>
              </w:rPr>
            </w:pPr>
            <w:r w:rsidRPr="0052532F">
              <w:rPr>
                <w:color w:val="auto"/>
                <w:szCs w:val="20"/>
              </w:rPr>
              <w:t xml:space="preserve"> + 1 comparator arm (ANBL 1221, N=18)</w:t>
            </w:r>
            <w:r w:rsidRPr="0052532F">
              <w:rPr>
                <w:color w:val="auto"/>
                <w:szCs w:val="20"/>
                <w:vertAlign w:val="superscript"/>
              </w:rPr>
              <w:t>2</w:t>
            </w:r>
            <w:r w:rsidRPr="0052532F">
              <w:rPr>
                <w:color w:val="auto"/>
                <w:szCs w:val="20"/>
              </w:rPr>
              <w:t xml:space="preserve"> and 4 single arm studies</w:t>
            </w:r>
            <w:r w:rsidRPr="0052532F">
              <w:rPr>
                <w:color w:val="auto"/>
                <w:szCs w:val="20"/>
                <w:vertAlign w:val="superscript"/>
              </w:rPr>
              <w:t>3</w:t>
            </w:r>
            <w:r w:rsidRPr="0052532F">
              <w:rPr>
                <w:color w:val="auto"/>
                <w:szCs w:val="20"/>
              </w:rPr>
              <w:t xml:space="preserve"> (chemotherapy; N=223)</w:t>
            </w:r>
          </w:p>
        </w:tc>
        <w:tc>
          <w:tcPr>
            <w:tcW w:w="2126" w:type="dxa"/>
            <w:vMerge w:val="restart"/>
            <w:vAlign w:val="center"/>
          </w:tcPr>
          <w:p w14:paraId="65DBA60B" w14:textId="0568FAE1" w:rsidR="00940151" w:rsidRPr="0052532F" w:rsidRDefault="00940151" w:rsidP="00B70B76">
            <w:pPr>
              <w:pStyle w:val="KMC16-Text"/>
              <w:keepNext/>
              <w:keepLines/>
              <w:spacing w:before="40" w:after="40" w:line="240" w:lineRule="auto"/>
              <w:jc w:val="left"/>
              <w:rPr>
                <w:rFonts w:ascii="Arial Narrow" w:hAnsi="Arial Narrow"/>
                <w:b/>
                <w:bCs/>
                <w:color w:val="auto"/>
                <w:sz w:val="20"/>
                <w:szCs w:val="20"/>
              </w:rPr>
            </w:pPr>
            <w:r w:rsidRPr="0052532F">
              <w:rPr>
                <w:rFonts w:ascii="Arial Narrow" w:hAnsi="Arial Narrow"/>
                <w:b/>
                <w:bCs/>
                <w:color w:val="auto"/>
                <w:sz w:val="20"/>
                <w:szCs w:val="20"/>
              </w:rPr>
              <w:t>$</w:t>
            </w:r>
            <w:r w:rsidR="00142E36" w:rsidRPr="00D403E2">
              <w:rPr>
                <w:rFonts w:ascii="Arial Narrow" w:hAnsi="Arial Narrow"/>
                <w:b/>
                <w:bCs/>
                <w:color w:val="auto"/>
                <w:sz w:val="20"/>
                <w:szCs w:val="20"/>
              </w:rPr>
              <w:t>redacted</w:t>
            </w:r>
          </w:p>
        </w:tc>
      </w:tr>
      <w:tr w:rsidR="00940151" w:rsidRPr="0052532F" w14:paraId="47D881A0" w14:textId="77777777" w:rsidTr="375F5CCE">
        <w:tc>
          <w:tcPr>
            <w:tcW w:w="1980" w:type="dxa"/>
            <w:vMerge/>
            <w:vAlign w:val="center"/>
          </w:tcPr>
          <w:p w14:paraId="17EBC744"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c>
          <w:tcPr>
            <w:tcW w:w="993" w:type="dxa"/>
            <w:vAlign w:val="center"/>
          </w:tcPr>
          <w:p w14:paraId="4B4828F6"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OS</w:t>
            </w:r>
          </w:p>
        </w:tc>
        <w:tc>
          <w:tcPr>
            <w:tcW w:w="2126" w:type="dxa"/>
            <w:vAlign w:val="center"/>
          </w:tcPr>
          <w:p w14:paraId="2A58341E" w14:textId="77777777"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Pr>
                <w:szCs w:val="20"/>
                <w:lang w:val="en-AU"/>
              </w:rPr>
              <w:t>D</w:t>
            </w:r>
            <w:r w:rsidRPr="0052532F">
              <w:rPr>
                <w:szCs w:val="20"/>
                <w:lang w:val="en-AU"/>
              </w:rPr>
              <w:t>A; N=12)</w:t>
            </w:r>
          </w:p>
        </w:tc>
        <w:tc>
          <w:tcPr>
            <w:tcW w:w="2410" w:type="dxa"/>
            <w:vAlign w:val="center"/>
          </w:tcPr>
          <w:p w14:paraId="14D43912" w14:textId="131EBE10"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sidR="002477F9">
              <w:rPr>
                <w:szCs w:val="20"/>
                <w:lang w:val="en-AU"/>
              </w:rPr>
              <w:t>Chemotherapy/palliation</w:t>
            </w:r>
            <w:r w:rsidR="002477F9" w:rsidRPr="0052532F">
              <w:rPr>
                <w:szCs w:val="20"/>
                <w:lang w:val="en-AU"/>
              </w:rPr>
              <w:t>;</w:t>
            </w:r>
            <w:r w:rsidRPr="0052532F">
              <w:rPr>
                <w:szCs w:val="20"/>
                <w:lang w:val="en-AU"/>
              </w:rPr>
              <w:t xml:space="preserve"> N=8)</w:t>
            </w:r>
          </w:p>
        </w:tc>
        <w:tc>
          <w:tcPr>
            <w:tcW w:w="2126" w:type="dxa"/>
            <w:vMerge/>
            <w:vAlign w:val="center"/>
          </w:tcPr>
          <w:p w14:paraId="2C9E16AC"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r>
      <w:tr w:rsidR="00940151" w:rsidRPr="0052532F" w14:paraId="11A8B9A1" w14:textId="77777777" w:rsidTr="375F5CCE">
        <w:tc>
          <w:tcPr>
            <w:tcW w:w="1980" w:type="dxa"/>
            <w:vMerge w:val="restart"/>
            <w:vAlign w:val="center"/>
          </w:tcPr>
          <w:p w14:paraId="57F1B95B" w14:textId="41175C3A" w:rsidR="00940151" w:rsidRPr="0052532F" w:rsidRDefault="00940151" w:rsidP="375F5CCE">
            <w:pPr>
              <w:pStyle w:val="KMC16-Text"/>
              <w:keepNext/>
              <w:keepLines/>
              <w:spacing w:before="40" w:after="40" w:line="240" w:lineRule="auto"/>
              <w:jc w:val="left"/>
              <w:rPr>
                <w:rFonts w:ascii="Arial Narrow" w:hAnsi="Arial Narrow"/>
                <w:color w:val="auto"/>
                <w:sz w:val="20"/>
                <w:szCs w:val="20"/>
              </w:rPr>
            </w:pPr>
            <w:r w:rsidRPr="375F5CCE">
              <w:rPr>
                <w:rFonts w:ascii="Arial Narrow" w:hAnsi="Arial Narrow"/>
                <w:color w:val="auto"/>
                <w:sz w:val="20"/>
                <w:szCs w:val="20"/>
              </w:rPr>
              <w:t xml:space="preserve">5. For completeness, Wieczorek (2023) DB data rather than </w:t>
            </w:r>
            <w:r w:rsidR="00C510FD" w:rsidRPr="375F5CCE">
              <w:rPr>
                <w:rFonts w:ascii="Arial Narrow" w:hAnsi="Arial Narrow"/>
                <w:color w:val="auto"/>
                <w:sz w:val="20"/>
                <w:szCs w:val="20"/>
              </w:rPr>
              <w:t>BEACON-</w:t>
            </w:r>
            <w:proofErr w:type="spellStart"/>
            <w:r w:rsidR="00C510FD" w:rsidRPr="375F5CCE">
              <w:rPr>
                <w:rFonts w:ascii="Arial Narrow" w:hAnsi="Arial Narrow"/>
                <w:color w:val="auto"/>
                <w:sz w:val="20"/>
                <w:szCs w:val="20"/>
              </w:rPr>
              <w:t>Immuno</w:t>
            </w:r>
            <w:proofErr w:type="spellEnd"/>
            <w:r w:rsidRPr="375F5CCE">
              <w:rPr>
                <w:rFonts w:ascii="Arial Narrow" w:hAnsi="Arial Narrow"/>
                <w:color w:val="auto"/>
                <w:sz w:val="20"/>
                <w:szCs w:val="20"/>
              </w:rPr>
              <w:t xml:space="preserve"> (N=43)</w:t>
            </w:r>
            <w:r w:rsidRPr="375F5CCE">
              <w:rPr>
                <w:color w:val="auto"/>
                <w:sz w:val="20"/>
                <w:szCs w:val="20"/>
              </w:rPr>
              <w:t xml:space="preserve"> </w:t>
            </w:r>
            <w:r w:rsidRPr="375F5CCE">
              <w:rPr>
                <w:rFonts w:ascii="Arial Narrow" w:hAnsi="Arial Narrow"/>
                <w:color w:val="auto"/>
                <w:sz w:val="20"/>
                <w:szCs w:val="20"/>
              </w:rPr>
              <w:t>was used for PFS analysis</w:t>
            </w:r>
          </w:p>
        </w:tc>
        <w:tc>
          <w:tcPr>
            <w:tcW w:w="993" w:type="dxa"/>
            <w:vAlign w:val="center"/>
          </w:tcPr>
          <w:p w14:paraId="6F60B6EA"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PFS</w:t>
            </w:r>
          </w:p>
        </w:tc>
        <w:tc>
          <w:tcPr>
            <w:tcW w:w="2126" w:type="dxa"/>
            <w:vAlign w:val="center"/>
          </w:tcPr>
          <w:p w14:paraId="6C562D8F" w14:textId="77777777" w:rsidR="00940151" w:rsidRPr="0052532F" w:rsidRDefault="00940151" w:rsidP="00B70B76">
            <w:pPr>
              <w:pStyle w:val="KMC16-Tablecontent"/>
              <w:keepNext/>
              <w:keepLines/>
              <w:rPr>
                <w:szCs w:val="20"/>
                <w:lang w:val="en-AU"/>
              </w:rPr>
            </w:pPr>
            <w:r w:rsidRPr="0052532F">
              <w:rPr>
                <w:color w:val="auto"/>
                <w:szCs w:val="20"/>
              </w:rPr>
              <w:t>Wieczorek (</w:t>
            </w:r>
            <w:r>
              <w:rPr>
                <w:color w:val="auto"/>
                <w:szCs w:val="20"/>
              </w:rPr>
              <w:t>D</w:t>
            </w:r>
            <w:r w:rsidRPr="0052532F">
              <w:rPr>
                <w:color w:val="auto"/>
                <w:szCs w:val="20"/>
              </w:rPr>
              <w:t>B; N=25)</w:t>
            </w:r>
          </w:p>
        </w:tc>
        <w:tc>
          <w:tcPr>
            <w:tcW w:w="2410" w:type="dxa"/>
            <w:vAlign w:val="center"/>
          </w:tcPr>
          <w:p w14:paraId="411EBF36" w14:textId="20A89281" w:rsidR="00940151" w:rsidRPr="0052532F" w:rsidRDefault="00C510FD" w:rsidP="00B70B76">
            <w:pPr>
              <w:pStyle w:val="KMC16-Tablecontent"/>
              <w:keepNext/>
              <w:keepLines/>
              <w:rPr>
                <w:szCs w:val="20"/>
                <w:lang w:val="en-AU"/>
              </w:rPr>
            </w:pPr>
            <w:r>
              <w:rPr>
                <w:color w:val="auto"/>
                <w:szCs w:val="20"/>
              </w:rPr>
              <w:t>BEACON-</w:t>
            </w:r>
            <w:proofErr w:type="spellStart"/>
            <w:r>
              <w:rPr>
                <w:color w:val="auto"/>
                <w:szCs w:val="20"/>
              </w:rPr>
              <w:t>Immuno</w:t>
            </w:r>
            <w:proofErr w:type="spellEnd"/>
            <w:r w:rsidR="00940151">
              <w:rPr>
                <w:color w:val="auto"/>
                <w:szCs w:val="20"/>
              </w:rPr>
              <w:br/>
            </w:r>
            <w:r w:rsidR="00940151" w:rsidRPr="0052532F">
              <w:rPr>
                <w:color w:val="auto"/>
                <w:szCs w:val="20"/>
              </w:rPr>
              <w:t>(TOTEM or TIMIRI; N=22)</w:t>
            </w:r>
          </w:p>
        </w:tc>
        <w:tc>
          <w:tcPr>
            <w:tcW w:w="2126" w:type="dxa"/>
            <w:vMerge w:val="restart"/>
            <w:vAlign w:val="center"/>
          </w:tcPr>
          <w:p w14:paraId="539A429F" w14:textId="1DB389DF"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sidRPr="0052532F">
              <w:rPr>
                <w:rFonts w:ascii="Arial Narrow" w:hAnsi="Arial Narrow"/>
                <w:color w:val="auto"/>
                <w:sz w:val="20"/>
                <w:szCs w:val="20"/>
              </w:rPr>
              <w:t xml:space="preserve"> (AIC=23.2% - lognormal distribution for PFS in the dB arm from Wieczorek, 2023)</w:t>
            </w:r>
          </w:p>
          <w:p w14:paraId="5FFABCF4"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p w14:paraId="312FCBC3" w14:textId="73538C55"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sidR="00EC150A" w:rsidRPr="00D403E2">
              <w:rPr>
                <w:rFonts w:ascii="Arial Narrow" w:hAnsi="Arial Narrow"/>
                <w:b/>
                <w:bCs/>
                <w:color w:val="auto"/>
                <w:sz w:val="20"/>
                <w:szCs w:val="20"/>
              </w:rPr>
              <w:t xml:space="preserve"> (</w:t>
            </w:r>
            <w:r w:rsidRPr="0052532F">
              <w:rPr>
                <w:rFonts w:ascii="Arial Narrow" w:hAnsi="Arial Narrow"/>
                <w:color w:val="auto"/>
                <w:sz w:val="20"/>
                <w:szCs w:val="20"/>
              </w:rPr>
              <w:t>AIC=23.1% -exponential distribution in the dB arm from Wieczorek, 2023)</w:t>
            </w:r>
          </w:p>
        </w:tc>
      </w:tr>
      <w:tr w:rsidR="00940151" w:rsidRPr="0052532F" w14:paraId="520DF0A8" w14:textId="77777777" w:rsidTr="375F5CCE">
        <w:tc>
          <w:tcPr>
            <w:tcW w:w="1980" w:type="dxa"/>
            <w:vMerge/>
            <w:vAlign w:val="center"/>
          </w:tcPr>
          <w:p w14:paraId="10E61B66"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c>
          <w:tcPr>
            <w:tcW w:w="993" w:type="dxa"/>
            <w:vAlign w:val="center"/>
          </w:tcPr>
          <w:p w14:paraId="66B5DD96"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OS</w:t>
            </w:r>
          </w:p>
        </w:tc>
        <w:tc>
          <w:tcPr>
            <w:tcW w:w="2126" w:type="dxa"/>
            <w:vAlign w:val="center"/>
          </w:tcPr>
          <w:p w14:paraId="6A02B2E9" w14:textId="77777777"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Pr>
                <w:szCs w:val="20"/>
                <w:lang w:val="en-AU"/>
              </w:rPr>
              <w:t>D</w:t>
            </w:r>
            <w:r w:rsidRPr="0052532F">
              <w:rPr>
                <w:szCs w:val="20"/>
                <w:lang w:val="en-AU"/>
              </w:rPr>
              <w:t>A; N=12)</w:t>
            </w:r>
          </w:p>
        </w:tc>
        <w:tc>
          <w:tcPr>
            <w:tcW w:w="2410" w:type="dxa"/>
            <w:vAlign w:val="center"/>
          </w:tcPr>
          <w:p w14:paraId="0496724F" w14:textId="031D38F5"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sidR="002477F9">
              <w:rPr>
                <w:szCs w:val="20"/>
                <w:lang w:val="en-AU"/>
              </w:rPr>
              <w:t>Chemotherapy/palliation</w:t>
            </w:r>
            <w:r w:rsidR="002477F9" w:rsidRPr="0052532F">
              <w:rPr>
                <w:szCs w:val="20"/>
                <w:lang w:val="en-AU"/>
              </w:rPr>
              <w:t>;</w:t>
            </w:r>
            <w:r w:rsidRPr="0052532F">
              <w:rPr>
                <w:szCs w:val="20"/>
                <w:lang w:val="en-AU"/>
              </w:rPr>
              <w:t xml:space="preserve"> N=8)</w:t>
            </w:r>
          </w:p>
        </w:tc>
        <w:tc>
          <w:tcPr>
            <w:tcW w:w="2126" w:type="dxa"/>
            <w:vMerge/>
            <w:vAlign w:val="center"/>
          </w:tcPr>
          <w:p w14:paraId="1AABF620"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r>
      <w:tr w:rsidR="00940151" w:rsidRPr="0052532F" w14:paraId="2E790E9A" w14:textId="77777777" w:rsidTr="375F5CCE">
        <w:tc>
          <w:tcPr>
            <w:tcW w:w="1980" w:type="dxa"/>
            <w:vMerge w:val="restart"/>
            <w:vAlign w:val="center"/>
          </w:tcPr>
          <w:p w14:paraId="7BD63E5C"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 xml:space="preserve">6. Five alternative analyses, where PFS in the control arm was informed by a single study from the collection of 6 studies in the base case </w:t>
            </w:r>
          </w:p>
        </w:tc>
        <w:tc>
          <w:tcPr>
            <w:tcW w:w="993" w:type="dxa"/>
            <w:vAlign w:val="center"/>
          </w:tcPr>
          <w:p w14:paraId="65234DC0"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PFS</w:t>
            </w:r>
          </w:p>
        </w:tc>
        <w:tc>
          <w:tcPr>
            <w:tcW w:w="2126" w:type="dxa"/>
            <w:vAlign w:val="center"/>
          </w:tcPr>
          <w:p w14:paraId="166AA22F" w14:textId="3D81803C" w:rsidR="00940151" w:rsidRPr="007D3695" w:rsidRDefault="00C510FD" w:rsidP="00B70B76">
            <w:pPr>
              <w:pStyle w:val="KMC16-Tablecontent"/>
              <w:keepNext/>
              <w:keepLines/>
              <w:rPr>
                <w:color w:val="auto"/>
                <w:szCs w:val="20"/>
              </w:rPr>
            </w:pPr>
            <w:r>
              <w:rPr>
                <w:szCs w:val="20"/>
                <w:lang w:val="en-AU"/>
              </w:rPr>
              <w:t>BEACON-</w:t>
            </w:r>
            <w:proofErr w:type="spellStart"/>
            <w:r>
              <w:rPr>
                <w:szCs w:val="20"/>
                <w:lang w:val="en-AU"/>
              </w:rPr>
              <w:t>Immuno</w:t>
            </w:r>
            <w:proofErr w:type="spellEnd"/>
            <w:r w:rsidR="00940151" w:rsidRPr="0052532F">
              <w:rPr>
                <w:szCs w:val="20"/>
                <w:lang w:val="en-AU"/>
              </w:rPr>
              <w:t xml:space="preserve"> </w:t>
            </w:r>
            <w:r w:rsidR="00940151">
              <w:rPr>
                <w:szCs w:val="20"/>
                <w:lang w:val="en-AU"/>
              </w:rPr>
              <w:br/>
            </w:r>
            <w:r w:rsidR="00940151" w:rsidRPr="0052532F">
              <w:rPr>
                <w:szCs w:val="20"/>
                <w:lang w:val="en-AU"/>
              </w:rPr>
              <w:t>(</w:t>
            </w:r>
            <w:r w:rsidR="00940151">
              <w:rPr>
                <w:szCs w:val="20"/>
                <w:lang w:val="en-AU"/>
              </w:rPr>
              <w:t>D</w:t>
            </w:r>
            <w:r w:rsidR="00940151" w:rsidRPr="0052532F">
              <w:rPr>
                <w:szCs w:val="20"/>
                <w:lang w:val="en-AU"/>
              </w:rPr>
              <w:t>B; N=43)</w:t>
            </w:r>
          </w:p>
        </w:tc>
        <w:tc>
          <w:tcPr>
            <w:tcW w:w="2410" w:type="dxa"/>
            <w:vAlign w:val="center"/>
          </w:tcPr>
          <w:p w14:paraId="13DC99FA" w14:textId="632F8B3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380E4DCE">
              <w:rPr>
                <w:rFonts w:ascii="Arial Narrow" w:hAnsi="Arial Narrow"/>
                <w:color w:val="auto"/>
                <w:sz w:val="20"/>
                <w:szCs w:val="20"/>
              </w:rPr>
              <w:t>1.BE</w:t>
            </w:r>
            <w:r w:rsidR="004F1202">
              <w:rPr>
                <w:rFonts w:ascii="Arial Narrow" w:hAnsi="Arial Narrow"/>
                <w:color w:val="auto"/>
                <w:sz w:val="20"/>
                <w:szCs w:val="20"/>
              </w:rPr>
              <w:t>A</w:t>
            </w:r>
            <w:r w:rsidRPr="380E4DCE">
              <w:rPr>
                <w:rFonts w:ascii="Arial Narrow" w:hAnsi="Arial Narrow"/>
                <w:color w:val="auto"/>
                <w:sz w:val="20"/>
                <w:szCs w:val="20"/>
              </w:rPr>
              <w:t>CON</w:t>
            </w:r>
            <w:r w:rsidR="004F1202">
              <w:rPr>
                <w:rFonts w:ascii="Arial Narrow" w:hAnsi="Arial Narrow"/>
                <w:color w:val="auto"/>
                <w:sz w:val="20"/>
                <w:szCs w:val="20"/>
              </w:rPr>
              <w:t>-</w:t>
            </w:r>
            <w:r w:rsidRPr="380E4DCE">
              <w:rPr>
                <w:rFonts w:ascii="Arial Narrow" w:hAnsi="Arial Narrow"/>
                <w:color w:val="auto"/>
                <w:sz w:val="20"/>
                <w:szCs w:val="20"/>
              </w:rPr>
              <w:t>1</w:t>
            </w:r>
            <w:r w:rsidRPr="380E4DCE">
              <w:rPr>
                <w:sz w:val="20"/>
                <w:szCs w:val="20"/>
              </w:rPr>
              <w:t xml:space="preserve"> </w:t>
            </w:r>
            <w:r>
              <w:br/>
            </w:r>
            <w:r w:rsidRPr="380E4DCE">
              <w:rPr>
                <w:sz w:val="20"/>
                <w:szCs w:val="20"/>
              </w:rPr>
              <w:t>(</w:t>
            </w:r>
            <w:r w:rsidRPr="380E4DCE">
              <w:rPr>
                <w:rFonts w:ascii="Arial Narrow" w:hAnsi="Arial Narrow"/>
                <w:color w:val="auto"/>
                <w:sz w:val="20"/>
                <w:szCs w:val="20"/>
              </w:rPr>
              <w:t>TOTEM and TEMIRI N=80)</w:t>
            </w:r>
          </w:p>
          <w:p w14:paraId="110BC871"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2. ANBL 1221 (N=18)</w:t>
            </w:r>
          </w:p>
          <w:p w14:paraId="0C154882" w14:textId="3A101B54"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3.</w:t>
            </w:r>
            <w:r w:rsidR="0020240C">
              <w:rPr>
                <w:rFonts w:ascii="Arial Narrow" w:hAnsi="Arial Narrow"/>
                <w:color w:val="auto"/>
                <w:sz w:val="20"/>
                <w:szCs w:val="20"/>
              </w:rPr>
              <w:t>Bagatell</w:t>
            </w:r>
            <w:r w:rsidRPr="0052532F">
              <w:rPr>
                <w:rFonts w:ascii="Arial Narrow" w:hAnsi="Arial Narrow"/>
                <w:color w:val="auto"/>
                <w:sz w:val="20"/>
                <w:szCs w:val="20"/>
              </w:rPr>
              <w:t xml:space="preserve"> (N=52)</w:t>
            </w:r>
          </w:p>
          <w:p w14:paraId="278B5235"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4.DuBois (N=32)</w:t>
            </w:r>
          </w:p>
          <w:p w14:paraId="26DD90D3"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 xml:space="preserve">5.Di </w:t>
            </w:r>
            <w:proofErr w:type="spellStart"/>
            <w:r w:rsidRPr="0052532F">
              <w:rPr>
                <w:rFonts w:ascii="Arial Narrow" w:hAnsi="Arial Narrow"/>
                <w:color w:val="auto"/>
                <w:sz w:val="20"/>
                <w:szCs w:val="20"/>
              </w:rPr>
              <w:t>Giannatale</w:t>
            </w:r>
            <w:proofErr w:type="spellEnd"/>
            <w:r w:rsidRPr="0052532F">
              <w:rPr>
                <w:rFonts w:ascii="Arial Narrow" w:hAnsi="Arial Narrow"/>
                <w:color w:val="auto"/>
                <w:sz w:val="20"/>
                <w:szCs w:val="20"/>
              </w:rPr>
              <w:t xml:space="preserve"> (N=38)</w:t>
            </w:r>
          </w:p>
        </w:tc>
        <w:tc>
          <w:tcPr>
            <w:tcW w:w="2126" w:type="dxa"/>
            <w:vMerge w:val="restart"/>
          </w:tcPr>
          <w:p w14:paraId="1D09B2C4" w14:textId="6FB59A78"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Pr>
                <w:rFonts w:ascii="Arial Narrow" w:hAnsi="Arial Narrow"/>
                <w:color w:val="auto"/>
                <w:sz w:val="20"/>
                <w:szCs w:val="20"/>
              </w:rPr>
              <w:br/>
            </w:r>
          </w:p>
          <w:p w14:paraId="181BC0F4" w14:textId="241D109A"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p>
          <w:p w14:paraId="7BC60982" w14:textId="12B9B402"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p>
          <w:p w14:paraId="7767BB41" w14:textId="0D14C3E6" w:rsidR="00940151" w:rsidRPr="007D3695" w:rsidRDefault="00940151" w:rsidP="00B70B76">
            <w:pPr>
              <w:pStyle w:val="KMC16-Text"/>
              <w:keepNext/>
              <w:keepLines/>
              <w:spacing w:before="40" w:after="40" w:line="240" w:lineRule="auto"/>
              <w:jc w:val="left"/>
              <w:rPr>
                <w:sz w:val="20"/>
                <w:szCs w:val="20"/>
                <w:vertAlign w:val="superscript"/>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sidRPr="007D3695">
              <w:rPr>
                <w:rFonts w:ascii="Arial Narrow" w:hAnsi="Arial Narrow"/>
                <w:color w:val="auto"/>
                <w:sz w:val="20"/>
                <w:szCs w:val="20"/>
                <w:vertAlign w:val="superscript"/>
              </w:rPr>
              <w:t>4</w:t>
            </w:r>
            <w:r w:rsidRPr="007D3695">
              <w:rPr>
                <w:sz w:val="20"/>
                <w:szCs w:val="20"/>
                <w:vertAlign w:val="superscript"/>
              </w:rPr>
              <w:t xml:space="preserve"> </w:t>
            </w:r>
          </w:p>
          <w:p w14:paraId="6187B6B4" w14:textId="33304828"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r w:rsidRPr="0052532F">
              <w:rPr>
                <w:rFonts w:ascii="Arial Narrow" w:hAnsi="Arial Narrow"/>
                <w:color w:val="auto"/>
                <w:sz w:val="20"/>
                <w:szCs w:val="20"/>
              </w:rPr>
              <w:t>$</w:t>
            </w:r>
            <w:r w:rsidR="00142E36" w:rsidRPr="00D403E2">
              <w:rPr>
                <w:rFonts w:ascii="Arial Narrow" w:hAnsi="Arial Narrow"/>
                <w:b/>
                <w:bCs/>
                <w:color w:val="auto"/>
                <w:sz w:val="20"/>
                <w:szCs w:val="20"/>
              </w:rPr>
              <w:t>redacted</w:t>
            </w:r>
            <w:r w:rsidRPr="007D3695">
              <w:rPr>
                <w:rFonts w:ascii="Arial Narrow" w:hAnsi="Arial Narrow"/>
                <w:color w:val="auto"/>
                <w:sz w:val="20"/>
                <w:szCs w:val="20"/>
                <w:vertAlign w:val="superscript"/>
              </w:rPr>
              <w:t>4</w:t>
            </w:r>
            <w:r w:rsidRPr="0052532F">
              <w:rPr>
                <w:rFonts w:ascii="Arial Narrow" w:hAnsi="Arial Narrow"/>
                <w:color w:val="auto"/>
                <w:sz w:val="20"/>
                <w:szCs w:val="20"/>
              </w:rPr>
              <w:t xml:space="preserve"> </w:t>
            </w:r>
          </w:p>
        </w:tc>
      </w:tr>
      <w:tr w:rsidR="00940151" w:rsidRPr="0052532F" w14:paraId="036ECDA0" w14:textId="77777777" w:rsidTr="375F5CCE">
        <w:tc>
          <w:tcPr>
            <w:tcW w:w="1980" w:type="dxa"/>
            <w:vMerge/>
            <w:vAlign w:val="center"/>
          </w:tcPr>
          <w:p w14:paraId="75320368" w14:textId="77777777" w:rsidR="00940151" w:rsidRPr="0052532F" w:rsidRDefault="00940151" w:rsidP="00B70B76">
            <w:pPr>
              <w:pStyle w:val="KMC16-Text"/>
              <w:keepNext/>
              <w:keepLines/>
              <w:spacing w:before="40" w:after="40" w:line="240" w:lineRule="auto"/>
              <w:jc w:val="left"/>
              <w:rPr>
                <w:rFonts w:ascii="Arial Narrow" w:hAnsi="Arial Narrow"/>
                <w:color w:val="auto"/>
                <w:sz w:val="20"/>
                <w:szCs w:val="20"/>
              </w:rPr>
            </w:pPr>
          </w:p>
        </w:tc>
        <w:tc>
          <w:tcPr>
            <w:tcW w:w="993" w:type="dxa"/>
            <w:vAlign w:val="center"/>
          </w:tcPr>
          <w:p w14:paraId="1AB9A857" w14:textId="77777777" w:rsidR="00940151" w:rsidRPr="0052532F" w:rsidRDefault="00940151" w:rsidP="00B70B76">
            <w:pPr>
              <w:pStyle w:val="KMC16-Text"/>
              <w:keepNext/>
              <w:keepLines/>
              <w:spacing w:before="40" w:after="40" w:line="240" w:lineRule="auto"/>
              <w:jc w:val="center"/>
              <w:rPr>
                <w:rFonts w:ascii="Arial Narrow" w:hAnsi="Arial Narrow"/>
                <w:color w:val="auto"/>
                <w:sz w:val="20"/>
                <w:szCs w:val="20"/>
              </w:rPr>
            </w:pPr>
            <w:r w:rsidRPr="0052532F">
              <w:rPr>
                <w:rFonts w:ascii="Arial Narrow" w:hAnsi="Arial Narrow"/>
                <w:color w:val="auto"/>
                <w:sz w:val="20"/>
                <w:szCs w:val="20"/>
              </w:rPr>
              <w:t>OS</w:t>
            </w:r>
          </w:p>
        </w:tc>
        <w:tc>
          <w:tcPr>
            <w:tcW w:w="2126" w:type="dxa"/>
            <w:vAlign w:val="center"/>
          </w:tcPr>
          <w:p w14:paraId="5F7BD94F" w14:textId="77777777" w:rsidR="00940151" w:rsidRPr="0052532F" w:rsidRDefault="00940151" w:rsidP="00B70B76">
            <w:pPr>
              <w:pStyle w:val="KMC16-Tablecontent"/>
              <w:keepNext/>
              <w:keepLines/>
              <w:rPr>
                <w:szCs w:val="20"/>
                <w:lang w:val="en-AU"/>
              </w:rPr>
            </w:pPr>
            <w:r w:rsidRPr="0052532F">
              <w:rPr>
                <w:szCs w:val="20"/>
                <w:lang w:val="en-AU"/>
              </w:rPr>
              <w:t>Australian SCH Cohort</w:t>
            </w:r>
            <w:r>
              <w:rPr>
                <w:szCs w:val="20"/>
                <w:lang w:val="en-AU"/>
              </w:rPr>
              <w:br/>
            </w:r>
            <w:r w:rsidRPr="0052532F">
              <w:rPr>
                <w:szCs w:val="20"/>
                <w:lang w:val="en-AU"/>
              </w:rPr>
              <w:t>(</w:t>
            </w:r>
            <w:r>
              <w:rPr>
                <w:szCs w:val="20"/>
                <w:lang w:val="en-AU"/>
              </w:rPr>
              <w:t>D</w:t>
            </w:r>
            <w:r w:rsidRPr="0052532F">
              <w:rPr>
                <w:szCs w:val="20"/>
                <w:lang w:val="en-AU"/>
              </w:rPr>
              <w:t>A; N=12)</w:t>
            </w:r>
          </w:p>
        </w:tc>
        <w:tc>
          <w:tcPr>
            <w:tcW w:w="2410" w:type="dxa"/>
            <w:vAlign w:val="center"/>
          </w:tcPr>
          <w:p w14:paraId="2D4CA562" w14:textId="77777777" w:rsidR="00940151" w:rsidRPr="0052532F" w:rsidRDefault="00940151" w:rsidP="00B70B76">
            <w:pPr>
              <w:pStyle w:val="KMC16-Tablecontent"/>
              <w:keepNext/>
              <w:keepLines/>
              <w:rPr>
                <w:szCs w:val="20"/>
                <w:lang w:val="en-AU"/>
              </w:rPr>
            </w:pPr>
            <w:r w:rsidRPr="0052532F">
              <w:rPr>
                <w:szCs w:val="20"/>
                <w:lang w:val="en-AU"/>
              </w:rPr>
              <w:t>Australian SCH Cohort</w:t>
            </w:r>
          </w:p>
          <w:p w14:paraId="707179D7" w14:textId="68EFEBC7" w:rsidR="00940151" w:rsidRPr="0052532F" w:rsidRDefault="00940151" w:rsidP="00B70B76">
            <w:pPr>
              <w:pStyle w:val="KMC16-Tablecontent"/>
              <w:keepNext/>
              <w:keepLines/>
              <w:rPr>
                <w:szCs w:val="20"/>
                <w:lang w:val="en-AU"/>
              </w:rPr>
            </w:pPr>
            <w:r w:rsidRPr="0052532F">
              <w:rPr>
                <w:szCs w:val="20"/>
                <w:lang w:val="en-AU"/>
              </w:rPr>
              <w:t>(</w:t>
            </w:r>
            <w:r w:rsidR="002477F9">
              <w:rPr>
                <w:szCs w:val="20"/>
                <w:lang w:val="en-AU"/>
              </w:rPr>
              <w:t>Chemotherapy/palliation</w:t>
            </w:r>
            <w:r w:rsidR="002477F9" w:rsidRPr="0052532F">
              <w:rPr>
                <w:szCs w:val="20"/>
                <w:lang w:val="en-AU"/>
              </w:rPr>
              <w:t xml:space="preserve">; </w:t>
            </w:r>
            <w:r w:rsidRPr="0052532F">
              <w:rPr>
                <w:szCs w:val="20"/>
                <w:lang w:val="en-AU"/>
              </w:rPr>
              <w:t>N=8)</w:t>
            </w:r>
          </w:p>
        </w:tc>
        <w:tc>
          <w:tcPr>
            <w:tcW w:w="2126" w:type="dxa"/>
            <w:vMerge/>
          </w:tcPr>
          <w:p w14:paraId="4C5C13C2" w14:textId="77777777" w:rsidR="00940151" w:rsidRPr="0052532F" w:rsidRDefault="00940151" w:rsidP="00B70B76">
            <w:pPr>
              <w:pStyle w:val="KMC16-Text"/>
              <w:keepNext/>
              <w:keepLines/>
              <w:spacing w:before="40" w:after="40" w:line="240" w:lineRule="auto"/>
              <w:rPr>
                <w:rFonts w:ascii="Arial Narrow" w:hAnsi="Arial Narrow"/>
                <w:color w:val="auto"/>
                <w:sz w:val="20"/>
                <w:szCs w:val="20"/>
              </w:rPr>
            </w:pPr>
          </w:p>
        </w:tc>
      </w:tr>
    </w:tbl>
    <w:p w14:paraId="4CD325ED" w14:textId="77777777" w:rsidR="00940151" w:rsidRPr="0052532F" w:rsidRDefault="00940151" w:rsidP="00940151">
      <w:pPr>
        <w:pStyle w:val="KMC16-Text"/>
        <w:keepNext/>
        <w:keepLines/>
        <w:spacing w:after="0" w:line="240" w:lineRule="auto"/>
        <w:rPr>
          <w:rFonts w:ascii="Arial Narrow" w:hAnsi="Arial Narrow"/>
          <w:color w:val="auto"/>
          <w:sz w:val="18"/>
          <w:szCs w:val="18"/>
        </w:rPr>
      </w:pPr>
      <w:r w:rsidRPr="0052532F">
        <w:rPr>
          <w:rFonts w:ascii="Arial Narrow" w:hAnsi="Arial Narrow"/>
          <w:color w:val="auto"/>
          <w:sz w:val="18"/>
          <w:szCs w:val="18"/>
          <w:vertAlign w:val="superscript"/>
        </w:rPr>
        <w:t>1</w:t>
      </w:r>
      <w:r>
        <w:rPr>
          <w:rFonts w:ascii="Arial Narrow" w:hAnsi="Arial Narrow"/>
          <w:color w:val="auto"/>
          <w:sz w:val="18"/>
          <w:szCs w:val="18"/>
          <w:vertAlign w:val="superscript"/>
        </w:rPr>
        <w:t xml:space="preserve"> </w:t>
      </w:r>
      <w:r w:rsidRPr="0052532F">
        <w:rPr>
          <w:rFonts w:ascii="Arial Narrow" w:hAnsi="Arial Narrow"/>
          <w:color w:val="auto"/>
          <w:sz w:val="18"/>
          <w:szCs w:val="18"/>
        </w:rPr>
        <w:t>12 patients out of 22 in the chemotherapy arm crossed over to receive DB at progression.</w:t>
      </w:r>
    </w:p>
    <w:p w14:paraId="5B62D4C8" w14:textId="18FA5354" w:rsidR="00940151" w:rsidRPr="0052532F" w:rsidRDefault="00940151" w:rsidP="375F5CCE">
      <w:pPr>
        <w:pStyle w:val="KMC16-Text"/>
        <w:keepNext/>
        <w:keepLines/>
        <w:spacing w:after="0" w:line="240" w:lineRule="auto"/>
        <w:rPr>
          <w:rFonts w:ascii="Arial Narrow" w:hAnsi="Arial Narrow"/>
          <w:color w:val="auto"/>
          <w:sz w:val="18"/>
          <w:szCs w:val="18"/>
        </w:rPr>
      </w:pPr>
      <w:r w:rsidRPr="375F5CCE">
        <w:rPr>
          <w:rFonts w:ascii="Arial Narrow" w:hAnsi="Arial Narrow"/>
          <w:color w:val="auto"/>
          <w:sz w:val="18"/>
          <w:szCs w:val="18"/>
          <w:vertAlign w:val="superscript"/>
        </w:rPr>
        <w:t>2</w:t>
      </w:r>
      <w:r w:rsidRPr="375F5CCE">
        <w:rPr>
          <w:sz w:val="20"/>
          <w:szCs w:val="20"/>
        </w:rPr>
        <w:t xml:space="preserve"> </w:t>
      </w:r>
      <w:r w:rsidRPr="375F5CCE">
        <w:rPr>
          <w:rFonts w:ascii="Arial Narrow" w:hAnsi="Arial Narrow"/>
          <w:color w:val="auto"/>
          <w:sz w:val="18"/>
          <w:szCs w:val="18"/>
        </w:rPr>
        <w:t xml:space="preserve">In ANBL 1221 the comparator arm was TEMIRI + </w:t>
      </w:r>
      <w:proofErr w:type="spellStart"/>
      <w:r w:rsidRPr="375F5CCE">
        <w:rPr>
          <w:rFonts w:ascii="Arial Narrow" w:hAnsi="Arial Narrow"/>
          <w:color w:val="auto"/>
          <w:sz w:val="18"/>
          <w:szCs w:val="18"/>
        </w:rPr>
        <w:t>temsirolimus</w:t>
      </w:r>
      <w:proofErr w:type="spellEnd"/>
    </w:p>
    <w:p w14:paraId="7989D4C5" w14:textId="7A3282E7" w:rsidR="00940151" w:rsidRPr="0052532F" w:rsidRDefault="00940151" w:rsidP="00940151">
      <w:pPr>
        <w:pStyle w:val="KMC16-Text"/>
        <w:keepNext/>
        <w:keepLines/>
        <w:spacing w:after="0" w:line="240" w:lineRule="auto"/>
        <w:rPr>
          <w:rFonts w:ascii="Arial Narrow" w:hAnsi="Arial Narrow"/>
          <w:color w:val="auto"/>
          <w:sz w:val="18"/>
          <w:szCs w:val="18"/>
        </w:rPr>
      </w:pPr>
      <w:r w:rsidRPr="0052532F">
        <w:rPr>
          <w:rFonts w:ascii="Arial Narrow" w:hAnsi="Arial Narrow"/>
          <w:color w:val="auto"/>
          <w:sz w:val="18"/>
          <w:szCs w:val="18"/>
          <w:vertAlign w:val="superscript"/>
        </w:rPr>
        <w:t>3</w:t>
      </w:r>
      <w:r w:rsidRPr="0052532F">
        <w:rPr>
          <w:sz w:val="20"/>
          <w:szCs w:val="20"/>
        </w:rPr>
        <w:t xml:space="preserve"> </w:t>
      </w:r>
      <w:r w:rsidRPr="0052532F">
        <w:rPr>
          <w:rFonts w:ascii="Arial Narrow" w:hAnsi="Arial Narrow"/>
          <w:color w:val="auto"/>
          <w:sz w:val="18"/>
          <w:szCs w:val="18"/>
        </w:rPr>
        <w:t xml:space="preserve">In DuBois (2018) the comparator arm was TEMIRI + </w:t>
      </w:r>
      <w:r w:rsidR="002477F9">
        <w:rPr>
          <w:rFonts w:ascii="Arial Narrow" w:hAnsi="Arial Narrow"/>
          <w:color w:val="auto"/>
          <w:sz w:val="18"/>
          <w:szCs w:val="18"/>
        </w:rPr>
        <w:t>alisertib</w:t>
      </w:r>
      <w:r w:rsidRPr="0052532F">
        <w:rPr>
          <w:rFonts w:ascii="Arial Narrow" w:hAnsi="Arial Narrow"/>
          <w:color w:val="auto"/>
          <w:sz w:val="18"/>
          <w:szCs w:val="18"/>
        </w:rPr>
        <w:t>; the proportion in PFS were set to 0% from the 21</w:t>
      </w:r>
      <w:r w:rsidRPr="0052532F">
        <w:rPr>
          <w:rFonts w:ascii="Arial Narrow" w:hAnsi="Arial Narrow"/>
          <w:color w:val="auto"/>
          <w:sz w:val="18"/>
          <w:szCs w:val="18"/>
          <w:vertAlign w:val="superscript"/>
        </w:rPr>
        <w:t>st</w:t>
      </w:r>
      <w:r w:rsidRPr="0052532F">
        <w:rPr>
          <w:rFonts w:ascii="Arial Narrow" w:hAnsi="Arial Narrow"/>
          <w:color w:val="auto"/>
          <w:sz w:val="18"/>
          <w:szCs w:val="18"/>
        </w:rPr>
        <w:t xml:space="preserve"> cycle </w:t>
      </w:r>
    </w:p>
    <w:p w14:paraId="37B47AC9" w14:textId="77777777" w:rsidR="00940151" w:rsidRPr="0052532F" w:rsidRDefault="00940151" w:rsidP="00940151">
      <w:pPr>
        <w:pStyle w:val="KMC16-Text"/>
        <w:keepNext/>
        <w:keepLines/>
        <w:spacing w:after="0" w:line="240" w:lineRule="auto"/>
        <w:rPr>
          <w:rFonts w:ascii="Arial Narrow" w:hAnsi="Arial Narrow"/>
          <w:color w:val="auto"/>
          <w:sz w:val="18"/>
          <w:szCs w:val="18"/>
        </w:rPr>
      </w:pPr>
      <w:r w:rsidRPr="0052532F">
        <w:rPr>
          <w:rFonts w:ascii="Arial Narrow" w:hAnsi="Arial Narrow"/>
          <w:color w:val="auto"/>
          <w:sz w:val="18"/>
          <w:szCs w:val="18"/>
          <w:vertAlign w:val="superscript"/>
        </w:rPr>
        <w:t xml:space="preserve">4 </w:t>
      </w:r>
      <w:r w:rsidRPr="0052532F">
        <w:rPr>
          <w:rFonts w:ascii="Arial Narrow" w:hAnsi="Arial Narrow"/>
          <w:color w:val="auto"/>
          <w:sz w:val="18"/>
          <w:szCs w:val="18"/>
        </w:rPr>
        <w:t xml:space="preserve">Gen gamma </w:t>
      </w:r>
      <w:r w:rsidRPr="002477F9">
        <w:rPr>
          <w:rFonts w:ascii="Arial Narrow" w:hAnsi="Arial Narrow"/>
          <w:color w:val="auto"/>
          <w:sz w:val="18"/>
          <w:szCs w:val="18"/>
        </w:rPr>
        <w:t>distribution is left as a in the base case analysis, in the</w:t>
      </w:r>
      <w:r w:rsidRPr="0052532F">
        <w:rPr>
          <w:rFonts w:ascii="Arial Narrow" w:hAnsi="Arial Narrow"/>
          <w:color w:val="auto"/>
          <w:sz w:val="18"/>
          <w:szCs w:val="18"/>
        </w:rPr>
        <w:t xml:space="preserve"> absence of AIC value for the best fit parametric function</w:t>
      </w:r>
    </w:p>
    <w:p w14:paraId="58464F49" w14:textId="4A3BCE66" w:rsidR="00940151" w:rsidRPr="0052532F" w:rsidRDefault="00940151" w:rsidP="00D43506">
      <w:pPr>
        <w:pStyle w:val="KMC16-Text"/>
        <w:keepNext/>
        <w:keepLines/>
        <w:spacing w:after="0" w:line="240" w:lineRule="auto"/>
        <w:rPr>
          <w:rFonts w:ascii="Arial Narrow" w:hAnsi="Arial Narrow"/>
          <w:color w:val="auto"/>
          <w:sz w:val="18"/>
          <w:szCs w:val="18"/>
        </w:rPr>
      </w:pPr>
      <w:r w:rsidRPr="0052532F">
        <w:rPr>
          <w:rFonts w:ascii="Arial Narrow" w:hAnsi="Arial Narrow"/>
          <w:i/>
          <w:iCs/>
          <w:color w:val="auto"/>
          <w:sz w:val="18"/>
          <w:szCs w:val="18"/>
        </w:rPr>
        <w:t>*</w:t>
      </w:r>
      <w:r w:rsidR="002477F9">
        <w:rPr>
          <w:rFonts w:ascii="Arial Narrow" w:hAnsi="Arial Narrow"/>
          <w:i/>
          <w:iCs/>
          <w:color w:val="auto"/>
          <w:sz w:val="18"/>
          <w:szCs w:val="18"/>
        </w:rPr>
        <w:t xml:space="preserve"> </w:t>
      </w:r>
      <w:r w:rsidRPr="0052532F">
        <w:rPr>
          <w:rFonts w:ascii="Arial Narrow" w:hAnsi="Arial Narrow"/>
          <w:i/>
          <w:iCs/>
          <w:color w:val="auto"/>
          <w:sz w:val="18"/>
          <w:szCs w:val="18"/>
        </w:rPr>
        <w:t>Note</w:t>
      </w:r>
      <w:r w:rsidRPr="0052532F">
        <w:rPr>
          <w:rFonts w:ascii="Arial Narrow" w:hAnsi="Arial Narrow"/>
          <w:color w:val="auto"/>
          <w:sz w:val="18"/>
          <w:szCs w:val="18"/>
        </w:rPr>
        <w:t>:</w:t>
      </w:r>
      <w:r w:rsidRPr="0052532F">
        <w:rPr>
          <w:sz w:val="20"/>
          <w:szCs w:val="20"/>
        </w:rPr>
        <w:t xml:space="preserve"> </w:t>
      </w:r>
      <w:r w:rsidRPr="0052532F">
        <w:rPr>
          <w:rFonts w:ascii="Arial Narrow" w:hAnsi="Arial Narrow"/>
          <w:color w:val="auto"/>
          <w:sz w:val="18"/>
          <w:szCs w:val="18"/>
        </w:rPr>
        <w:t xml:space="preserve">Unless stated otherwise, a parametric function with the best fit was used (according to the AIC value if available, otherwise – as in the base case); other assumptions of the base case analysis (time horizon, cycle length, annual discount rate, utility values and DB price per 20 mg vial) also applied. </w:t>
      </w:r>
    </w:p>
    <w:p w14:paraId="1BA3A2E0" w14:textId="69CAEA5B" w:rsidR="004A0007" w:rsidRDefault="004A0007" w:rsidP="00D43506">
      <w:pPr>
        <w:spacing w:before="240" w:after="240"/>
      </w:pPr>
      <w:r>
        <w:lastRenderedPageBreak/>
        <w:fldChar w:fldCharType="begin"/>
      </w:r>
      <w:r>
        <w:instrText xml:space="preserve"> REF _Ref184188432 \h  \* MERGEFORMAT </w:instrText>
      </w:r>
      <w:r>
        <w:fldChar w:fldCharType="separate"/>
      </w:r>
      <w:r w:rsidR="00C02A66" w:rsidRPr="00C02A66">
        <w:t>Table </w:t>
      </w:r>
      <w:r w:rsidR="00C02A66" w:rsidRPr="007B76AE">
        <w:t>11</w:t>
      </w:r>
      <w:r>
        <w:fldChar w:fldCharType="end"/>
      </w:r>
      <w:r>
        <w:t xml:space="preserve"> provides results of the model utilising Method 2</w:t>
      </w:r>
      <w:r w:rsidR="00A7120F">
        <w:t xml:space="preserve"> and various data sources</w:t>
      </w:r>
      <w:r>
        <w:t>.</w:t>
      </w:r>
    </w:p>
    <w:p w14:paraId="010728C6" w14:textId="288D9D78" w:rsidR="00E860EC" w:rsidRPr="0052532F" w:rsidRDefault="00E860EC" w:rsidP="00E860EC">
      <w:pPr>
        <w:pStyle w:val="TableHeading"/>
        <w:rPr>
          <w:szCs w:val="20"/>
        </w:rPr>
      </w:pPr>
      <w:bookmarkStart w:id="47" w:name="_Ref184188432"/>
      <w:r w:rsidRPr="0052532F">
        <w:rPr>
          <w:szCs w:val="20"/>
        </w:rPr>
        <w:t>Table </w:t>
      </w:r>
      <w:r w:rsidRPr="0052532F">
        <w:rPr>
          <w:noProof/>
          <w:szCs w:val="20"/>
        </w:rPr>
        <w:fldChar w:fldCharType="begin"/>
      </w:r>
      <w:r w:rsidRPr="0052532F">
        <w:rPr>
          <w:noProof/>
          <w:szCs w:val="20"/>
        </w:rPr>
        <w:instrText xml:space="preserve"> SEQ Table \* ARABIC </w:instrText>
      </w:r>
      <w:r w:rsidRPr="0052532F">
        <w:rPr>
          <w:noProof/>
          <w:szCs w:val="20"/>
        </w:rPr>
        <w:fldChar w:fldCharType="separate"/>
      </w:r>
      <w:r w:rsidR="00C02A66">
        <w:rPr>
          <w:noProof/>
          <w:szCs w:val="20"/>
        </w:rPr>
        <w:t>11</w:t>
      </w:r>
      <w:r w:rsidRPr="0052532F">
        <w:rPr>
          <w:noProof/>
          <w:szCs w:val="20"/>
        </w:rPr>
        <w:fldChar w:fldCharType="end"/>
      </w:r>
      <w:bookmarkEnd w:id="47"/>
      <w:r w:rsidRPr="0052532F">
        <w:rPr>
          <w:szCs w:val="20"/>
        </w:rPr>
        <w:tab/>
        <w:t>Scenario analyses using Method 2 to model OS</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991"/>
        <w:gridCol w:w="836"/>
        <w:gridCol w:w="955"/>
        <w:gridCol w:w="1235"/>
        <w:gridCol w:w="982"/>
      </w:tblGrid>
      <w:tr w:rsidR="00E860EC" w:rsidRPr="0052532F" w14:paraId="717BFE44" w14:textId="77777777" w:rsidTr="375F5CCE">
        <w:trPr>
          <w:trHeight w:val="20"/>
        </w:trPr>
        <w:tc>
          <w:tcPr>
            <w:tcW w:w="2032" w:type="pct"/>
            <w:shd w:val="clear" w:color="auto" w:fill="auto"/>
            <w:noWrap/>
            <w:vAlign w:val="bottom"/>
          </w:tcPr>
          <w:p w14:paraId="0AB3E3D0" w14:textId="77777777" w:rsidR="00E860EC" w:rsidRPr="0052532F" w:rsidRDefault="00E860EC" w:rsidP="00B70B76">
            <w:pPr>
              <w:spacing w:before="40" w:after="40" w:line="240" w:lineRule="auto"/>
              <w:rPr>
                <w:rFonts w:ascii="Arial Narrow" w:eastAsia="Times New Roman" w:hAnsi="Arial Narrow" w:cs="Times New Roman"/>
                <w:b/>
                <w:bCs/>
                <w:color w:val="000000"/>
                <w:sz w:val="20"/>
                <w:szCs w:val="20"/>
              </w:rPr>
            </w:pPr>
          </w:p>
        </w:tc>
        <w:tc>
          <w:tcPr>
            <w:tcW w:w="595" w:type="pct"/>
            <w:shd w:val="clear" w:color="auto" w:fill="auto"/>
            <w:noWrap/>
            <w:vAlign w:val="center"/>
            <w:hideMark/>
          </w:tcPr>
          <w:p w14:paraId="323758AA"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Inc cost</w:t>
            </w:r>
          </w:p>
        </w:tc>
        <w:tc>
          <w:tcPr>
            <w:tcW w:w="478" w:type="pct"/>
            <w:shd w:val="clear" w:color="auto" w:fill="auto"/>
            <w:noWrap/>
            <w:vAlign w:val="center"/>
          </w:tcPr>
          <w:p w14:paraId="10513648"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Inc LYG</w:t>
            </w:r>
          </w:p>
        </w:tc>
        <w:tc>
          <w:tcPr>
            <w:tcW w:w="548" w:type="pct"/>
            <w:shd w:val="clear" w:color="auto" w:fill="auto"/>
            <w:noWrap/>
            <w:vAlign w:val="center"/>
          </w:tcPr>
          <w:p w14:paraId="169C330D"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Inc QALY</w:t>
            </w:r>
          </w:p>
        </w:tc>
        <w:tc>
          <w:tcPr>
            <w:tcW w:w="781" w:type="pct"/>
            <w:shd w:val="clear" w:color="auto" w:fill="auto"/>
            <w:noWrap/>
            <w:vAlign w:val="center"/>
          </w:tcPr>
          <w:p w14:paraId="015F2F1D" w14:textId="77777777" w:rsidR="00E860EC" w:rsidRPr="0052532F" w:rsidRDefault="00E860EC" w:rsidP="00B70B76">
            <w:pPr>
              <w:spacing w:before="40" w:after="40" w:line="240" w:lineRule="auto"/>
              <w:jc w:val="center"/>
              <w:rPr>
                <w:rFonts w:ascii="Arial Narrow" w:eastAsia="Times New Roman" w:hAnsi="Arial Narrow" w:cs="Times New Roman"/>
                <w:b/>
                <w:bCs/>
                <w:color w:val="000000"/>
                <w:sz w:val="20"/>
                <w:szCs w:val="20"/>
              </w:rPr>
            </w:pPr>
            <w:r w:rsidRPr="0052532F">
              <w:rPr>
                <w:rFonts w:ascii="Arial Narrow" w:eastAsia="Times New Roman" w:hAnsi="Arial Narrow" w:cs="Times New Roman"/>
                <w:b/>
                <w:bCs/>
                <w:color w:val="000000"/>
                <w:sz w:val="20"/>
                <w:szCs w:val="20"/>
              </w:rPr>
              <w:t xml:space="preserve">ICER </w:t>
            </w:r>
          </w:p>
          <w:p w14:paraId="3B9F1BE7"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($/QALY)</w:t>
            </w:r>
          </w:p>
        </w:tc>
        <w:tc>
          <w:tcPr>
            <w:tcW w:w="563" w:type="pct"/>
            <w:shd w:val="clear" w:color="auto" w:fill="auto"/>
            <w:noWrap/>
            <w:vAlign w:val="center"/>
          </w:tcPr>
          <w:p w14:paraId="61FE3D21"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 change</w:t>
            </w:r>
          </w:p>
        </w:tc>
      </w:tr>
      <w:tr w:rsidR="00E860EC" w:rsidRPr="0052532F" w14:paraId="2F4D6418" w14:textId="77777777" w:rsidTr="375F5CCE">
        <w:trPr>
          <w:trHeight w:val="20"/>
        </w:trPr>
        <w:tc>
          <w:tcPr>
            <w:tcW w:w="2032" w:type="pct"/>
            <w:shd w:val="clear" w:color="auto" w:fill="auto"/>
            <w:noWrap/>
            <w:vAlign w:val="bottom"/>
          </w:tcPr>
          <w:p w14:paraId="3CD66A65" w14:textId="51749FE7" w:rsidR="00E860EC" w:rsidRPr="0052532F" w:rsidRDefault="00E860EC" w:rsidP="00B70B76">
            <w:pPr>
              <w:spacing w:before="40" w:after="40" w:line="240" w:lineRule="auto"/>
              <w:rPr>
                <w:rFonts w:ascii="Arial Narrow" w:eastAsia="Times New Roman" w:hAnsi="Arial Narrow" w:cs="Times New Roman"/>
                <w:sz w:val="20"/>
                <w:szCs w:val="20"/>
              </w:rPr>
            </w:pPr>
            <w:r w:rsidRPr="0052532F">
              <w:rPr>
                <w:rFonts w:ascii="Arial Narrow" w:eastAsia="Times New Roman" w:hAnsi="Arial Narrow" w:cs="Times New Roman"/>
                <w:b/>
                <w:bCs/>
                <w:sz w:val="20"/>
                <w:szCs w:val="20"/>
              </w:rPr>
              <w:t>Base case Method 1</w:t>
            </w:r>
          </w:p>
          <w:p w14:paraId="08BC698E" w14:textId="1506A715" w:rsidR="00E860EC" w:rsidRPr="0052532F" w:rsidRDefault="00E860EC" w:rsidP="375F5CCE">
            <w:pPr>
              <w:spacing w:before="40" w:after="40" w:line="240" w:lineRule="auto"/>
              <w:rPr>
                <w:rFonts w:ascii="Arial Narrow" w:eastAsia="Times New Roman" w:hAnsi="Arial Narrow" w:cs="Times New Roman"/>
                <w:sz w:val="20"/>
                <w:szCs w:val="20"/>
              </w:rPr>
            </w:pPr>
            <w:r w:rsidRPr="375F5CCE">
              <w:rPr>
                <w:rFonts w:ascii="Arial Narrow" w:eastAsia="Times New Roman" w:hAnsi="Arial Narrow" w:cs="Times New Roman"/>
                <w:sz w:val="20"/>
                <w:szCs w:val="20"/>
              </w:rPr>
              <w:t xml:space="preserve">PFS in </w:t>
            </w:r>
            <w:r w:rsidR="0070507E" w:rsidRPr="375F5CCE">
              <w:rPr>
                <w:rFonts w:ascii="Arial Narrow" w:eastAsia="Times New Roman" w:hAnsi="Arial Narrow" w:cs="Times New Roman"/>
                <w:sz w:val="20"/>
                <w:szCs w:val="20"/>
              </w:rPr>
              <w:t>D</w:t>
            </w:r>
            <w:r w:rsidRPr="375F5CCE">
              <w:rPr>
                <w:rFonts w:ascii="Arial Narrow" w:eastAsia="Times New Roman" w:hAnsi="Arial Narrow" w:cs="Times New Roman"/>
                <w:sz w:val="20"/>
                <w:szCs w:val="20"/>
              </w:rPr>
              <w:t xml:space="preserve">B arm </w:t>
            </w:r>
            <w:r w:rsidR="00C510FD" w:rsidRPr="375F5CCE">
              <w:rPr>
                <w:rFonts w:ascii="Arial Narrow" w:eastAsia="Times New Roman" w:hAnsi="Arial Narrow" w:cs="Times New Roman"/>
                <w:sz w:val="20"/>
                <w:szCs w:val="20"/>
              </w:rPr>
              <w:t>BEACON-</w:t>
            </w:r>
            <w:proofErr w:type="spellStart"/>
            <w:r w:rsidR="00C510FD" w:rsidRPr="375F5CCE">
              <w:rPr>
                <w:rFonts w:ascii="Arial Narrow" w:eastAsia="Times New Roman" w:hAnsi="Arial Narrow" w:cs="Times New Roman"/>
                <w:sz w:val="20"/>
                <w:szCs w:val="20"/>
              </w:rPr>
              <w:t>Immuno</w:t>
            </w:r>
            <w:proofErr w:type="spellEnd"/>
            <w:r w:rsidRPr="375F5CCE">
              <w:rPr>
                <w:rFonts w:ascii="Arial Narrow" w:eastAsia="Times New Roman" w:hAnsi="Arial Narrow" w:cs="Times New Roman"/>
                <w:sz w:val="20"/>
                <w:szCs w:val="20"/>
              </w:rPr>
              <w:t xml:space="preserve"> + Wieczorek (2024)</w:t>
            </w:r>
          </w:p>
          <w:p w14:paraId="3F2A1D4A" w14:textId="77777777" w:rsidR="00E860EC" w:rsidRPr="0052532F" w:rsidRDefault="00E860EC" w:rsidP="00B70B76">
            <w:pPr>
              <w:spacing w:before="40" w:after="40" w:line="240" w:lineRule="auto"/>
              <w:rPr>
                <w:rFonts w:ascii="Arial Narrow" w:eastAsia="Times New Roman" w:hAnsi="Arial Narrow" w:cs="Times New Roman"/>
                <w:sz w:val="20"/>
                <w:szCs w:val="20"/>
              </w:rPr>
            </w:pPr>
            <w:r w:rsidRPr="0052532F">
              <w:rPr>
                <w:rFonts w:ascii="Arial Narrow" w:eastAsia="Times New Roman" w:hAnsi="Arial Narrow" w:cs="Times New Roman"/>
                <w:sz w:val="20"/>
                <w:szCs w:val="20"/>
              </w:rPr>
              <w:t>PFS in the comparator arm – 6 different data sources</w:t>
            </w:r>
          </w:p>
        </w:tc>
        <w:tc>
          <w:tcPr>
            <w:tcW w:w="595" w:type="pct"/>
            <w:shd w:val="clear" w:color="auto" w:fill="auto"/>
            <w:noWrap/>
            <w:vAlign w:val="center"/>
          </w:tcPr>
          <w:p w14:paraId="4DB27C45" w14:textId="48684CFA"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w:t>
            </w:r>
            <w:r w:rsidR="00142E36">
              <w:rPr>
                <w:rFonts w:ascii="Arial Narrow" w:eastAsia="Times New Roman" w:hAnsi="Arial Narrow" w:cs="Times New Roman"/>
                <w:b/>
                <w:bCs/>
                <w:color w:val="000000"/>
                <w:sz w:val="20"/>
                <w:szCs w:val="20"/>
              </w:rPr>
              <w:t>redacted</w:t>
            </w:r>
          </w:p>
        </w:tc>
        <w:tc>
          <w:tcPr>
            <w:tcW w:w="478" w:type="pct"/>
            <w:shd w:val="clear" w:color="auto" w:fill="auto"/>
            <w:noWrap/>
            <w:vAlign w:val="center"/>
          </w:tcPr>
          <w:p w14:paraId="53563B7B"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2.69</w:t>
            </w:r>
          </w:p>
        </w:tc>
        <w:tc>
          <w:tcPr>
            <w:tcW w:w="548" w:type="pct"/>
            <w:shd w:val="clear" w:color="auto" w:fill="auto"/>
            <w:noWrap/>
            <w:vAlign w:val="center"/>
          </w:tcPr>
          <w:p w14:paraId="2E34C469" w14:textId="285FF4D6"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B941DB">
              <w:rPr>
                <w:rFonts w:ascii="Arial Narrow" w:eastAsia="Times New Roman" w:hAnsi="Arial Narrow" w:cs="Times New Roman"/>
                <w:b/>
                <w:bCs/>
                <w:color w:val="000000"/>
                <w:sz w:val="20"/>
                <w:szCs w:val="20"/>
              </w:rPr>
              <w:t>2.09</w:t>
            </w:r>
          </w:p>
        </w:tc>
        <w:tc>
          <w:tcPr>
            <w:tcW w:w="781" w:type="pct"/>
            <w:shd w:val="clear" w:color="auto" w:fill="auto"/>
            <w:noWrap/>
            <w:vAlign w:val="center"/>
          </w:tcPr>
          <w:p w14:paraId="395FCB1C" w14:textId="7D4601A1"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w:t>
            </w:r>
            <w:r w:rsidR="00142E36">
              <w:rPr>
                <w:rFonts w:ascii="Arial Narrow" w:eastAsia="Times New Roman" w:hAnsi="Arial Narrow" w:cs="Times New Roman"/>
                <w:b/>
                <w:bCs/>
                <w:color w:val="000000"/>
                <w:sz w:val="20"/>
                <w:szCs w:val="20"/>
              </w:rPr>
              <w:t>redacted</w:t>
            </w:r>
          </w:p>
        </w:tc>
        <w:tc>
          <w:tcPr>
            <w:tcW w:w="563" w:type="pct"/>
            <w:shd w:val="clear" w:color="auto" w:fill="auto"/>
            <w:noWrap/>
            <w:vAlign w:val="center"/>
          </w:tcPr>
          <w:p w14:paraId="2AFFB848" w14:textId="77777777" w:rsidR="00E860EC" w:rsidRPr="0052532F" w:rsidRDefault="00E860EC" w:rsidP="00B70B76">
            <w:pPr>
              <w:spacing w:before="40" w:after="40" w:line="240" w:lineRule="auto"/>
              <w:jc w:val="center"/>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w:t>
            </w:r>
          </w:p>
        </w:tc>
      </w:tr>
      <w:tr w:rsidR="00E860EC" w:rsidRPr="0052532F" w14:paraId="42B937F8" w14:textId="77777777" w:rsidTr="375F5CCE">
        <w:trPr>
          <w:trHeight w:val="20"/>
        </w:trPr>
        <w:tc>
          <w:tcPr>
            <w:tcW w:w="5000" w:type="pct"/>
            <w:gridSpan w:val="6"/>
            <w:shd w:val="clear" w:color="auto" w:fill="auto"/>
            <w:noWrap/>
            <w:vAlign w:val="bottom"/>
          </w:tcPr>
          <w:p w14:paraId="4705C090" w14:textId="77777777" w:rsidR="00E860EC" w:rsidRPr="0052532F" w:rsidRDefault="00E860EC" w:rsidP="00B70B76">
            <w:pPr>
              <w:spacing w:before="40" w:after="40" w:line="240" w:lineRule="auto"/>
              <w:rPr>
                <w:rFonts w:ascii="Arial Narrow" w:eastAsia="Times New Roman" w:hAnsi="Arial Narrow" w:cs="Times New Roman"/>
                <w:sz w:val="20"/>
                <w:szCs w:val="20"/>
              </w:rPr>
            </w:pPr>
            <w:r w:rsidRPr="0052532F">
              <w:rPr>
                <w:rFonts w:ascii="Arial Narrow" w:eastAsia="Times New Roman" w:hAnsi="Arial Narrow" w:cs="Times New Roman"/>
                <w:b/>
                <w:bCs/>
                <w:color w:val="000000"/>
                <w:sz w:val="20"/>
                <w:szCs w:val="20"/>
              </w:rPr>
              <w:t xml:space="preserve">OS extrapolation informed by PFS - Method 2 </w:t>
            </w:r>
            <w:r w:rsidRPr="0052532F">
              <w:rPr>
                <w:rFonts w:ascii="Arial Narrow" w:eastAsia="Times New Roman" w:hAnsi="Arial Narrow" w:cs="Times New Roman"/>
                <w:color w:val="000000"/>
                <w:sz w:val="20"/>
                <w:szCs w:val="20"/>
              </w:rPr>
              <w:t>(PFS as in base case from Method 1)</w:t>
            </w:r>
          </w:p>
        </w:tc>
      </w:tr>
      <w:tr w:rsidR="00E860EC" w:rsidRPr="0052532F" w14:paraId="33E75C7A" w14:textId="77777777" w:rsidTr="375F5CCE">
        <w:trPr>
          <w:trHeight w:val="20"/>
        </w:trPr>
        <w:tc>
          <w:tcPr>
            <w:tcW w:w="2032" w:type="pct"/>
            <w:shd w:val="clear" w:color="auto" w:fill="auto"/>
            <w:noWrap/>
            <w:vAlign w:val="bottom"/>
            <w:hideMark/>
          </w:tcPr>
          <w:p w14:paraId="56A4EEE6" w14:textId="77777777" w:rsidR="00E860EC" w:rsidRPr="0052532F" w:rsidRDefault="00E860EC" w:rsidP="00B70B76">
            <w:pPr>
              <w:spacing w:before="40" w:after="40" w:line="240" w:lineRule="auto"/>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 xml:space="preserve">Method 2: </w:t>
            </w:r>
            <w:r w:rsidRPr="0052532F">
              <w:rPr>
                <w:rFonts w:ascii="Arial Narrow" w:eastAsia="Times New Roman" w:hAnsi="Arial Narrow" w:cs="Times New Roman"/>
                <w:sz w:val="20"/>
                <w:szCs w:val="20"/>
              </w:rPr>
              <w:t>BEACON</w:t>
            </w:r>
            <w:r w:rsidRPr="0052532F">
              <w:rPr>
                <w:rFonts w:ascii="Arial Narrow" w:eastAsia="Times New Roman" w:hAnsi="Arial Narrow" w:cs="Times New Roman"/>
                <w:color w:val="000000"/>
                <w:sz w:val="20"/>
                <w:szCs w:val="20"/>
              </w:rPr>
              <w:t>-1 Moreno 2024, all arms</w:t>
            </w:r>
          </w:p>
        </w:tc>
        <w:tc>
          <w:tcPr>
            <w:tcW w:w="595" w:type="pct"/>
            <w:shd w:val="clear" w:color="auto" w:fill="auto"/>
            <w:noWrap/>
            <w:vAlign w:val="bottom"/>
            <w:hideMark/>
          </w:tcPr>
          <w:p w14:paraId="106DC42D" w14:textId="70482F01"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B941DB">
              <w:rPr>
                <w:rFonts w:ascii="Arial Narrow" w:eastAsia="Times New Roman" w:hAnsi="Arial Narrow" w:cs="Times New Roman"/>
                <w:b/>
                <w:bCs/>
                <w:color w:val="000000"/>
                <w:sz w:val="20"/>
                <w:szCs w:val="20"/>
              </w:rPr>
              <w:t>redacted</w:t>
            </w:r>
          </w:p>
        </w:tc>
        <w:tc>
          <w:tcPr>
            <w:tcW w:w="478" w:type="pct"/>
            <w:shd w:val="clear" w:color="auto" w:fill="auto"/>
            <w:noWrap/>
            <w:vAlign w:val="bottom"/>
            <w:hideMark/>
          </w:tcPr>
          <w:p w14:paraId="5E0BA4EC"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1.83</w:t>
            </w:r>
          </w:p>
        </w:tc>
        <w:tc>
          <w:tcPr>
            <w:tcW w:w="548" w:type="pct"/>
            <w:shd w:val="clear" w:color="auto" w:fill="auto"/>
            <w:noWrap/>
            <w:vAlign w:val="bottom"/>
            <w:hideMark/>
          </w:tcPr>
          <w:p w14:paraId="7FC2E2DF" w14:textId="2221990B"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B941DB">
              <w:rPr>
                <w:rFonts w:ascii="Arial Narrow" w:eastAsia="Times New Roman" w:hAnsi="Arial Narrow" w:cs="Times New Roman"/>
                <w:color w:val="000000"/>
                <w:sz w:val="20"/>
                <w:szCs w:val="20"/>
              </w:rPr>
              <w:t>1.37</w:t>
            </w:r>
          </w:p>
        </w:tc>
        <w:tc>
          <w:tcPr>
            <w:tcW w:w="781" w:type="pct"/>
            <w:shd w:val="clear" w:color="auto" w:fill="auto"/>
            <w:noWrap/>
            <w:vAlign w:val="bottom"/>
            <w:hideMark/>
          </w:tcPr>
          <w:p w14:paraId="72868FDA" w14:textId="1231FE2F"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B941DB">
              <w:rPr>
                <w:rFonts w:ascii="Arial Narrow" w:eastAsia="Times New Roman" w:hAnsi="Arial Narrow" w:cs="Times New Roman"/>
                <w:b/>
                <w:bCs/>
                <w:color w:val="000000"/>
                <w:sz w:val="20"/>
                <w:szCs w:val="20"/>
              </w:rPr>
              <w:t>redacted</w:t>
            </w:r>
          </w:p>
        </w:tc>
        <w:tc>
          <w:tcPr>
            <w:tcW w:w="563" w:type="pct"/>
            <w:shd w:val="clear" w:color="auto" w:fill="auto"/>
            <w:noWrap/>
            <w:vAlign w:val="bottom"/>
            <w:hideMark/>
          </w:tcPr>
          <w:p w14:paraId="2F498E5D"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52.0%</w:t>
            </w:r>
          </w:p>
        </w:tc>
      </w:tr>
      <w:tr w:rsidR="00E860EC" w:rsidRPr="0052532F" w14:paraId="21DB06C3" w14:textId="77777777" w:rsidTr="375F5CCE">
        <w:trPr>
          <w:trHeight w:val="20"/>
        </w:trPr>
        <w:tc>
          <w:tcPr>
            <w:tcW w:w="2032" w:type="pct"/>
            <w:shd w:val="clear" w:color="auto" w:fill="auto"/>
            <w:noWrap/>
            <w:vAlign w:val="bottom"/>
            <w:hideMark/>
          </w:tcPr>
          <w:p w14:paraId="4DD3943A" w14:textId="43F68F67" w:rsidR="00E860EC" w:rsidRPr="0052532F" w:rsidRDefault="00E860EC" w:rsidP="00B70B76">
            <w:pPr>
              <w:spacing w:before="40" w:after="40" w:line="240" w:lineRule="auto"/>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 xml:space="preserve">Method 2: </w:t>
            </w:r>
            <w:r w:rsidR="0063480B">
              <w:rPr>
                <w:rFonts w:ascii="Arial Narrow" w:eastAsia="Times New Roman" w:hAnsi="Arial Narrow" w:cs="Times New Roman"/>
                <w:color w:val="000000"/>
                <w:sz w:val="20"/>
                <w:szCs w:val="20"/>
              </w:rPr>
              <w:t>ANBL 1221</w:t>
            </w:r>
            <w:r w:rsidRPr="0052532F">
              <w:rPr>
                <w:rFonts w:ascii="Arial Narrow" w:eastAsia="Times New Roman" w:hAnsi="Arial Narrow" w:cs="Times New Roman"/>
                <w:color w:val="000000"/>
                <w:sz w:val="20"/>
                <w:szCs w:val="20"/>
              </w:rPr>
              <w:t>, both arms</w:t>
            </w:r>
          </w:p>
        </w:tc>
        <w:tc>
          <w:tcPr>
            <w:tcW w:w="595" w:type="pct"/>
            <w:shd w:val="clear" w:color="auto" w:fill="auto"/>
            <w:noWrap/>
            <w:vAlign w:val="bottom"/>
            <w:hideMark/>
          </w:tcPr>
          <w:p w14:paraId="48EA6217" w14:textId="5E640838"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B941DB">
              <w:rPr>
                <w:rFonts w:ascii="Arial Narrow" w:eastAsia="Times New Roman" w:hAnsi="Arial Narrow" w:cs="Times New Roman"/>
                <w:b/>
                <w:bCs/>
                <w:color w:val="000000"/>
                <w:sz w:val="20"/>
                <w:szCs w:val="20"/>
              </w:rPr>
              <w:t>redacted</w:t>
            </w:r>
          </w:p>
        </w:tc>
        <w:tc>
          <w:tcPr>
            <w:tcW w:w="478" w:type="pct"/>
            <w:shd w:val="clear" w:color="auto" w:fill="auto"/>
            <w:noWrap/>
            <w:vAlign w:val="bottom"/>
            <w:hideMark/>
          </w:tcPr>
          <w:p w14:paraId="62C1F135"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2.28</w:t>
            </w:r>
          </w:p>
        </w:tc>
        <w:tc>
          <w:tcPr>
            <w:tcW w:w="548" w:type="pct"/>
            <w:shd w:val="clear" w:color="auto" w:fill="auto"/>
            <w:noWrap/>
            <w:vAlign w:val="bottom"/>
            <w:hideMark/>
          </w:tcPr>
          <w:p w14:paraId="454F6AD3" w14:textId="61F3D648"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B941DB">
              <w:rPr>
                <w:rFonts w:ascii="Arial Narrow" w:eastAsia="Times New Roman" w:hAnsi="Arial Narrow" w:cs="Times New Roman"/>
                <w:color w:val="000000"/>
                <w:sz w:val="20"/>
                <w:szCs w:val="20"/>
              </w:rPr>
              <w:t>1.61</w:t>
            </w:r>
          </w:p>
        </w:tc>
        <w:tc>
          <w:tcPr>
            <w:tcW w:w="781" w:type="pct"/>
            <w:shd w:val="clear" w:color="auto" w:fill="auto"/>
            <w:noWrap/>
            <w:vAlign w:val="bottom"/>
            <w:hideMark/>
          </w:tcPr>
          <w:p w14:paraId="12C20210" w14:textId="3F5467A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B941DB">
              <w:rPr>
                <w:rFonts w:ascii="Arial Narrow" w:eastAsia="Times New Roman" w:hAnsi="Arial Narrow" w:cs="Times New Roman"/>
                <w:b/>
                <w:bCs/>
                <w:color w:val="000000"/>
                <w:sz w:val="20"/>
                <w:szCs w:val="20"/>
              </w:rPr>
              <w:t>redacted</w:t>
            </w:r>
          </w:p>
        </w:tc>
        <w:tc>
          <w:tcPr>
            <w:tcW w:w="563" w:type="pct"/>
            <w:shd w:val="clear" w:color="auto" w:fill="auto"/>
            <w:noWrap/>
            <w:vAlign w:val="bottom"/>
            <w:hideMark/>
          </w:tcPr>
          <w:p w14:paraId="37D5D862"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32.6%</w:t>
            </w:r>
          </w:p>
        </w:tc>
      </w:tr>
      <w:tr w:rsidR="00E860EC" w:rsidRPr="0052532F" w14:paraId="4AC4DA4F" w14:textId="77777777" w:rsidTr="375F5CCE">
        <w:trPr>
          <w:trHeight w:val="20"/>
        </w:trPr>
        <w:tc>
          <w:tcPr>
            <w:tcW w:w="2032" w:type="pct"/>
            <w:shd w:val="clear" w:color="auto" w:fill="auto"/>
            <w:noWrap/>
            <w:vAlign w:val="bottom"/>
            <w:hideMark/>
          </w:tcPr>
          <w:p w14:paraId="6A9F348A" w14:textId="77777777" w:rsidR="00E860EC" w:rsidRPr="0052532F" w:rsidRDefault="00E860EC" w:rsidP="00B70B76">
            <w:pPr>
              <w:spacing w:before="40" w:after="40" w:line="240" w:lineRule="auto"/>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Method 2: Moreno 2017 meta-analysis</w:t>
            </w:r>
          </w:p>
        </w:tc>
        <w:tc>
          <w:tcPr>
            <w:tcW w:w="595" w:type="pct"/>
            <w:shd w:val="clear" w:color="auto" w:fill="auto"/>
            <w:noWrap/>
            <w:vAlign w:val="bottom"/>
            <w:hideMark/>
          </w:tcPr>
          <w:p w14:paraId="78AF79D5" w14:textId="299BF4E8"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0F73F7">
              <w:rPr>
                <w:rFonts w:ascii="Arial Narrow" w:eastAsia="Times New Roman" w:hAnsi="Arial Narrow" w:cs="Times New Roman"/>
                <w:b/>
                <w:bCs/>
                <w:color w:val="000000"/>
                <w:sz w:val="20"/>
                <w:szCs w:val="20"/>
              </w:rPr>
              <w:t>redacted</w:t>
            </w:r>
          </w:p>
        </w:tc>
        <w:tc>
          <w:tcPr>
            <w:tcW w:w="478" w:type="pct"/>
            <w:shd w:val="clear" w:color="auto" w:fill="auto"/>
            <w:noWrap/>
            <w:vAlign w:val="bottom"/>
            <w:hideMark/>
          </w:tcPr>
          <w:p w14:paraId="7EE1C933"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1.93</w:t>
            </w:r>
          </w:p>
        </w:tc>
        <w:tc>
          <w:tcPr>
            <w:tcW w:w="548" w:type="pct"/>
            <w:shd w:val="clear" w:color="auto" w:fill="auto"/>
            <w:noWrap/>
            <w:vAlign w:val="bottom"/>
            <w:hideMark/>
          </w:tcPr>
          <w:p w14:paraId="36F0AE3A" w14:textId="425FA3FE"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B941DB">
              <w:rPr>
                <w:rFonts w:ascii="Arial Narrow" w:eastAsia="Times New Roman" w:hAnsi="Arial Narrow" w:cs="Times New Roman"/>
                <w:color w:val="000000"/>
                <w:sz w:val="20"/>
                <w:szCs w:val="20"/>
              </w:rPr>
              <w:t>1.42</w:t>
            </w:r>
          </w:p>
        </w:tc>
        <w:tc>
          <w:tcPr>
            <w:tcW w:w="781" w:type="pct"/>
            <w:shd w:val="clear" w:color="auto" w:fill="auto"/>
            <w:noWrap/>
            <w:vAlign w:val="bottom"/>
            <w:hideMark/>
          </w:tcPr>
          <w:p w14:paraId="4A58B4EC" w14:textId="0D5D66F0"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w:t>
            </w:r>
            <w:r w:rsidR="00142E36" w:rsidRPr="00B941DB">
              <w:rPr>
                <w:rFonts w:ascii="Arial Narrow" w:eastAsia="Times New Roman" w:hAnsi="Arial Narrow" w:cs="Times New Roman"/>
                <w:b/>
                <w:bCs/>
                <w:color w:val="000000"/>
                <w:sz w:val="20"/>
                <w:szCs w:val="20"/>
              </w:rPr>
              <w:t>redacted</w:t>
            </w:r>
          </w:p>
        </w:tc>
        <w:tc>
          <w:tcPr>
            <w:tcW w:w="563" w:type="pct"/>
            <w:shd w:val="clear" w:color="auto" w:fill="auto"/>
            <w:noWrap/>
            <w:vAlign w:val="bottom"/>
            <w:hideMark/>
          </w:tcPr>
          <w:p w14:paraId="48219102" w14:textId="77777777" w:rsidR="00E860EC" w:rsidRPr="0052532F" w:rsidRDefault="00E860EC" w:rsidP="00B70B76">
            <w:pPr>
              <w:spacing w:before="40" w:after="40" w:line="240" w:lineRule="auto"/>
              <w:jc w:val="center"/>
              <w:rPr>
                <w:rFonts w:ascii="Arial Narrow" w:eastAsia="Times New Roman" w:hAnsi="Arial Narrow" w:cs="Times New Roman"/>
                <w:color w:val="000000"/>
                <w:sz w:val="20"/>
                <w:szCs w:val="20"/>
              </w:rPr>
            </w:pPr>
            <w:r w:rsidRPr="0052532F">
              <w:rPr>
                <w:rFonts w:ascii="Arial Narrow" w:eastAsia="Times New Roman" w:hAnsi="Arial Narrow" w:cs="Times New Roman"/>
                <w:color w:val="000000"/>
                <w:sz w:val="20"/>
                <w:szCs w:val="20"/>
              </w:rPr>
              <w:t>48.0%</w:t>
            </w:r>
          </w:p>
        </w:tc>
      </w:tr>
    </w:tbl>
    <w:p w14:paraId="4D80F0E1" w14:textId="77FFC4B6" w:rsidR="00E860EC" w:rsidRDefault="00E860EC" w:rsidP="00D43506">
      <w:pPr>
        <w:spacing w:before="240" w:after="240"/>
      </w:pPr>
      <w:r w:rsidRPr="375F5CCE">
        <w:t xml:space="preserve">Generally, </w:t>
      </w:r>
      <w:r w:rsidR="00FB5DC6" w:rsidRPr="375F5CCE">
        <w:t>Method 2</w:t>
      </w:r>
      <w:r w:rsidRPr="375F5CCE">
        <w:t xml:space="preserve"> led to more favourable survival estimates in the </w:t>
      </w:r>
      <w:r w:rsidR="00FB5DC6" w:rsidRPr="375F5CCE">
        <w:t>D</w:t>
      </w:r>
      <w:r w:rsidRPr="375F5CCE">
        <w:t xml:space="preserve">B and control arms as observed by the upward shift in survival curves. As the increase in survival using </w:t>
      </w:r>
      <w:r w:rsidR="00FB5DC6" w:rsidRPr="375F5CCE">
        <w:t>Method 2</w:t>
      </w:r>
      <w:r w:rsidRPr="375F5CCE">
        <w:t xml:space="preserve"> </w:t>
      </w:r>
      <w:r w:rsidR="00FB5DC6" w:rsidRPr="375F5CCE">
        <w:t>wa</w:t>
      </w:r>
      <w:r w:rsidRPr="375F5CCE">
        <w:t xml:space="preserve">s more prominent in the control arm compared to the </w:t>
      </w:r>
      <w:r w:rsidR="00FB5DC6" w:rsidRPr="375F5CCE">
        <w:t>D</w:t>
      </w:r>
      <w:r w:rsidRPr="375F5CCE">
        <w:t xml:space="preserve">B arm, there is a greater narrowing in the OS benefit under </w:t>
      </w:r>
      <w:r w:rsidR="00FB5DC6" w:rsidRPr="375F5CCE">
        <w:t>Method 2 compared with Method 1</w:t>
      </w:r>
      <w:r w:rsidR="00764DC6" w:rsidRPr="375F5CCE">
        <w:t xml:space="preserve"> </w:t>
      </w:r>
      <w:r w:rsidR="00707424" w:rsidRPr="375F5CCE">
        <w:t>(</w:t>
      </w:r>
      <w:r>
        <w:fldChar w:fldCharType="begin"/>
      </w:r>
      <w:r>
        <w:instrText xml:space="preserve"> REF _Ref183987574 \h </w:instrText>
      </w:r>
      <w:r>
        <w:fldChar w:fldCharType="separate"/>
      </w:r>
      <w:r w:rsidR="00C02A66" w:rsidRPr="375F5CCE">
        <w:t xml:space="preserve">Figure </w:t>
      </w:r>
      <w:r w:rsidR="00C02A66" w:rsidRPr="375F5CCE">
        <w:rPr>
          <w:noProof/>
        </w:rPr>
        <w:t>5</w:t>
      </w:r>
      <w:r>
        <w:fldChar w:fldCharType="end"/>
      </w:r>
      <w:r w:rsidR="00707424" w:rsidRPr="375F5CCE">
        <w:t>)</w:t>
      </w:r>
      <w:r w:rsidRPr="375F5CCE">
        <w:t>. This is observed in the reduction in incremental LYG compared to the base case. Interpolating OS parametric function</w:t>
      </w:r>
      <w:r w:rsidR="00FB5DC6" w:rsidRPr="375F5CCE">
        <w:t>s</w:t>
      </w:r>
      <w:r w:rsidRPr="375F5CCE">
        <w:t xml:space="preserve"> using BEACON-1 (all arms) led to the most conservative ICER (+52%), followed by Moreno 2017</w:t>
      </w:r>
      <w:r w:rsidR="00566873">
        <w:rPr>
          <w:rStyle w:val="FootnoteReference"/>
        </w:rPr>
        <w:footnoteReference w:id="23"/>
      </w:r>
      <w:r w:rsidRPr="375F5CCE">
        <w:t xml:space="preserve"> meta-analysis (+48%) and </w:t>
      </w:r>
      <w:r w:rsidR="0063480B" w:rsidRPr="375F5CCE">
        <w:t>ANBL 1221</w:t>
      </w:r>
      <w:r w:rsidRPr="375F5CCE">
        <w:t xml:space="preserve"> (+32.6%).</w:t>
      </w:r>
    </w:p>
    <w:p w14:paraId="3BC51590" w14:textId="3722A342" w:rsidR="0070507E" w:rsidRDefault="0070507E" w:rsidP="00D43506">
      <w:pPr>
        <w:spacing w:after="240"/>
      </w:pPr>
      <w:r>
        <w:fldChar w:fldCharType="begin"/>
      </w:r>
      <w:r>
        <w:instrText xml:space="preserve"> REF _Ref183993335 \h  \* MERGEFORMAT </w:instrText>
      </w:r>
      <w:r>
        <w:fldChar w:fldCharType="separate"/>
      </w:r>
      <w:r w:rsidR="00C02A66" w:rsidRPr="375F5CCE">
        <w:t>Table 12</w:t>
      </w:r>
      <w:r>
        <w:fldChar w:fldCharType="end"/>
      </w:r>
      <w:r w:rsidRPr="375F5CCE">
        <w:t xml:space="preserve"> presents additional scenario analyses corresponding to Method 2, that were not included in the </w:t>
      </w:r>
      <w:r w:rsidR="00FB5DC6" w:rsidRPr="375F5CCE">
        <w:t>ADAR</w:t>
      </w:r>
      <w:r w:rsidRPr="375F5CCE">
        <w:t xml:space="preserve">. </w:t>
      </w:r>
      <w:r w:rsidR="00FB3899" w:rsidRPr="375F5CCE">
        <w:t>An error in the</w:t>
      </w:r>
      <w:r w:rsidRPr="375F5CCE">
        <w:t xml:space="preserve"> VBA code </w:t>
      </w:r>
      <w:r w:rsidR="00E07E37" w:rsidRPr="375F5CCE">
        <w:t>was identified</w:t>
      </w:r>
      <w:r w:rsidRPr="375F5CCE">
        <w:t xml:space="preserve"> in the formulae that modelled PFS and OS with a half-cycle correction, </w:t>
      </w:r>
      <w:r w:rsidR="00E07E37" w:rsidRPr="375F5CCE">
        <w:t xml:space="preserve">thus </w:t>
      </w:r>
      <w:r w:rsidRPr="375F5CCE">
        <w:t xml:space="preserve">the ICER values are reported with and without a half-cycle correction. The </w:t>
      </w:r>
      <w:r w:rsidR="00C510FD" w:rsidRPr="375F5CCE">
        <w:t>BEACON-</w:t>
      </w:r>
      <w:proofErr w:type="spellStart"/>
      <w:r w:rsidR="00C510FD" w:rsidRPr="375F5CCE">
        <w:t>Immuno</w:t>
      </w:r>
      <w:proofErr w:type="spellEnd"/>
      <w:r w:rsidRPr="375F5CCE">
        <w:t xml:space="preserve"> RCT was selected for both the intervention and comparator arm to prevent randomisation breakdown. Th</w:t>
      </w:r>
      <w:r w:rsidR="00E07E37" w:rsidRPr="375F5CCE">
        <w:t>is</w:t>
      </w:r>
      <w:r w:rsidRPr="375F5CCE">
        <w:t xml:space="preserve"> data source was combined with OS parametric functions from each of the three options included in Method 2. The ICER varied from $</w:t>
      </w:r>
      <w:r w:rsidR="00142E36" w:rsidRPr="00B941DB">
        <w:rPr>
          <w:b/>
          <w:bCs/>
        </w:rPr>
        <w:t>redacted</w:t>
      </w:r>
      <w:r w:rsidRPr="375F5CCE">
        <w:t xml:space="preserve"> to $</w:t>
      </w:r>
      <w:r w:rsidR="00142E36" w:rsidRPr="00132534">
        <w:rPr>
          <w:b/>
          <w:bCs/>
        </w:rPr>
        <w:t>redacted</w:t>
      </w:r>
      <w:r w:rsidRPr="375F5CCE">
        <w:t>, an increase from the base case value of 155% and 216% respectively.</w:t>
      </w:r>
    </w:p>
    <w:p w14:paraId="2C66D2CE" w14:textId="774F8BB9" w:rsidR="006C2FD4" w:rsidRPr="007B61D6" w:rsidRDefault="006868A9" w:rsidP="006868A9">
      <w:pPr>
        <w:pStyle w:val="Caption"/>
      </w:pPr>
      <w:bookmarkStart w:id="48" w:name="_Ref183993335"/>
      <w:r w:rsidRPr="007B61D6">
        <w:lastRenderedPageBreak/>
        <w:t xml:space="preserve">Table </w:t>
      </w:r>
      <w:r>
        <w:fldChar w:fldCharType="begin"/>
      </w:r>
      <w:r>
        <w:instrText>SEQ Table \* ARABIC</w:instrText>
      </w:r>
      <w:r>
        <w:fldChar w:fldCharType="separate"/>
      </w:r>
      <w:r w:rsidR="00C02A66">
        <w:rPr>
          <w:noProof/>
        </w:rPr>
        <w:t>12</w:t>
      </w:r>
      <w:r>
        <w:fldChar w:fldCharType="end"/>
      </w:r>
      <w:bookmarkEnd w:id="48"/>
      <w:r w:rsidR="0070507E">
        <w:tab/>
      </w:r>
      <w:r w:rsidR="00E94857" w:rsidRPr="007B61D6">
        <w:t>A</w:t>
      </w:r>
      <w:r w:rsidRPr="007B61D6">
        <w:t>dditional scenario analyses corresponding to Method 2</w:t>
      </w: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9"/>
        <w:gridCol w:w="1643"/>
        <w:gridCol w:w="1276"/>
        <w:gridCol w:w="1134"/>
        <w:gridCol w:w="992"/>
        <w:gridCol w:w="1134"/>
        <w:gridCol w:w="1200"/>
        <w:gridCol w:w="1302"/>
      </w:tblGrid>
      <w:tr w:rsidR="000C6950" w:rsidRPr="0070507E" w14:paraId="0462981B" w14:textId="77777777" w:rsidTr="007B61D6">
        <w:trPr>
          <w:trHeight w:val="600"/>
        </w:trPr>
        <w:tc>
          <w:tcPr>
            <w:tcW w:w="909" w:type="dxa"/>
            <w:shd w:val="clear" w:color="auto" w:fill="auto"/>
            <w:vAlign w:val="center"/>
          </w:tcPr>
          <w:p w14:paraId="546B3B0E" w14:textId="5ABF9D6A" w:rsidR="00BC1892" w:rsidRPr="007B61D6" w:rsidRDefault="00BC1892" w:rsidP="0070507E">
            <w:pPr>
              <w:pStyle w:val="KMC16-Tablecontent"/>
              <w:keepNext/>
              <w:keepLines/>
              <w:rPr>
                <w:b/>
                <w:color w:val="auto"/>
                <w:szCs w:val="20"/>
                <w:lang w:eastAsia="en-AU"/>
              </w:rPr>
            </w:pPr>
            <w:r w:rsidRPr="007B61D6">
              <w:rPr>
                <w:b/>
                <w:szCs w:val="20"/>
                <w:lang w:eastAsia="en-AU"/>
              </w:rPr>
              <w:t>Scenario name</w:t>
            </w:r>
          </w:p>
        </w:tc>
        <w:tc>
          <w:tcPr>
            <w:tcW w:w="1643" w:type="dxa"/>
            <w:shd w:val="clear" w:color="auto" w:fill="auto"/>
            <w:vAlign w:val="center"/>
          </w:tcPr>
          <w:p w14:paraId="30C56CDE" w14:textId="0406C7AC" w:rsidR="00BC1892" w:rsidRPr="007B61D6" w:rsidRDefault="00BC1892" w:rsidP="0070507E">
            <w:pPr>
              <w:pStyle w:val="KMC16-Tablecontent"/>
              <w:keepNext/>
              <w:keepLines/>
              <w:jc w:val="center"/>
              <w:rPr>
                <w:color w:val="auto"/>
                <w:szCs w:val="20"/>
                <w:lang w:eastAsia="en-AU"/>
              </w:rPr>
            </w:pPr>
            <w:r w:rsidRPr="007B61D6">
              <w:rPr>
                <w:rFonts w:cs="Calibri"/>
                <w:b/>
                <w:color w:val="auto"/>
                <w:szCs w:val="20"/>
              </w:rPr>
              <w:t xml:space="preserve">PFS - </w:t>
            </w:r>
            <w:r w:rsidR="0070507E">
              <w:rPr>
                <w:rFonts w:cs="Calibri"/>
                <w:b/>
                <w:color w:val="auto"/>
                <w:szCs w:val="20"/>
              </w:rPr>
              <w:t>D</w:t>
            </w:r>
            <w:r w:rsidRPr="007B61D6">
              <w:rPr>
                <w:rFonts w:cs="Calibri"/>
                <w:b/>
                <w:color w:val="auto"/>
                <w:szCs w:val="20"/>
              </w:rPr>
              <w:t>B</w:t>
            </w:r>
          </w:p>
        </w:tc>
        <w:tc>
          <w:tcPr>
            <w:tcW w:w="1276" w:type="dxa"/>
            <w:shd w:val="clear" w:color="auto" w:fill="auto"/>
            <w:vAlign w:val="center"/>
          </w:tcPr>
          <w:p w14:paraId="20EE3FE4" w14:textId="77777777" w:rsidR="00BC1892" w:rsidRPr="007B61D6" w:rsidRDefault="00BC1892" w:rsidP="0070507E">
            <w:pPr>
              <w:pStyle w:val="KMC16-Tablecontent"/>
              <w:keepNext/>
              <w:keepLines/>
              <w:jc w:val="center"/>
              <w:rPr>
                <w:color w:val="auto"/>
                <w:szCs w:val="20"/>
                <w:lang w:eastAsia="en-AU"/>
              </w:rPr>
            </w:pPr>
            <w:r w:rsidRPr="007B61D6">
              <w:rPr>
                <w:rFonts w:cs="Calibri"/>
                <w:b/>
                <w:color w:val="auto"/>
                <w:szCs w:val="20"/>
              </w:rPr>
              <w:t>PFS - Control</w:t>
            </w:r>
          </w:p>
        </w:tc>
        <w:tc>
          <w:tcPr>
            <w:tcW w:w="1134" w:type="dxa"/>
            <w:shd w:val="clear" w:color="auto" w:fill="auto"/>
            <w:vAlign w:val="center"/>
          </w:tcPr>
          <w:p w14:paraId="6F15CCFD" w14:textId="77777777" w:rsidR="00BC1892" w:rsidRPr="007B61D6" w:rsidRDefault="00BC1892" w:rsidP="0070507E">
            <w:pPr>
              <w:pStyle w:val="KMC16-Tablecontent"/>
              <w:keepNext/>
              <w:keepLines/>
              <w:jc w:val="center"/>
              <w:rPr>
                <w:color w:val="auto"/>
                <w:szCs w:val="20"/>
                <w:lang w:eastAsia="en-AU"/>
              </w:rPr>
            </w:pPr>
            <w:r w:rsidRPr="007B61D6">
              <w:rPr>
                <w:rFonts w:cs="Calibri"/>
                <w:b/>
                <w:color w:val="auto"/>
                <w:szCs w:val="20"/>
              </w:rPr>
              <w:t>OS</w:t>
            </w:r>
          </w:p>
        </w:tc>
        <w:tc>
          <w:tcPr>
            <w:tcW w:w="992" w:type="dxa"/>
            <w:shd w:val="clear" w:color="auto" w:fill="auto"/>
            <w:noWrap/>
            <w:vAlign w:val="center"/>
          </w:tcPr>
          <w:p w14:paraId="32660AD6" w14:textId="77777777" w:rsidR="00BC1892" w:rsidRPr="007B61D6" w:rsidRDefault="00BC1892" w:rsidP="0070507E">
            <w:pPr>
              <w:pStyle w:val="KMC16-Tablecontent"/>
              <w:keepNext/>
              <w:keepLines/>
              <w:jc w:val="center"/>
              <w:rPr>
                <w:color w:val="auto"/>
                <w:szCs w:val="20"/>
                <w:lang w:eastAsia="en-AU"/>
              </w:rPr>
            </w:pPr>
            <w:r w:rsidRPr="007B61D6">
              <w:rPr>
                <w:b/>
                <w:color w:val="auto"/>
                <w:szCs w:val="20"/>
                <w:lang w:eastAsia="en-AU"/>
              </w:rPr>
              <w:t>Incr. PFS (mean, years)</w:t>
            </w:r>
          </w:p>
        </w:tc>
        <w:tc>
          <w:tcPr>
            <w:tcW w:w="1134" w:type="dxa"/>
            <w:shd w:val="clear" w:color="auto" w:fill="auto"/>
            <w:noWrap/>
            <w:vAlign w:val="center"/>
          </w:tcPr>
          <w:p w14:paraId="0FBA7036" w14:textId="77777777" w:rsidR="00BC1892" w:rsidRPr="007B61D6" w:rsidRDefault="00BC1892" w:rsidP="0070507E">
            <w:pPr>
              <w:pStyle w:val="KMC16-Tablecontent"/>
              <w:keepNext/>
              <w:keepLines/>
              <w:jc w:val="center"/>
              <w:rPr>
                <w:color w:val="auto"/>
                <w:szCs w:val="20"/>
                <w:lang w:eastAsia="en-AU"/>
              </w:rPr>
            </w:pPr>
            <w:r w:rsidRPr="007B61D6">
              <w:rPr>
                <w:b/>
                <w:color w:val="auto"/>
                <w:szCs w:val="20"/>
                <w:lang w:eastAsia="en-AU"/>
              </w:rPr>
              <w:t>Incr. OS (mean, years)</w:t>
            </w:r>
          </w:p>
        </w:tc>
        <w:tc>
          <w:tcPr>
            <w:tcW w:w="1200" w:type="dxa"/>
            <w:shd w:val="clear" w:color="auto" w:fill="auto"/>
            <w:noWrap/>
            <w:vAlign w:val="center"/>
          </w:tcPr>
          <w:p w14:paraId="7E6F917E" w14:textId="77777777" w:rsidR="00BC1892" w:rsidRPr="007B61D6" w:rsidRDefault="00BC1892" w:rsidP="0070507E">
            <w:pPr>
              <w:pStyle w:val="KMC16-Tablecontent"/>
              <w:keepNext/>
              <w:keepLines/>
              <w:jc w:val="center"/>
              <w:rPr>
                <w:color w:val="auto"/>
                <w:szCs w:val="20"/>
                <w:lang w:eastAsia="en-AU"/>
              </w:rPr>
            </w:pPr>
            <w:r w:rsidRPr="007B61D6">
              <w:rPr>
                <w:b/>
                <w:color w:val="auto"/>
                <w:szCs w:val="20"/>
                <w:lang w:eastAsia="en-AU"/>
              </w:rPr>
              <w:t>QALY gained (discounted)</w:t>
            </w:r>
          </w:p>
        </w:tc>
        <w:tc>
          <w:tcPr>
            <w:tcW w:w="1302" w:type="dxa"/>
            <w:shd w:val="clear" w:color="auto" w:fill="auto"/>
            <w:noWrap/>
            <w:vAlign w:val="center"/>
          </w:tcPr>
          <w:p w14:paraId="192D92BA" w14:textId="1905F9AB" w:rsidR="00BC1892" w:rsidRPr="007B61D6" w:rsidRDefault="00BC1892" w:rsidP="0070507E">
            <w:pPr>
              <w:pStyle w:val="KMC16-Tablecontent"/>
              <w:keepNext/>
              <w:keepLines/>
              <w:jc w:val="center"/>
              <w:rPr>
                <w:color w:val="auto"/>
                <w:szCs w:val="20"/>
                <w:lang w:eastAsia="en-AU"/>
              </w:rPr>
            </w:pPr>
            <w:r w:rsidRPr="007B61D6">
              <w:rPr>
                <w:b/>
                <w:color w:val="auto"/>
                <w:szCs w:val="20"/>
                <w:lang w:eastAsia="en-AU"/>
              </w:rPr>
              <w:t>IC</w:t>
            </w:r>
            <w:r w:rsidR="00D94131" w:rsidRPr="007B61D6">
              <w:rPr>
                <w:b/>
                <w:color w:val="auto"/>
                <w:szCs w:val="20"/>
                <w:lang w:eastAsia="en-AU"/>
              </w:rPr>
              <w:t>ER</w:t>
            </w:r>
          </w:p>
        </w:tc>
      </w:tr>
      <w:tr w:rsidR="000C6950" w:rsidRPr="0070507E" w14:paraId="20DC3735" w14:textId="77777777" w:rsidTr="0070507E">
        <w:trPr>
          <w:trHeight w:val="600"/>
        </w:trPr>
        <w:tc>
          <w:tcPr>
            <w:tcW w:w="909" w:type="dxa"/>
            <w:shd w:val="clear" w:color="auto" w:fill="auto"/>
          </w:tcPr>
          <w:p w14:paraId="5571EF91" w14:textId="77777777" w:rsidR="00BC1892" w:rsidRPr="007B61D6" w:rsidRDefault="00BC1892" w:rsidP="008456A1">
            <w:pPr>
              <w:pStyle w:val="KMC16-Tablecontent"/>
              <w:keepNext/>
              <w:keepLines/>
              <w:rPr>
                <w:b/>
                <w:color w:val="auto"/>
                <w:szCs w:val="20"/>
                <w:lang w:eastAsia="en-AU"/>
              </w:rPr>
            </w:pPr>
            <w:r w:rsidRPr="007B61D6">
              <w:rPr>
                <w:b/>
                <w:color w:val="auto"/>
                <w:szCs w:val="20"/>
              </w:rPr>
              <w:t>Base-case analysis</w:t>
            </w:r>
          </w:p>
        </w:tc>
        <w:tc>
          <w:tcPr>
            <w:tcW w:w="1643" w:type="dxa"/>
            <w:shd w:val="clear" w:color="auto" w:fill="auto"/>
          </w:tcPr>
          <w:p w14:paraId="0F006A84" w14:textId="77777777" w:rsidR="00BC1892" w:rsidRPr="007B61D6" w:rsidRDefault="00BC1892" w:rsidP="008456A1">
            <w:pPr>
              <w:pStyle w:val="KMC16-Tablecontent"/>
              <w:keepNext/>
              <w:keepLines/>
              <w:rPr>
                <w:b/>
                <w:color w:val="auto"/>
                <w:szCs w:val="20"/>
              </w:rPr>
            </w:pPr>
            <w:r w:rsidRPr="007B61D6">
              <w:rPr>
                <w:b/>
                <w:color w:val="auto"/>
                <w:szCs w:val="20"/>
              </w:rPr>
              <w:t>All studies</w:t>
            </w:r>
          </w:p>
          <w:p w14:paraId="1E02FF74" w14:textId="4FA12273" w:rsidR="00BC1892" w:rsidRPr="007B61D6" w:rsidRDefault="00C510FD" w:rsidP="008456A1">
            <w:pPr>
              <w:pStyle w:val="KMC16-Tablecontent"/>
              <w:keepNext/>
              <w:keepLines/>
              <w:rPr>
                <w:b/>
                <w:color w:val="auto"/>
                <w:szCs w:val="20"/>
                <w:lang w:eastAsia="en-AU"/>
              </w:rPr>
            </w:pPr>
            <w:r>
              <w:rPr>
                <w:color w:val="auto"/>
                <w:szCs w:val="20"/>
              </w:rPr>
              <w:t>BEACON-</w:t>
            </w:r>
            <w:proofErr w:type="spellStart"/>
            <w:r>
              <w:rPr>
                <w:color w:val="auto"/>
                <w:szCs w:val="20"/>
              </w:rPr>
              <w:t>Immuno</w:t>
            </w:r>
            <w:proofErr w:type="spellEnd"/>
            <w:r w:rsidR="00BC1892" w:rsidRPr="007B61D6">
              <w:rPr>
                <w:color w:val="auto"/>
                <w:szCs w:val="20"/>
              </w:rPr>
              <w:t xml:space="preserve"> &amp; Wieczorek 2023</w:t>
            </w:r>
          </w:p>
        </w:tc>
        <w:tc>
          <w:tcPr>
            <w:tcW w:w="1276" w:type="dxa"/>
            <w:shd w:val="clear" w:color="auto" w:fill="auto"/>
          </w:tcPr>
          <w:p w14:paraId="740ED323" w14:textId="77777777" w:rsidR="00BC1892" w:rsidRPr="007B61D6" w:rsidRDefault="00BC1892" w:rsidP="008456A1">
            <w:pPr>
              <w:pStyle w:val="KMC16-Tablecontent"/>
              <w:keepNext/>
              <w:keepLines/>
              <w:rPr>
                <w:b/>
                <w:color w:val="auto"/>
                <w:szCs w:val="20"/>
              </w:rPr>
            </w:pPr>
            <w:r w:rsidRPr="007B61D6">
              <w:rPr>
                <w:b/>
                <w:color w:val="auto"/>
                <w:szCs w:val="20"/>
              </w:rPr>
              <w:t>All studies</w:t>
            </w:r>
          </w:p>
          <w:p w14:paraId="77C6E949" w14:textId="77777777" w:rsidR="00BC1892" w:rsidRPr="007B61D6" w:rsidRDefault="00BC1892" w:rsidP="008456A1">
            <w:pPr>
              <w:pStyle w:val="KMC16-Tablecontent"/>
              <w:keepNext/>
              <w:keepLines/>
              <w:rPr>
                <w:bCs/>
                <w:color w:val="auto"/>
                <w:szCs w:val="20"/>
                <w:lang w:eastAsia="en-AU"/>
              </w:rPr>
            </w:pPr>
            <w:r w:rsidRPr="007B61D6">
              <w:rPr>
                <w:bCs/>
                <w:color w:val="auto"/>
                <w:szCs w:val="20"/>
                <w:lang w:eastAsia="en-AU"/>
              </w:rPr>
              <w:t>(2 control arms+ 4 single arm studies)</w:t>
            </w:r>
          </w:p>
        </w:tc>
        <w:tc>
          <w:tcPr>
            <w:tcW w:w="1134" w:type="dxa"/>
            <w:shd w:val="clear" w:color="auto" w:fill="auto"/>
          </w:tcPr>
          <w:p w14:paraId="24F0943A" w14:textId="1326D4FF" w:rsidR="00BC1892" w:rsidRPr="007B61D6" w:rsidRDefault="0070507E" w:rsidP="008456A1">
            <w:pPr>
              <w:pStyle w:val="KMC16-Tablecontent"/>
              <w:keepNext/>
              <w:keepLines/>
              <w:rPr>
                <w:bCs/>
                <w:color w:val="auto"/>
                <w:szCs w:val="20"/>
                <w:lang w:eastAsia="en-AU"/>
              </w:rPr>
            </w:pPr>
            <w:r>
              <w:rPr>
                <w:bCs/>
                <w:color w:val="auto"/>
                <w:szCs w:val="20"/>
              </w:rPr>
              <w:t>SCH 2024</w:t>
            </w:r>
          </w:p>
        </w:tc>
        <w:tc>
          <w:tcPr>
            <w:tcW w:w="992" w:type="dxa"/>
            <w:shd w:val="clear" w:color="auto" w:fill="auto"/>
            <w:noWrap/>
          </w:tcPr>
          <w:p w14:paraId="3C732E8A" w14:textId="32D229BA" w:rsidR="00BC1892" w:rsidRPr="007B61D6" w:rsidRDefault="00BC1892" w:rsidP="008456A1">
            <w:pPr>
              <w:pStyle w:val="KMC16-Tablecontent"/>
              <w:keepNext/>
              <w:keepLines/>
              <w:jc w:val="center"/>
              <w:rPr>
                <w:b/>
                <w:color w:val="auto"/>
                <w:szCs w:val="20"/>
                <w:lang w:eastAsia="en-AU"/>
              </w:rPr>
            </w:pPr>
            <w:r w:rsidRPr="007B61D6">
              <w:rPr>
                <w:b/>
                <w:color w:val="auto"/>
                <w:szCs w:val="20"/>
              </w:rPr>
              <w:t xml:space="preserve">2.31 </w:t>
            </w:r>
          </w:p>
        </w:tc>
        <w:tc>
          <w:tcPr>
            <w:tcW w:w="1134" w:type="dxa"/>
            <w:shd w:val="clear" w:color="auto" w:fill="auto"/>
            <w:noWrap/>
          </w:tcPr>
          <w:p w14:paraId="29CD4A30" w14:textId="371EC757" w:rsidR="00BC1892" w:rsidRPr="007B61D6" w:rsidRDefault="00BC1892" w:rsidP="008456A1">
            <w:pPr>
              <w:pStyle w:val="KMC16-Tablecontent"/>
              <w:keepNext/>
              <w:keepLines/>
              <w:jc w:val="center"/>
              <w:rPr>
                <w:b/>
                <w:color w:val="auto"/>
                <w:szCs w:val="20"/>
                <w:lang w:eastAsia="en-AU"/>
              </w:rPr>
            </w:pPr>
            <w:r w:rsidRPr="007B61D6">
              <w:rPr>
                <w:b/>
                <w:color w:val="auto"/>
                <w:szCs w:val="20"/>
              </w:rPr>
              <w:t xml:space="preserve">3.44 </w:t>
            </w:r>
          </w:p>
        </w:tc>
        <w:tc>
          <w:tcPr>
            <w:tcW w:w="1200" w:type="dxa"/>
            <w:shd w:val="clear" w:color="auto" w:fill="auto"/>
            <w:noWrap/>
          </w:tcPr>
          <w:p w14:paraId="43A3D60D" w14:textId="49F5068F" w:rsidR="00BC1892" w:rsidRPr="00D51E37" w:rsidRDefault="00BC1892" w:rsidP="008456A1">
            <w:pPr>
              <w:pStyle w:val="KMC16-Tablecontent"/>
              <w:keepNext/>
              <w:keepLines/>
              <w:jc w:val="center"/>
              <w:rPr>
                <w:b/>
                <w:color w:val="auto"/>
                <w:szCs w:val="20"/>
                <w:lang w:eastAsia="en-AU"/>
              </w:rPr>
            </w:pPr>
            <w:r w:rsidRPr="00D51E37">
              <w:rPr>
                <w:b/>
                <w:color w:val="auto"/>
                <w:szCs w:val="20"/>
              </w:rPr>
              <w:t>2.09</w:t>
            </w:r>
          </w:p>
        </w:tc>
        <w:tc>
          <w:tcPr>
            <w:tcW w:w="1302" w:type="dxa"/>
            <w:shd w:val="clear" w:color="auto" w:fill="auto"/>
            <w:noWrap/>
          </w:tcPr>
          <w:p w14:paraId="7F57768D" w14:textId="03C8C67C" w:rsidR="00BC1892" w:rsidRPr="00D51E37" w:rsidRDefault="00BC1892" w:rsidP="008456A1">
            <w:pPr>
              <w:pStyle w:val="KMC16-Tablecontent"/>
              <w:keepNext/>
              <w:keepLines/>
              <w:jc w:val="center"/>
              <w:rPr>
                <w:b/>
                <w:color w:val="auto"/>
                <w:szCs w:val="20"/>
              </w:rPr>
            </w:pPr>
            <w:r w:rsidRPr="00D51E37">
              <w:rPr>
                <w:b/>
                <w:color w:val="auto"/>
                <w:szCs w:val="20"/>
              </w:rPr>
              <w:t>$</w:t>
            </w:r>
            <w:r w:rsidR="00142E36" w:rsidRPr="00D51E37">
              <w:rPr>
                <w:b/>
                <w:color w:val="auto"/>
                <w:szCs w:val="20"/>
              </w:rPr>
              <w:t>redacted</w:t>
            </w:r>
          </w:p>
          <w:p w14:paraId="596C0A83" w14:textId="66727DDB" w:rsidR="00BC1892" w:rsidRPr="00D51E37" w:rsidRDefault="00BC1892" w:rsidP="008456A1">
            <w:pPr>
              <w:pStyle w:val="KMC16-Tablecontent"/>
              <w:keepNext/>
              <w:keepLines/>
              <w:jc w:val="center"/>
              <w:rPr>
                <w:bCs/>
                <w:color w:val="auto"/>
                <w:szCs w:val="20"/>
                <w:lang w:eastAsia="en-AU"/>
              </w:rPr>
            </w:pPr>
            <w:r w:rsidRPr="00D51E37">
              <w:rPr>
                <w:bCs/>
                <w:color w:val="auto"/>
                <w:szCs w:val="20"/>
              </w:rPr>
              <w:t>($</w:t>
            </w:r>
            <w:proofErr w:type="gramStart"/>
            <w:r w:rsidR="00142E36" w:rsidRPr="00D51E37">
              <w:rPr>
                <w:b/>
                <w:color w:val="auto"/>
                <w:szCs w:val="20"/>
              </w:rPr>
              <w:t>redacted</w:t>
            </w:r>
            <w:r w:rsidRPr="00D51E37">
              <w:rPr>
                <w:bCs/>
                <w:color w:val="auto"/>
                <w:szCs w:val="20"/>
              </w:rPr>
              <w:t>)*</w:t>
            </w:r>
            <w:proofErr w:type="gramEnd"/>
          </w:p>
        </w:tc>
      </w:tr>
      <w:tr w:rsidR="000C6950" w:rsidRPr="0070507E" w14:paraId="7B497264" w14:textId="77777777" w:rsidTr="0070507E">
        <w:trPr>
          <w:trHeight w:val="227"/>
        </w:trPr>
        <w:tc>
          <w:tcPr>
            <w:tcW w:w="909" w:type="dxa"/>
            <w:shd w:val="clear" w:color="auto" w:fill="auto"/>
            <w:hideMark/>
          </w:tcPr>
          <w:p w14:paraId="47B8DEC1" w14:textId="3E81EFD1" w:rsidR="00BC1892" w:rsidRPr="007B61D6" w:rsidRDefault="00BC1892" w:rsidP="008456A1">
            <w:pPr>
              <w:pStyle w:val="KMC16-Tablecontent"/>
              <w:keepNext/>
              <w:keepLines/>
              <w:rPr>
                <w:color w:val="auto"/>
                <w:szCs w:val="20"/>
              </w:rPr>
            </w:pPr>
            <w:r w:rsidRPr="007B61D6">
              <w:rPr>
                <w:color w:val="auto"/>
                <w:szCs w:val="20"/>
              </w:rPr>
              <w:t xml:space="preserve">Scenario </w:t>
            </w:r>
            <w:r w:rsidR="008456A1" w:rsidRPr="007B61D6">
              <w:rPr>
                <w:color w:val="auto"/>
                <w:szCs w:val="20"/>
              </w:rPr>
              <w:t>1</w:t>
            </w:r>
          </w:p>
          <w:p w14:paraId="047E0015" w14:textId="77777777" w:rsidR="00BC1892" w:rsidRPr="007B61D6" w:rsidRDefault="00BC1892" w:rsidP="008456A1">
            <w:pPr>
              <w:pStyle w:val="KMC16-Tablecontent"/>
              <w:keepNext/>
              <w:keepLines/>
              <w:rPr>
                <w:color w:val="auto"/>
                <w:szCs w:val="20"/>
              </w:rPr>
            </w:pPr>
            <w:r w:rsidRPr="007B61D6">
              <w:rPr>
                <w:color w:val="auto"/>
                <w:szCs w:val="20"/>
              </w:rPr>
              <w:t>(AIC =N/A)</w:t>
            </w:r>
          </w:p>
          <w:p w14:paraId="1A466BE1" w14:textId="77777777" w:rsidR="002B2C68" w:rsidRPr="007B61D6" w:rsidRDefault="002B2C68" w:rsidP="008456A1">
            <w:pPr>
              <w:pStyle w:val="KMC16-Tablecontent"/>
              <w:keepNext/>
              <w:keepLines/>
              <w:rPr>
                <w:color w:val="auto"/>
                <w:szCs w:val="20"/>
                <w:lang w:eastAsia="en-AU"/>
              </w:rPr>
            </w:pPr>
          </w:p>
        </w:tc>
        <w:tc>
          <w:tcPr>
            <w:tcW w:w="1643" w:type="dxa"/>
            <w:shd w:val="clear" w:color="auto" w:fill="auto"/>
            <w:hideMark/>
          </w:tcPr>
          <w:p w14:paraId="1AA56172" w14:textId="77777777" w:rsidR="00BC1892" w:rsidRPr="007B61D6" w:rsidRDefault="00BC1892" w:rsidP="008456A1">
            <w:pPr>
              <w:pStyle w:val="KMC16-Tablecontent"/>
              <w:keepNext/>
              <w:keepLines/>
              <w:rPr>
                <w:color w:val="auto"/>
                <w:szCs w:val="20"/>
              </w:rPr>
            </w:pPr>
            <w:r w:rsidRPr="007B61D6">
              <w:rPr>
                <w:color w:val="auto"/>
                <w:szCs w:val="20"/>
              </w:rPr>
              <w:t>Derive PFS from OS</w:t>
            </w:r>
          </w:p>
          <w:p w14:paraId="5598098F" w14:textId="77777777" w:rsidR="00BC1892" w:rsidRPr="007B61D6" w:rsidRDefault="00BC1892" w:rsidP="008456A1">
            <w:pPr>
              <w:pStyle w:val="KMC16-Tablecontent"/>
              <w:keepNext/>
              <w:keepLines/>
              <w:rPr>
                <w:color w:val="auto"/>
                <w:szCs w:val="20"/>
                <w:lang w:eastAsia="en-AU"/>
              </w:rPr>
            </w:pPr>
            <w:r w:rsidRPr="007B61D6">
              <w:rPr>
                <w:color w:val="auto"/>
                <w:szCs w:val="20"/>
              </w:rPr>
              <w:t>(BEACON-1 Moreno 2024)</w:t>
            </w:r>
          </w:p>
        </w:tc>
        <w:tc>
          <w:tcPr>
            <w:tcW w:w="1276" w:type="dxa"/>
          </w:tcPr>
          <w:p w14:paraId="44B3A72A" w14:textId="77777777" w:rsidR="00BC1892" w:rsidRPr="007B61D6" w:rsidRDefault="00BC1892" w:rsidP="008456A1">
            <w:pPr>
              <w:pStyle w:val="KMC16-Tablecontent"/>
              <w:keepNext/>
              <w:keepLines/>
              <w:rPr>
                <w:color w:val="auto"/>
                <w:szCs w:val="20"/>
              </w:rPr>
            </w:pPr>
            <w:r w:rsidRPr="007B61D6">
              <w:rPr>
                <w:color w:val="auto"/>
                <w:szCs w:val="20"/>
              </w:rPr>
              <w:t>Derive PFS from OS</w:t>
            </w:r>
          </w:p>
          <w:p w14:paraId="3B20C588" w14:textId="77777777" w:rsidR="00BC1892" w:rsidRPr="007B61D6" w:rsidRDefault="00BC1892" w:rsidP="008456A1">
            <w:pPr>
              <w:pStyle w:val="KMC16-Tablecontent"/>
              <w:keepNext/>
              <w:keepLines/>
              <w:rPr>
                <w:color w:val="auto"/>
                <w:szCs w:val="20"/>
                <w:lang w:eastAsia="en-AU"/>
              </w:rPr>
            </w:pPr>
            <w:r w:rsidRPr="007B61D6">
              <w:rPr>
                <w:color w:val="auto"/>
                <w:szCs w:val="20"/>
              </w:rPr>
              <w:t>(BEACON-1 Moreno 2024)</w:t>
            </w:r>
          </w:p>
        </w:tc>
        <w:tc>
          <w:tcPr>
            <w:tcW w:w="1134" w:type="dxa"/>
          </w:tcPr>
          <w:p w14:paraId="7346D2FC" w14:textId="53C6075D" w:rsidR="00BC1892" w:rsidRPr="007B61D6" w:rsidRDefault="0070507E" w:rsidP="008456A1">
            <w:pPr>
              <w:pStyle w:val="KMC16-Tablecontent"/>
              <w:keepNext/>
              <w:keepLines/>
              <w:rPr>
                <w:color w:val="auto"/>
                <w:szCs w:val="20"/>
                <w:lang w:eastAsia="en-AU"/>
              </w:rPr>
            </w:pPr>
            <w:r>
              <w:rPr>
                <w:color w:val="auto"/>
                <w:szCs w:val="20"/>
              </w:rPr>
              <w:t>SCH 2024</w:t>
            </w:r>
          </w:p>
        </w:tc>
        <w:tc>
          <w:tcPr>
            <w:tcW w:w="992" w:type="dxa"/>
            <w:shd w:val="clear" w:color="auto" w:fill="auto"/>
            <w:noWrap/>
            <w:hideMark/>
          </w:tcPr>
          <w:p w14:paraId="7F1912EA" w14:textId="54C90B92" w:rsidR="00BC1892" w:rsidRPr="007B61D6" w:rsidRDefault="00BC1892" w:rsidP="008456A1">
            <w:pPr>
              <w:pStyle w:val="KMC16-Tablecontent"/>
              <w:keepNext/>
              <w:keepLines/>
              <w:jc w:val="center"/>
              <w:rPr>
                <w:color w:val="auto"/>
                <w:szCs w:val="20"/>
                <w:lang w:eastAsia="en-AU"/>
              </w:rPr>
            </w:pPr>
            <w:r w:rsidRPr="007B61D6">
              <w:rPr>
                <w:color w:val="auto"/>
                <w:szCs w:val="20"/>
              </w:rPr>
              <w:t xml:space="preserve">2.28 </w:t>
            </w:r>
          </w:p>
        </w:tc>
        <w:tc>
          <w:tcPr>
            <w:tcW w:w="1134" w:type="dxa"/>
            <w:shd w:val="clear" w:color="auto" w:fill="auto"/>
            <w:noWrap/>
            <w:hideMark/>
          </w:tcPr>
          <w:p w14:paraId="7FF7A77F" w14:textId="70D5CA91" w:rsidR="00BC1892" w:rsidRPr="007B61D6" w:rsidRDefault="00BC1892" w:rsidP="008456A1">
            <w:pPr>
              <w:pStyle w:val="KMC16-Tablecontent"/>
              <w:keepNext/>
              <w:keepLines/>
              <w:jc w:val="center"/>
              <w:rPr>
                <w:color w:val="auto"/>
                <w:szCs w:val="20"/>
                <w:lang w:eastAsia="en-AU"/>
              </w:rPr>
            </w:pPr>
            <w:r w:rsidRPr="007B61D6">
              <w:rPr>
                <w:color w:val="auto"/>
                <w:szCs w:val="20"/>
              </w:rPr>
              <w:t xml:space="preserve">3.44 </w:t>
            </w:r>
          </w:p>
        </w:tc>
        <w:tc>
          <w:tcPr>
            <w:tcW w:w="1200" w:type="dxa"/>
            <w:shd w:val="clear" w:color="auto" w:fill="auto"/>
            <w:noWrap/>
            <w:hideMark/>
          </w:tcPr>
          <w:p w14:paraId="5AE1A327" w14:textId="2217CBDF" w:rsidR="00BC1892" w:rsidRPr="00D51E37" w:rsidRDefault="00BC1892" w:rsidP="008456A1">
            <w:pPr>
              <w:pStyle w:val="KMC16-Tablecontent"/>
              <w:keepNext/>
              <w:keepLines/>
              <w:jc w:val="center"/>
              <w:rPr>
                <w:color w:val="auto"/>
                <w:szCs w:val="20"/>
                <w:lang w:eastAsia="en-AU"/>
              </w:rPr>
            </w:pPr>
            <w:r w:rsidRPr="00D51E37">
              <w:rPr>
                <w:color w:val="auto"/>
                <w:szCs w:val="20"/>
              </w:rPr>
              <w:t>2.14</w:t>
            </w:r>
          </w:p>
        </w:tc>
        <w:tc>
          <w:tcPr>
            <w:tcW w:w="1302" w:type="dxa"/>
            <w:shd w:val="clear" w:color="auto" w:fill="auto"/>
            <w:noWrap/>
            <w:hideMark/>
          </w:tcPr>
          <w:p w14:paraId="1D3CFE4A" w14:textId="131015E9"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47F41EAB" w14:textId="77E9EE36" w:rsidR="00BC1892" w:rsidRPr="00D51E37" w:rsidRDefault="00BC1892" w:rsidP="008456A1">
            <w:pPr>
              <w:pStyle w:val="KMC16-Tablecontent"/>
              <w:keepNext/>
              <w:keepLines/>
              <w:jc w:val="center"/>
              <w:rPr>
                <w:color w:val="auto"/>
                <w:szCs w:val="20"/>
                <w:lang w:eastAsia="en-AU"/>
              </w:rPr>
            </w:pPr>
            <w:r w:rsidRPr="00D51E37">
              <w:rPr>
                <w:color w:val="auto"/>
                <w:szCs w:val="20"/>
                <w:lang w:eastAsia="en-AU"/>
              </w:rPr>
              <w:t>($</w:t>
            </w:r>
            <w:proofErr w:type="gramStart"/>
            <w:r w:rsidR="00142E36" w:rsidRPr="00D51E37">
              <w:rPr>
                <w:b/>
                <w:bCs/>
                <w:color w:val="auto"/>
                <w:szCs w:val="20"/>
                <w:lang w:eastAsia="en-AU"/>
              </w:rPr>
              <w:t>redacted</w:t>
            </w:r>
            <w:r w:rsidRPr="00D51E37">
              <w:rPr>
                <w:color w:val="auto"/>
                <w:szCs w:val="20"/>
                <w:lang w:eastAsia="en-AU"/>
              </w:rPr>
              <w:t>)*</w:t>
            </w:r>
            <w:proofErr w:type="gramEnd"/>
          </w:p>
        </w:tc>
      </w:tr>
      <w:tr w:rsidR="000C6950" w:rsidRPr="0070507E" w14:paraId="6FC6842D" w14:textId="77777777" w:rsidTr="0070507E">
        <w:trPr>
          <w:trHeight w:val="227"/>
        </w:trPr>
        <w:tc>
          <w:tcPr>
            <w:tcW w:w="909" w:type="dxa"/>
            <w:shd w:val="clear" w:color="auto" w:fill="auto"/>
          </w:tcPr>
          <w:p w14:paraId="4BB65239" w14:textId="4E011DBF"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2</w:t>
            </w:r>
          </w:p>
        </w:tc>
        <w:tc>
          <w:tcPr>
            <w:tcW w:w="1643" w:type="dxa"/>
            <w:shd w:val="clear" w:color="auto" w:fill="auto"/>
          </w:tcPr>
          <w:p w14:paraId="2C7D4420" w14:textId="46F8C49F"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276" w:type="dxa"/>
          </w:tcPr>
          <w:p w14:paraId="5CAB5D49" w14:textId="06222E85"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3526954F" w14:textId="77777777" w:rsidR="00BC1892" w:rsidRPr="007B61D6" w:rsidRDefault="00BC1892" w:rsidP="008456A1">
            <w:pPr>
              <w:pStyle w:val="KMC16-Tablecontent"/>
              <w:keepNext/>
              <w:keepLines/>
              <w:rPr>
                <w:color w:val="auto"/>
                <w:szCs w:val="20"/>
              </w:rPr>
            </w:pPr>
            <w:r w:rsidRPr="007B61D6">
              <w:rPr>
                <w:color w:val="auto"/>
                <w:szCs w:val="20"/>
              </w:rPr>
              <w:t>Deriving OS from PFS (BEACON-1 Moreno 2024)</w:t>
            </w:r>
          </w:p>
        </w:tc>
        <w:tc>
          <w:tcPr>
            <w:tcW w:w="992" w:type="dxa"/>
            <w:shd w:val="clear" w:color="auto" w:fill="auto"/>
            <w:noWrap/>
          </w:tcPr>
          <w:p w14:paraId="243ABEBC" w14:textId="5163C9CA" w:rsidR="00BC1892" w:rsidRPr="007B61D6" w:rsidRDefault="00BC1892" w:rsidP="008456A1">
            <w:pPr>
              <w:pStyle w:val="KMC16-Tablecontent"/>
              <w:keepNext/>
              <w:keepLines/>
              <w:jc w:val="center"/>
              <w:rPr>
                <w:color w:val="auto"/>
                <w:szCs w:val="20"/>
              </w:rPr>
            </w:pPr>
            <w:r w:rsidRPr="007B61D6">
              <w:rPr>
                <w:color w:val="auto"/>
                <w:szCs w:val="20"/>
              </w:rPr>
              <w:t xml:space="preserve">0.31 </w:t>
            </w:r>
          </w:p>
        </w:tc>
        <w:tc>
          <w:tcPr>
            <w:tcW w:w="1134" w:type="dxa"/>
            <w:shd w:val="clear" w:color="auto" w:fill="auto"/>
            <w:noWrap/>
          </w:tcPr>
          <w:p w14:paraId="7CB3ED43" w14:textId="3FCDB349" w:rsidR="00BC1892" w:rsidRPr="007B61D6" w:rsidRDefault="00BC1892" w:rsidP="008456A1">
            <w:pPr>
              <w:pStyle w:val="KMC16-Tablecontent"/>
              <w:keepNext/>
              <w:keepLines/>
              <w:jc w:val="center"/>
              <w:rPr>
                <w:color w:val="auto"/>
                <w:szCs w:val="20"/>
              </w:rPr>
            </w:pPr>
            <w:r w:rsidRPr="007B61D6">
              <w:rPr>
                <w:color w:val="auto"/>
                <w:szCs w:val="20"/>
              </w:rPr>
              <w:t xml:space="preserve">1.06 </w:t>
            </w:r>
          </w:p>
        </w:tc>
        <w:tc>
          <w:tcPr>
            <w:tcW w:w="1200" w:type="dxa"/>
            <w:shd w:val="clear" w:color="auto" w:fill="auto"/>
            <w:noWrap/>
          </w:tcPr>
          <w:p w14:paraId="1DA221AC" w14:textId="49874A81" w:rsidR="00BC1892" w:rsidRPr="00D51E37" w:rsidRDefault="00BC1892" w:rsidP="008456A1">
            <w:pPr>
              <w:pStyle w:val="KMC16-Tablecontent"/>
              <w:keepNext/>
              <w:keepLines/>
              <w:jc w:val="center"/>
              <w:rPr>
                <w:color w:val="auto"/>
                <w:szCs w:val="20"/>
              </w:rPr>
            </w:pPr>
            <w:r w:rsidRPr="00D51E37">
              <w:rPr>
                <w:color w:val="auto"/>
                <w:szCs w:val="20"/>
              </w:rPr>
              <w:t>0.61</w:t>
            </w:r>
          </w:p>
        </w:tc>
        <w:tc>
          <w:tcPr>
            <w:tcW w:w="1302" w:type="dxa"/>
            <w:shd w:val="clear" w:color="auto" w:fill="auto"/>
            <w:noWrap/>
          </w:tcPr>
          <w:p w14:paraId="6FF2808C" w14:textId="3F10A971" w:rsidR="00BC1892" w:rsidRPr="00D51E37" w:rsidRDefault="00BC1892" w:rsidP="008456A1">
            <w:pPr>
              <w:pStyle w:val="KMC16-Tablecontent"/>
              <w:keepNext/>
              <w:keepLines/>
              <w:jc w:val="center"/>
              <w:rPr>
                <w:color w:val="auto"/>
                <w:szCs w:val="20"/>
              </w:rPr>
            </w:pPr>
            <w:bookmarkStart w:id="49" w:name="_Hlk183995029"/>
            <w:r w:rsidRPr="00D51E37">
              <w:rPr>
                <w:color w:val="auto"/>
                <w:szCs w:val="20"/>
              </w:rPr>
              <w:t>$</w:t>
            </w:r>
            <w:r w:rsidR="00142E36" w:rsidRPr="00D51E37">
              <w:rPr>
                <w:b/>
                <w:bCs/>
                <w:color w:val="auto"/>
                <w:szCs w:val="20"/>
              </w:rPr>
              <w:t>redacted</w:t>
            </w:r>
          </w:p>
          <w:bookmarkEnd w:id="49"/>
          <w:p w14:paraId="453A7C7C" w14:textId="3D5E68FA"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tc>
      </w:tr>
      <w:tr w:rsidR="000C6950" w:rsidRPr="0070507E" w14:paraId="0514F32C" w14:textId="77777777" w:rsidTr="0070507E">
        <w:trPr>
          <w:trHeight w:val="227"/>
        </w:trPr>
        <w:tc>
          <w:tcPr>
            <w:tcW w:w="909" w:type="dxa"/>
            <w:shd w:val="clear" w:color="auto" w:fill="auto"/>
          </w:tcPr>
          <w:p w14:paraId="2DC9981A" w14:textId="5476A77A"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3</w:t>
            </w:r>
          </w:p>
        </w:tc>
        <w:tc>
          <w:tcPr>
            <w:tcW w:w="1643" w:type="dxa"/>
            <w:shd w:val="clear" w:color="auto" w:fill="auto"/>
          </w:tcPr>
          <w:p w14:paraId="29DCEAB3" w14:textId="2BFA20F4"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276" w:type="dxa"/>
          </w:tcPr>
          <w:p w14:paraId="1B2492EC" w14:textId="6344DD2E"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65251C8F" w14:textId="77777777" w:rsidR="00BC1892" w:rsidRPr="007B61D6" w:rsidRDefault="00BC1892" w:rsidP="008456A1">
            <w:pPr>
              <w:pStyle w:val="KMC16-Tablecontent"/>
              <w:keepNext/>
              <w:keepLines/>
              <w:rPr>
                <w:color w:val="auto"/>
                <w:szCs w:val="20"/>
              </w:rPr>
            </w:pPr>
            <w:r w:rsidRPr="007B61D6">
              <w:rPr>
                <w:color w:val="auto"/>
                <w:szCs w:val="20"/>
              </w:rPr>
              <w:t>Deriving OS from PFS (Moreno 2017)</w:t>
            </w:r>
          </w:p>
        </w:tc>
        <w:tc>
          <w:tcPr>
            <w:tcW w:w="992" w:type="dxa"/>
            <w:shd w:val="clear" w:color="auto" w:fill="auto"/>
            <w:noWrap/>
          </w:tcPr>
          <w:p w14:paraId="5BC575F6" w14:textId="6CA11326" w:rsidR="00BC1892" w:rsidRPr="007B61D6" w:rsidRDefault="00BC1892" w:rsidP="008456A1">
            <w:pPr>
              <w:pStyle w:val="KMC16-Tablecontent"/>
              <w:keepNext/>
              <w:keepLines/>
              <w:jc w:val="center"/>
              <w:rPr>
                <w:color w:val="auto"/>
                <w:szCs w:val="20"/>
              </w:rPr>
            </w:pPr>
            <w:r w:rsidRPr="007B61D6">
              <w:rPr>
                <w:color w:val="auto"/>
                <w:szCs w:val="20"/>
              </w:rPr>
              <w:t xml:space="preserve">0.31 </w:t>
            </w:r>
          </w:p>
        </w:tc>
        <w:tc>
          <w:tcPr>
            <w:tcW w:w="1134" w:type="dxa"/>
            <w:shd w:val="clear" w:color="auto" w:fill="auto"/>
            <w:noWrap/>
          </w:tcPr>
          <w:p w14:paraId="414B3A4E" w14:textId="7C413527" w:rsidR="00BC1892" w:rsidRPr="007B61D6" w:rsidRDefault="00BC1892" w:rsidP="008456A1">
            <w:pPr>
              <w:pStyle w:val="KMC16-Tablecontent"/>
              <w:keepNext/>
              <w:keepLines/>
              <w:jc w:val="center"/>
              <w:rPr>
                <w:color w:val="auto"/>
                <w:szCs w:val="20"/>
              </w:rPr>
            </w:pPr>
            <w:r w:rsidRPr="007B61D6">
              <w:rPr>
                <w:color w:val="auto"/>
                <w:szCs w:val="20"/>
              </w:rPr>
              <w:t xml:space="preserve">1.25 </w:t>
            </w:r>
          </w:p>
        </w:tc>
        <w:tc>
          <w:tcPr>
            <w:tcW w:w="1200" w:type="dxa"/>
            <w:shd w:val="clear" w:color="auto" w:fill="auto"/>
            <w:noWrap/>
          </w:tcPr>
          <w:p w14:paraId="7E08974D" w14:textId="62112AB6" w:rsidR="00BC1892" w:rsidRPr="00D51E37" w:rsidRDefault="00BC1892" w:rsidP="008456A1">
            <w:pPr>
              <w:pStyle w:val="KMC16-Tablecontent"/>
              <w:keepNext/>
              <w:keepLines/>
              <w:jc w:val="center"/>
              <w:rPr>
                <w:color w:val="auto"/>
                <w:szCs w:val="20"/>
              </w:rPr>
            </w:pPr>
            <w:r w:rsidRPr="00D51E37">
              <w:rPr>
                <w:color w:val="auto"/>
                <w:szCs w:val="20"/>
              </w:rPr>
              <w:t>0.69</w:t>
            </w:r>
          </w:p>
        </w:tc>
        <w:tc>
          <w:tcPr>
            <w:tcW w:w="1302" w:type="dxa"/>
            <w:shd w:val="clear" w:color="auto" w:fill="auto"/>
            <w:noWrap/>
          </w:tcPr>
          <w:p w14:paraId="2AA1646D" w14:textId="44C0C9FD"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0C968264" w14:textId="76094968"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tc>
      </w:tr>
      <w:tr w:rsidR="000C6950" w:rsidRPr="0070507E" w14:paraId="0B20D081" w14:textId="77777777" w:rsidTr="0070507E">
        <w:trPr>
          <w:trHeight w:val="227"/>
        </w:trPr>
        <w:tc>
          <w:tcPr>
            <w:tcW w:w="909" w:type="dxa"/>
            <w:shd w:val="clear" w:color="auto" w:fill="auto"/>
          </w:tcPr>
          <w:p w14:paraId="0FC1A558" w14:textId="175595E8"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4</w:t>
            </w:r>
          </w:p>
        </w:tc>
        <w:tc>
          <w:tcPr>
            <w:tcW w:w="1643" w:type="dxa"/>
            <w:shd w:val="clear" w:color="auto" w:fill="auto"/>
          </w:tcPr>
          <w:p w14:paraId="12F0E9F4" w14:textId="0EB6101E"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276" w:type="dxa"/>
          </w:tcPr>
          <w:p w14:paraId="3F4BE5F8" w14:textId="644F7122"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5DC23B00" w14:textId="77777777" w:rsidR="00BC1892" w:rsidRPr="007B61D6" w:rsidRDefault="00BC1892" w:rsidP="008456A1">
            <w:pPr>
              <w:pStyle w:val="KMC16-Tablecontent"/>
              <w:keepNext/>
              <w:keepLines/>
              <w:rPr>
                <w:color w:val="auto"/>
                <w:szCs w:val="20"/>
              </w:rPr>
            </w:pPr>
            <w:r w:rsidRPr="007B61D6">
              <w:rPr>
                <w:color w:val="auto"/>
                <w:szCs w:val="20"/>
              </w:rPr>
              <w:t>Deriving OS from PFS (ANBL 1221 both arms)</w:t>
            </w:r>
          </w:p>
        </w:tc>
        <w:tc>
          <w:tcPr>
            <w:tcW w:w="992" w:type="dxa"/>
            <w:shd w:val="clear" w:color="auto" w:fill="auto"/>
            <w:noWrap/>
          </w:tcPr>
          <w:p w14:paraId="7F5E5C04" w14:textId="1819469E" w:rsidR="00BC1892" w:rsidRPr="007B61D6" w:rsidRDefault="00BC1892" w:rsidP="008456A1">
            <w:pPr>
              <w:pStyle w:val="KMC16-Tablecontent"/>
              <w:keepNext/>
              <w:keepLines/>
              <w:jc w:val="center"/>
              <w:rPr>
                <w:color w:val="auto"/>
                <w:szCs w:val="20"/>
              </w:rPr>
            </w:pPr>
            <w:r w:rsidRPr="007B61D6">
              <w:rPr>
                <w:color w:val="auto"/>
                <w:szCs w:val="20"/>
              </w:rPr>
              <w:t xml:space="preserve">0.31 </w:t>
            </w:r>
          </w:p>
        </w:tc>
        <w:tc>
          <w:tcPr>
            <w:tcW w:w="1134" w:type="dxa"/>
            <w:shd w:val="clear" w:color="auto" w:fill="auto"/>
            <w:noWrap/>
          </w:tcPr>
          <w:p w14:paraId="61FD10AB" w14:textId="7A688DEA" w:rsidR="00BC1892" w:rsidRPr="007B61D6" w:rsidRDefault="00BC1892" w:rsidP="008456A1">
            <w:pPr>
              <w:pStyle w:val="KMC16-Tablecontent"/>
              <w:keepNext/>
              <w:keepLines/>
              <w:jc w:val="center"/>
              <w:rPr>
                <w:color w:val="auto"/>
                <w:szCs w:val="20"/>
              </w:rPr>
            </w:pPr>
            <w:r w:rsidRPr="007B61D6">
              <w:rPr>
                <w:color w:val="auto"/>
                <w:szCs w:val="20"/>
              </w:rPr>
              <w:t xml:space="preserve">1.56 </w:t>
            </w:r>
          </w:p>
        </w:tc>
        <w:tc>
          <w:tcPr>
            <w:tcW w:w="1200" w:type="dxa"/>
            <w:shd w:val="clear" w:color="auto" w:fill="auto"/>
            <w:noWrap/>
          </w:tcPr>
          <w:p w14:paraId="44755CD8" w14:textId="39B25110" w:rsidR="00BC1892" w:rsidRPr="00D51E37" w:rsidRDefault="00BC1892" w:rsidP="008456A1">
            <w:pPr>
              <w:pStyle w:val="KMC16-Tablecontent"/>
              <w:keepNext/>
              <w:keepLines/>
              <w:jc w:val="center"/>
              <w:rPr>
                <w:color w:val="auto"/>
                <w:szCs w:val="20"/>
              </w:rPr>
            </w:pPr>
            <w:r w:rsidRPr="00D51E37">
              <w:rPr>
                <w:color w:val="auto"/>
                <w:szCs w:val="20"/>
              </w:rPr>
              <w:t>0.77</w:t>
            </w:r>
          </w:p>
        </w:tc>
        <w:tc>
          <w:tcPr>
            <w:tcW w:w="1302" w:type="dxa"/>
            <w:shd w:val="clear" w:color="auto" w:fill="auto"/>
            <w:noWrap/>
          </w:tcPr>
          <w:p w14:paraId="65779372" w14:textId="257AD45B"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37607978" w14:textId="0DC17310"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tc>
      </w:tr>
      <w:tr w:rsidR="000C6950" w:rsidRPr="0070507E" w14:paraId="2D33C792" w14:textId="77777777" w:rsidTr="0070507E">
        <w:trPr>
          <w:trHeight w:val="227"/>
        </w:trPr>
        <w:tc>
          <w:tcPr>
            <w:tcW w:w="909" w:type="dxa"/>
            <w:shd w:val="clear" w:color="auto" w:fill="auto"/>
          </w:tcPr>
          <w:p w14:paraId="04EBAB86" w14:textId="34B7EB77"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5</w:t>
            </w:r>
          </w:p>
        </w:tc>
        <w:tc>
          <w:tcPr>
            <w:tcW w:w="1643" w:type="dxa"/>
            <w:shd w:val="clear" w:color="auto" w:fill="auto"/>
          </w:tcPr>
          <w:p w14:paraId="601FF22B" w14:textId="77777777" w:rsidR="00BC1892" w:rsidRPr="007B61D6" w:rsidRDefault="00BC1892" w:rsidP="008456A1">
            <w:pPr>
              <w:pStyle w:val="KMC16-Tablecontent"/>
              <w:keepNext/>
              <w:keepLines/>
              <w:rPr>
                <w:color w:val="auto"/>
                <w:szCs w:val="20"/>
              </w:rPr>
            </w:pPr>
            <w:r w:rsidRPr="007B61D6">
              <w:rPr>
                <w:color w:val="auto"/>
                <w:szCs w:val="20"/>
              </w:rPr>
              <w:t>Wieczorek 2023 (lognormal; AIC=23.2%)</w:t>
            </w:r>
          </w:p>
        </w:tc>
        <w:tc>
          <w:tcPr>
            <w:tcW w:w="1276" w:type="dxa"/>
          </w:tcPr>
          <w:p w14:paraId="449A4831" w14:textId="5320C329"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6DD06135" w14:textId="77777777" w:rsidR="00BC1892" w:rsidRPr="007B61D6" w:rsidRDefault="00BC1892" w:rsidP="008456A1">
            <w:pPr>
              <w:pStyle w:val="KMC16-Tablecontent"/>
              <w:keepNext/>
              <w:keepLines/>
              <w:rPr>
                <w:color w:val="auto"/>
                <w:szCs w:val="20"/>
              </w:rPr>
            </w:pPr>
            <w:r w:rsidRPr="007B61D6">
              <w:rPr>
                <w:color w:val="auto"/>
                <w:szCs w:val="20"/>
              </w:rPr>
              <w:t>Deriving OS from PFS (ANBL 1221 both arms)</w:t>
            </w:r>
          </w:p>
        </w:tc>
        <w:tc>
          <w:tcPr>
            <w:tcW w:w="992" w:type="dxa"/>
            <w:shd w:val="clear" w:color="auto" w:fill="auto"/>
            <w:noWrap/>
          </w:tcPr>
          <w:p w14:paraId="6E2E0D30" w14:textId="77777777" w:rsidR="00BC1892" w:rsidRPr="007B61D6" w:rsidRDefault="00BC1892" w:rsidP="008456A1">
            <w:pPr>
              <w:pStyle w:val="KMC16-Tablecontent"/>
              <w:keepNext/>
              <w:keepLines/>
              <w:jc w:val="center"/>
              <w:rPr>
                <w:color w:val="auto"/>
                <w:szCs w:val="20"/>
              </w:rPr>
            </w:pPr>
            <w:r w:rsidRPr="007B61D6">
              <w:rPr>
                <w:color w:val="auto"/>
                <w:szCs w:val="20"/>
              </w:rPr>
              <w:t>1.55 years</w:t>
            </w:r>
          </w:p>
        </w:tc>
        <w:tc>
          <w:tcPr>
            <w:tcW w:w="1134" w:type="dxa"/>
            <w:shd w:val="clear" w:color="auto" w:fill="auto"/>
            <w:noWrap/>
          </w:tcPr>
          <w:p w14:paraId="77BCC9AB" w14:textId="77777777" w:rsidR="00BC1892" w:rsidRPr="007B61D6" w:rsidRDefault="00BC1892" w:rsidP="008456A1">
            <w:pPr>
              <w:pStyle w:val="KMC16-Tablecontent"/>
              <w:keepNext/>
              <w:keepLines/>
              <w:jc w:val="center"/>
              <w:rPr>
                <w:color w:val="auto"/>
                <w:szCs w:val="20"/>
              </w:rPr>
            </w:pPr>
            <w:r w:rsidRPr="007B61D6">
              <w:rPr>
                <w:color w:val="auto"/>
                <w:szCs w:val="20"/>
              </w:rPr>
              <w:t>3.09 years</w:t>
            </w:r>
          </w:p>
        </w:tc>
        <w:tc>
          <w:tcPr>
            <w:tcW w:w="1200" w:type="dxa"/>
            <w:shd w:val="clear" w:color="auto" w:fill="auto"/>
            <w:noWrap/>
          </w:tcPr>
          <w:p w14:paraId="2091A03B" w14:textId="633EBB8B" w:rsidR="00BC1892" w:rsidRPr="00D51E37" w:rsidRDefault="00BC1892" w:rsidP="008456A1">
            <w:pPr>
              <w:pStyle w:val="KMC16-Tablecontent"/>
              <w:keepNext/>
              <w:keepLines/>
              <w:jc w:val="center"/>
              <w:rPr>
                <w:color w:val="auto"/>
                <w:szCs w:val="20"/>
              </w:rPr>
            </w:pPr>
            <w:r w:rsidRPr="00D51E37">
              <w:rPr>
                <w:color w:val="auto"/>
                <w:szCs w:val="20"/>
              </w:rPr>
              <w:t>1.57</w:t>
            </w:r>
          </w:p>
        </w:tc>
        <w:tc>
          <w:tcPr>
            <w:tcW w:w="1302" w:type="dxa"/>
            <w:shd w:val="clear" w:color="auto" w:fill="auto"/>
            <w:noWrap/>
          </w:tcPr>
          <w:p w14:paraId="0DBCBBB2" w14:textId="6A7D4FE3"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1C79615A" w14:textId="237DABA3"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p w14:paraId="77986A52" w14:textId="77777777" w:rsidR="00BC1892" w:rsidRPr="00D51E37" w:rsidRDefault="00BC1892" w:rsidP="008456A1">
            <w:pPr>
              <w:pStyle w:val="KMC16-Tablecontent"/>
              <w:keepNext/>
              <w:keepLines/>
              <w:jc w:val="center"/>
              <w:rPr>
                <w:color w:val="auto"/>
                <w:szCs w:val="20"/>
              </w:rPr>
            </w:pPr>
          </w:p>
        </w:tc>
      </w:tr>
      <w:tr w:rsidR="000C6950" w:rsidRPr="0070507E" w14:paraId="46E6CB58" w14:textId="77777777" w:rsidTr="0070507E">
        <w:trPr>
          <w:trHeight w:val="227"/>
        </w:trPr>
        <w:tc>
          <w:tcPr>
            <w:tcW w:w="909" w:type="dxa"/>
            <w:shd w:val="clear" w:color="auto" w:fill="auto"/>
          </w:tcPr>
          <w:p w14:paraId="367C0894" w14:textId="05D6318D"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6</w:t>
            </w:r>
          </w:p>
        </w:tc>
        <w:tc>
          <w:tcPr>
            <w:tcW w:w="1643" w:type="dxa"/>
            <w:shd w:val="clear" w:color="auto" w:fill="auto"/>
          </w:tcPr>
          <w:p w14:paraId="4F61D5C1" w14:textId="77777777" w:rsidR="00BC1892" w:rsidRPr="007B61D6" w:rsidRDefault="00BC1892" w:rsidP="008456A1">
            <w:pPr>
              <w:pStyle w:val="KMC16-Tablecontent"/>
              <w:keepNext/>
              <w:keepLines/>
              <w:rPr>
                <w:color w:val="auto"/>
                <w:szCs w:val="20"/>
              </w:rPr>
            </w:pPr>
            <w:r w:rsidRPr="007B61D6">
              <w:rPr>
                <w:color w:val="auto"/>
                <w:szCs w:val="20"/>
              </w:rPr>
              <w:t>Wieczorek 2023 (exponential; AIC=23.1%)</w:t>
            </w:r>
          </w:p>
        </w:tc>
        <w:tc>
          <w:tcPr>
            <w:tcW w:w="1276" w:type="dxa"/>
          </w:tcPr>
          <w:p w14:paraId="77522B98" w14:textId="35E90E28"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265F684C" w14:textId="77777777" w:rsidR="00BC1892" w:rsidRPr="007B61D6" w:rsidRDefault="00BC1892" w:rsidP="008456A1">
            <w:pPr>
              <w:pStyle w:val="KMC16-Tablecontent"/>
              <w:keepNext/>
              <w:keepLines/>
              <w:rPr>
                <w:color w:val="auto"/>
                <w:szCs w:val="20"/>
              </w:rPr>
            </w:pPr>
            <w:r w:rsidRPr="007B61D6">
              <w:rPr>
                <w:color w:val="auto"/>
                <w:szCs w:val="20"/>
              </w:rPr>
              <w:t>Deriving OS from PFS (ANBL 1221 both arms)</w:t>
            </w:r>
          </w:p>
        </w:tc>
        <w:tc>
          <w:tcPr>
            <w:tcW w:w="992" w:type="dxa"/>
            <w:shd w:val="clear" w:color="auto" w:fill="auto"/>
            <w:noWrap/>
          </w:tcPr>
          <w:p w14:paraId="3530EBAD" w14:textId="2C92B465" w:rsidR="00BC1892" w:rsidRPr="007B61D6" w:rsidRDefault="00BC1892" w:rsidP="008456A1">
            <w:pPr>
              <w:pStyle w:val="KMC16-Tablecontent"/>
              <w:keepNext/>
              <w:keepLines/>
              <w:jc w:val="center"/>
              <w:rPr>
                <w:color w:val="auto"/>
                <w:szCs w:val="20"/>
              </w:rPr>
            </w:pPr>
            <w:r w:rsidRPr="007B61D6">
              <w:rPr>
                <w:color w:val="auto"/>
                <w:szCs w:val="20"/>
              </w:rPr>
              <w:t xml:space="preserve">-0.51 </w:t>
            </w:r>
          </w:p>
        </w:tc>
        <w:tc>
          <w:tcPr>
            <w:tcW w:w="1134" w:type="dxa"/>
            <w:shd w:val="clear" w:color="auto" w:fill="auto"/>
            <w:noWrap/>
          </w:tcPr>
          <w:p w14:paraId="30CE0AF0" w14:textId="1CB6D193" w:rsidR="00BC1892" w:rsidRPr="007B61D6" w:rsidRDefault="00BC1892" w:rsidP="008456A1">
            <w:pPr>
              <w:pStyle w:val="KMC16-Tablecontent"/>
              <w:keepNext/>
              <w:keepLines/>
              <w:jc w:val="center"/>
              <w:rPr>
                <w:color w:val="auto"/>
                <w:szCs w:val="20"/>
              </w:rPr>
            </w:pPr>
            <w:r w:rsidRPr="007B61D6">
              <w:rPr>
                <w:color w:val="auto"/>
                <w:szCs w:val="20"/>
              </w:rPr>
              <w:t xml:space="preserve">-0.34 </w:t>
            </w:r>
          </w:p>
        </w:tc>
        <w:tc>
          <w:tcPr>
            <w:tcW w:w="1200" w:type="dxa"/>
            <w:shd w:val="clear" w:color="auto" w:fill="auto"/>
            <w:noWrap/>
          </w:tcPr>
          <w:p w14:paraId="6B8670C7" w14:textId="18AC68CF" w:rsidR="00BC1892" w:rsidRPr="00D51E37" w:rsidRDefault="00BC1892" w:rsidP="008456A1">
            <w:pPr>
              <w:pStyle w:val="KMC16-Tablecontent"/>
              <w:keepNext/>
              <w:keepLines/>
              <w:jc w:val="center"/>
              <w:rPr>
                <w:color w:val="auto"/>
                <w:szCs w:val="20"/>
              </w:rPr>
            </w:pPr>
            <w:r w:rsidRPr="00D51E37">
              <w:rPr>
                <w:color w:val="auto"/>
                <w:szCs w:val="20"/>
              </w:rPr>
              <w:t>0.02</w:t>
            </w:r>
          </w:p>
        </w:tc>
        <w:tc>
          <w:tcPr>
            <w:tcW w:w="1302" w:type="dxa"/>
            <w:shd w:val="clear" w:color="auto" w:fill="auto"/>
            <w:noWrap/>
          </w:tcPr>
          <w:p w14:paraId="1FA16919" w14:textId="2B1D8288"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0E499FA7" w14:textId="4D928DD1"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p w14:paraId="397E8CA8" w14:textId="77777777" w:rsidR="00BC1892" w:rsidRPr="00D51E37" w:rsidRDefault="00BC1892" w:rsidP="008456A1">
            <w:pPr>
              <w:pStyle w:val="KMC16-Tablecontent"/>
              <w:keepNext/>
              <w:keepLines/>
              <w:jc w:val="center"/>
              <w:rPr>
                <w:color w:val="auto"/>
                <w:szCs w:val="20"/>
              </w:rPr>
            </w:pPr>
          </w:p>
        </w:tc>
      </w:tr>
      <w:tr w:rsidR="000C6950" w:rsidRPr="0070507E" w14:paraId="1BBE7737" w14:textId="77777777" w:rsidTr="0070507E">
        <w:trPr>
          <w:trHeight w:val="227"/>
        </w:trPr>
        <w:tc>
          <w:tcPr>
            <w:tcW w:w="909" w:type="dxa"/>
            <w:shd w:val="clear" w:color="auto" w:fill="auto"/>
          </w:tcPr>
          <w:p w14:paraId="1F13BF4B" w14:textId="0D02671F"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7</w:t>
            </w:r>
          </w:p>
        </w:tc>
        <w:tc>
          <w:tcPr>
            <w:tcW w:w="1643" w:type="dxa"/>
            <w:shd w:val="clear" w:color="auto" w:fill="auto"/>
          </w:tcPr>
          <w:p w14:paraId="539E6F4B" w14:textId="77777777" w:rsidR="00BC1892" w:rsidRPr="007B61D6" w:rsidRDefault="00BC1892" w:rsidP="008456A1">
            <w:pPr>
              <w:pStyle w:val="KMC16-Tablecontent"/>
              <w:keepNext/>
              <w:keepLines/>
              <w:rPr>
                <w:color w:val="auto"/>
                <w:szCs w:val="20"/>
              </w:rPr>
            </w:pPr>
            <w:r w:rsidRPr="007B61D6">
              <w:rPr>
                <w:color w:val="auto"/>
                <w:szCs w:val="20"/>
              </w:rPr>
              <w:t>Wieczorek 2023 (lognormal; AIC=23.2%)</w:t>
            </w:r>
          </w:p>
        </w:tc>
        <w:tc>
          <w:tcPr>
            <w:tcW w:w="1276" w:type="dxa"/>
          </w:tcPr>
          <w:p w14:paraId="0020824B" w14:textId="127802A2"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7A3315E3" w14:textId="77777777" w:rsidR="00BC1892" w:rsidRPr="007B61D6" w:rsidRDefault="00BC1892" w:rsidP="008456A1">
            <w:pPr>
              <w:pStyle w:val="KMC16-Tablecontent"/>
              <w:keepNext/>
              <w:keepLines/>
              <w:rPr>
                <w:color w:val="auto"/>
                <w:szCs w:val="20"/>
              </w:rPr>
            </w:pPr>
            <w:r w:rsidRPr="007B61D6">
              <w:rPr>
                <w:color w:val="auto"/>
                <w:szCs w:val="20"/>
              </w:rPr>
              <w:t>Deriving OS from PFS (BEACON-1 Moreno 2024)</w:t>
            </w:r>
          </w:p>
        </w:tc>
        <w:tc>
          <w:tcPr>
            <w:tcW w:w="992" w:type="dxa"/>
            <w:shd w:val="clear" w:color="auto" w:fill="auto"/>
            <w:noWrap/>
          </w:tcPr>
          <w:p w14:paraId="14DBB0D6" w14:textId="77777777" w:rsidR="00BC1892" w:rsidRPr="007B61D6" w:rsidRDefault="00BC1892" w:rsidP="008456A1">
            <w:pPr>
              <w:pStyle w:val="KMC16-Tablecontent"/>
              <w:keepNext/>
              <w:keepLines/>
              <w:jc w:val="center"/>
              <w:rPr>
                <w:color w:val="auto"/>
                <w:szCs w:val="20"/>
              </w:rPr>
            </w:pPr>
            <w:r w:rsidRPr="007B61D6">
              <w:rPr>
                <w:color w:val="auto"/>
                <w:szCs w:val="20"/>
              </w:rPr>
              <w:t>1.54</w:t>
            </w:r>
          </w:p>
        </w:tc>
        <w:tc>
          <w:tcPr>
            <w:tcW w:w="1134" w:type="dxa"/>
            <w:shd w:val="clear" w:color="auto" w:fill="auto"/>
            <w:noWrap/>
          </w:tcPr>
          <w:p w14:paraId="4B1BBDE9" w14:textId="77777777" w:rsidR="00BC1892" w:rsidRPr="007B61D6" w:rsidRDefault="00BC1892" w:rsidP="008456A1">
            <w:pPr>
              <w:pStyle w:val="KMC16-Tablecontent"/>
              <w:keepNext/>
              <w:keepLines/>
              <w:jc w:val="center"/>
              <w:rPr>
                <w:color w:val="auto"/>
                <w:szCs w:val="20"/>
              </w:rPr>
            </w:pPr>
            <w:r w:rsidRPr="007B61D6">
              <w:rPr>
                <w:color w:val="auto"/>
                <w:szCs w:val="20"/>
              </w:rPr>
              <w:t>2.56</w:t>
            </w:r>
          </w:p>
        </w:tc>
        <w:tc>
          <w:tcPr>
            <w:tcW w:w="1200" w:type="dxa"/>
            <w:shd w:val="clear" w:color="auto" w:fill="auto"/>
            <w:noWrap/>
          </w:tcPr>
          <w:p w14:paraId="02516805" w14:textId="43784C12" w:rsidR="00BC1892" w:rsidRPr="00D51E37" w:rsidRDefault="00BC1892" w:rsidP="008456A1">
            <w:pPr>
              <w:pStyle w:val="KMC16-Tablecontent"/>
              <w:keepNext/>
              <w:keepLines/>
              <w:jc w:val="center"/>
              <w:rPr>
                <w:color w:val="auto"/>
                <w:szCs w:val="20"/>
              </w:rPr>
            </w:pPr>
            <w:r w:rsidRPr="00D51E37">
              <w:rPr>
                <w:color w:val="auto"/>
                <w:szCs w:val="20"/>
              </w:rPr>
              <w:t>1.41</w:t>
            </w:r>
          </w:p>
        </w:tc>
        <w:tc>
          <w:tcPr>
            <w:tcW w:w="1302" w:type="dxa"/>
            <w:shd w:val="clear" w:color="auto" w:fill="auto"/>
            <w:noWrap/>
          </w:tcPr>
          <w:p w14:paraId="0810292A" w14:textId="71E2E228" w:rsidR="00BC1892" w:rsidRPr="00D51E37" w:rsidRDefault="00BC1892" w:rsidP="008456A1">
            <w:pPr>
              <w:pStyle w:val="KMC16-Tablecontent"/>
              <w:keepNext/>
              <w:keepLines/>
              <w:jc w:val="center"/>
              <w:rPr>
                <w:color w:val="auto"/>
                <w:szCs w:val="20"/>
              </w:rPr>
            </w:pPr>
            <w:r w:rsidRPr="00D51E37">
              <w:rPr>
                <w:color w:val="auto"/>
                <w:szCs w:val="20"/>
              </w:rPr>
              <w:t>$</w:t>
            </w:r>
            <w:r w:rsidR="00142E36" w:rsidRPr="00D51E37">
              <w:rPr>
                <w:b/>
                <w:bCs/>
                <w:color w:val="auto"/>
                <w:szCs w:val="20"/>
              </w:rPr>
              <w:t>redacted</w:t>
            </w:r>
          </w:p>
          <w:p w14:paraId="6F07DD37" w14:textId="70DA6124" w:rsidR="00BC1892" w:rsidRPr="00D51E37" w:rsidRDefault="00BC1892" w:rsidP="008456A1">
            <w:pPr>
              <w:pStyle w:val="KMC16-Tablecontent"/>
              <w:keepNext/>
              <w:keepLines/>
              <w:jc w:val="center"/>
              <w:rPr>
                <w:color w:val="auto"/>
                <w:szCs w:val="20"/>
              </w:rPr>
            </w:pPr>
            <w:r w:rsidRPr="00D51E37">
              <w:rPr>
                <w:color w:val="auto"/>
                <w:szCs w:val="20"/>
              </w:rPr>
              <w:t>($</w:t>
            </w:r>
            <w:proofErr w:type="gramStart"/>
            <w:r w:rsidR="00142E36" w:rsidRPr="00D51E37">
              <w:rPr>
                <w:b/>
                <w:bCs/>
                <w:color w:val="auto"/>
                <w:szCs w:val="20"/>
              </w:rPr>
              <w:t>redacted</w:t>
            </w:r>
            <w:r w:rsidRPr="00D51E37">
              <w:rPr>
                <w:color w:val="auto"/>
                <w:szCs w:val="20"/>
              </w:rPr>
              <w:t>)*</w:t>
            </w:r>
            <w:proofErr w:type="gramEnd"/>
          </w:p>
        </w:tc>
      </w:tr>
      <w:tr w:rsidR="000C6950" w:rsidRPr="0070507E" w14:paraId="1CE90BF1" w14:textId="77777777" w:rsidTr="0070507E">
        <w:trPr>
          <w:trHeight w:val="227"/>
        </w:trPr>
        <w:tc>
          <w:tcPr>
            <w:tcW w:w="909" w:type="dxa"/>
            <w:shd w:val="clear" w:color="auto" w:fill="auto"/>
          </w:tcPr>
          <w:p w14:paraId="74F0476D" w14:textId="248824BB" w:rsidR="00BC1892" w:rsidRPr="007B61D6" w:rsidRDefault="00BC1892" w:rsidP="008456A1">
            <w:pPr>
              <w:pStyle w:val="KMC16-Tablecontent"/>
              <w:keepNext/>
              <w:keepLines/>
              <w:rPr>
                <w:color w:val="auto"/>
                <w:szCs w:val="20"/>
              </w:rPr>
            </w:pPr>
            <w:r w:rsidRPr="007B61D6">
              <w:rPr>
                <w:color w:val="auto"/>
                <w:szCs w:val="20"/>
              </w:rPr>
              <w:t xml:space="preserve">Scenario </w:t>
            </w:r>
            <w:r w:rsidR="00E04E43" w:rsidRPr="007B61D6">
              <w:rPr>
                <w:color w:val="auto"/>
                <w:szCs w:val="20"/>
              </w:rPr>
              <w:t>8</w:t>
            </w:r>
          </w:p>
        </w:tc>
        <w:tc>
          <w:tcPr>
            <w:tcW w:w="1643" w:type="dxa"/>
            <w:shd w:val="clear" w:color="auto" w:fill="auto"/>
          </w:tcPr>
          <w:p w14:paraId="40F1279E" w14:textId="77777777" w:rsidR="00BC1892" w:rsidRPr="007B61D6" w:rsidRDefault="00BC1892" w:rsidP="008456A1">
            <w:pPr>
              <w:pStyle w:val="KMC16-Tablecontent"/>
              <w:keepNext/>
              <w:keepLines/>
              <w:rPr>
                <w:color w:val="auto"/>
                <w:szCs w:val="20"/>
              </w:rPr>
            </w:pPr>
            <w:r w:rsidRPr="007B61D6">
              <w:rPr>
                <w:color w:val="auto"/>
                <w:szCs w:val="20"/>
              </w:rPr>
              <w:t>Wieczorek 2023 (exponential; AIC=23.1%)</w:t>
            </w:r>
          </w:p>
          <w:p w14:paraId="7E89BE86" w14:textId="77777777" w:rsidR="00BC1892" w:rsidRPr="007B61D6" w:rsidRDefault="00BC1892" w:rsidP="008456A1">
            <w:pPr>
              <w:pStyle w:val="KMC16-Tablecontent"/>
              <w:keepNext/>
              <w:keepLines/>
              <w:rPr>
                <w:color w:val="auto"/>
                <w:szCs w:val="20"/>
              </w:rPr>
            </w:pPr>
            <w:r w:rsidRPr="007B61D6">
              <w:rPr>
                <w:color w:val="auto"/>
                <w:szCs w:val="20"/>
              </w:rPr>
              <w:t>The same as PFS distribution G45</w:t>
            </w:r>
          </w:p>
        </w:tc>
        <w:tc>
          <w:tcPr>
            <w:tcW w:w="1276" w:type="dxa"/>
          </w:tcPr>
          <w:p w14:paraId="055F0AA0" w14:textId="105CDDE4" w:rsidR="00BC1892" w:rsidRPr="007B61D6" w:rsidRDefault="00C510FD" w:rsidP="008456A1">
            <w:pPr>
              <w:pStyle w:val="KMC16-Tablecontent"/>
              <w:keepNext/>
              <w:keepLines/>
              <w:rPr>
                <w:color w:val="auto"/>
                <w:szCs w:val="20"/>
              </w:rPr>
            </w:pPr>
            <w:r>
              <w:rPr>
                <w:color w:val="auto"/>
                <w:szCs w:val="20"/>
              </w:rPr>
              <w:t>BEACON-</w:t>
            </w:r>
            <w:proofErr w:type="spellStart"/>
            <w:r>
              <w:rPr>
                <w:color w:val="auto"/>
                <w:szCs w:val="20"/>
              </w:rPr>
              <w:t>Immuno</w:t>
            </w:r>
            <w:proofErr w:type="spellEnd"/>
          </w:p>
        </w:tc>
        <w:tc>
          <w:tcPr>
            <w:tcW w:w="1134" w:type="dxa"/>
          </w:tcPr>
          <w:p w14:paraId="2A275DFD" w14:textId="77777777" w:rsidR="00BC1892" w:rsidRPr="007B61D6" w:rsidRDefault="00BC1892" w:rsidP="008456A1">
            <w:pPr>
              <w:pStyle w:val="KMC16-Tablecontent"/>
              <w:keepNext/>
              <w:keepLines/>
              <w:rPr>
                <w:color w:val="auto"/>
                <w:szCs w:val="20"/>
              </w:rPr>
            </w:pPr>
            <w:r w:rsidRPr="007B61D6">
              <w:rPr>
                <w:color w:val="auto"/>
                <w:szCs w:val="20"/>
              </w:rPr>
              <w:t>Deriving OS from PFS (BEACON-1 Moreno 2024)</w:t>
            </w:r>
          </w:p>
        </w:tc>
        <w:tc>
          <w:tcPr>
            <w:tcW w:w="992" w:type="dxa"/>
            <w:shd w:val="clear" w:color="auto" w:fill="auto"/>
            <w:noWrap/>
          </w:tcPr>
          <w:p w14:paraId="434D7FC9" w14:textId="30B98D47" w:rsidR="00BC1892" w:rsidRPr="007B61D6" w:rsidRDefault="00BC1892" w:rsidP="008456A1">
            <w:pPr>
              <w:pStyle w:val="KMC16-Tablecontent"/>
              <w:keepNext/>
              <w:keepLines/>
              <w:jc w:val="center"/>
              <w:rPr>
                <w:color w:val="auto"/>
                <w:szCs w:val="20"/>
              </w:rPr>
            </w:pPr>
            <w:r w:rsidRPr="007B61D6">
              <w:rPr>
                <w:color w:val="auto"/>
                <w:szCs w:val="20"/>
              </w:rPr>
              <w:t xml:space="preserve">-0.51 </w:t>
            </w:r>
          </w:p>
        </w:tc>
        <w:tc>
          <w:tcPr>
            <w:tcW w:w="1134" w:type="dxa"/>
            <w:shd w:val="clear" w:color="auto" w:fill="auto"/>
            <w:noWrap/>
          </w:tcPr>
          <w:p w14:paraId="0F2C29CC" w14:textId="77777777" w:rsidR="00BC1892" w:rsidRPr="007B61D6" w:rsidRDefault="00BC1892" w:rsidP="008456A1">
            <w:pPr>
              <w:pStyle w:val="KMC16-Tablecontent"/>
              <w:keepNext/>
              <w:keepLines/>
              <w:jc w:val="center"/>
              <w:rPr>
                <w:color w:val="auto"/>
                <w:szCs w:val="20"/>
              </w:rPr>
            </w:pPr>
            <w:r w:rsidRPr="007B61D6">
              <w:rPr>
                <w:color w:val="auto"/>
                <w:szCs w:val="20"/>
              </w:rPr>
              <w:t>-0.99</w:t>
            </w:r>
          </w:p>
          <w:p w14:paraId="2C4C408A" w14:textId="131F3ED1" w:rsidR="00BC1892" w:rsidRPr="007B61D6" w:rsidRDefault="00BC1892" w:rsidP="008456A1">
            <w:pPr>
              <w:pStyle w:val="KMC16-Tablecontent"/>
              <w:keepNext/>
              <w:keepLines/>
              <w:jc w:val="center"/>
              <w:rPr>
                <w:color w:val="auto"/>
                <w:szCs w:val="20"/>
              </w:rPr>
            </w:pPr>
          </w:p>
        </w:tc>
        <w:tc>
          <w:tcPr>
            <w:tcW w:w="1200" w:type="dxa"/>
            <w:shd w:val="clear" w:color="auto" w:fill="auto"/>
            <w:noWrap/>
          </w:tcPr>
          <w:p w14:paraId="0454C847" w14:textId="197FC58E" w:rsidR="00BC1892" w:rsidRPr="00D51E37" w:rsidRDefault="00BC1892" w:rsidP="008456A1">
            <w:pPr>
              <w:pStyle w:val="KMC16-Tablecontent"/>
              <w:keepNext/>
              <w:keepLines/>
              <w:jc w:val="center"/>
              <w:rPr>
                <w:color w:val="auto"/>
                <w:szCs w:val="20"/>
              </w:rPr>
            </w:pPr>
            <w:r w:rsidRPr="00D51E37">
              <w:rPr>
                <w:color w:val="auto"/>
                <w:szCs w:val="20"/>
              </w:rPr>
              <w:t>-0.27</w:t>
            </w:r>
          </w:p>
        </w:tc>
        <w:tc>
          <w:tcPr>
            <w:tcW w:w="1302" w:type="dxa"/>
            <w:shd w:val="clear" w:color="auto" w:fill="auto"/>
            <w:noWrap/>
          </w:tcPr>
          <w:p w14:paraId="4393EC9D" w14:textId="2657991B" w:rsidR="00BC1892" w:rsidRPr="00D51E37" w:rsidRDefault="00FB5DC6" w:rsidP="008456A1">
            <w:pPr>
              <w:pStyle w:val="KMC16-Tablecontent"/>
              <w:keepNext/>
              <w:keepLines/>
              <w:jc w:val="center"/>
              <w:rPr>
                <w:color w:val="auto"/>
                <w:szCs w:val="20"/>
              </w:rPr>
            </w:pPr>
            <w:r w:rsidRPr="00D51E37">
              <w:rPr>
                <w:color w:val="auto"/>
                <w:szCs w:val="20"/>
              </w:rPr>
              <w:t>D</w:t>
            </w:r>
            <w:r w:rsidR="00BC1892" w:rsidRPr="00D51E37">
              <w:rPr>
                <w:color w:val="auto"/>
                <w:szCs w:val="20"/>
              </w:rPr>
              <w:t>B is dominated</w:t>
            </w:r>
          </w:p>
        </w:tc>
      </w:tr>
    </w:tbl>
    <w:p w14:paraId="7FBEDE43" w14:textId="1130B8AD" w:rsidR="007B61D6" w:rsidRDefault="007B61D6" w:rsidP="008375D1">
      <w:pPr>
        <w:pStyle w:val="KMC16-Text"/>
        <w:spacing w:after="0"/>
        <w:rPr>
          <w:color w:val="auto"/>
        </w:rPr>
      </w:pPr>
      <w:r w:rsidRPr="007B61D6">
        <w:rPr>
          <w:rFonts w:ascii="Arial Narrow" w:hAnsi="Arial Narrow"/>
          <w:color w:val="auto"/>
          <w:sz w:val="18"/>
          <w:szCs w:val="18"/>
        </w:rPr>
        <w:t>*Replication of the ICER value without a half-cycle correction</w:t>
      </w:r>
    </w:p>
    <w:p w14:paraId="682E2F68" w14:textId="12669FB0" w:rsidR="0087478F" w:rsidRPr="00AA782C" w:rsidRDefault="00FE3761" w:rsidP="375F5CCE">
      <w:pPr>
        <w:spacing w:after="240"/>
      </w:pPr>
      <w:r w:rsidRPr="375F5CCE">
        <w:t>As was noted above,</w:t>
      </w:r>
      <w:r w:rsidR="009B307E" w:rsidRPr="375F5CCE">
        <w:t xml:space="preserve"> in</w:t>
      </w:r>
      <w:r w:rsidR="00830C15" w:rsidRPr="375F5CCE">
        <w:t xml:space="preserve"> Method 1 (</w:t>
      </w:r>
      <w:r>
        <w:fldChar w:fldCharType="begin"/>
      </w:r>
      <w:r>
        <w:instrText xml:space="preserve"> REF _Ref184187665 \h </w:instrText>
      </w:r>
      <w:r>
        <w:fldChar w:fldCharType="separate"/>
      </w:r>
      <w:r w:rsidR="00C02A66" w:rsidRPr="375F5CCE">
        <w:t>Table </w:t>
      </w:r>
      <w:r w:rsidR="00C02A66" w:rsidRPr="375F5CCE">
        <w:rPr>
          <w:noProof/>
        </w:rPr>
        <w:t>10</w:t>
      </w:r>
      <w:r>
        <w:fldChar w:fldCharType="end"/>
      </w:r>
      <w:r w:rsidR="00830C15" w:rsidRPr="375F5CCE">
        <w:t>),</w:t>
      </w:r>
      <w:r w:rsidR="00856AEA" w:rsidRPr="375F5CCE">
        <w:t xml:space="preserve"> </w:t>
      </w:r>
      <w:r w:rsidR="00DC6C15" w:rsidRPr="375F5CCE">
        <w:t xml:space="preserve">two different parametric distributions </w:t>
      </w:r>
      <w:r w:rsidR="00E274E5" w:rsidRPr="375F5CCE">
        <w:t xml:space="preserve">used to extrapolate </w:t>
      </w:r>
      <w:r w:rsidR="00E549B2" w:rsidRPr="375F5CCE">
        <w:t xml:space="preserve">PFS </w:t>
      </w:r>
      <w:r w:rsidR="000A0F37" w:rsidRPr="375F5CCE">
        <w:t xml:space="preserve">in the intervention arm </w:t>
      </w:r>
      <w:r w:rsidR="00E549B2" w:rsidRPr="375F5CCE">
        <w:t>with the data from Wieczorek (</w:t>
      </w:r>
      <w:r w:rsidR="00E274E5" w:rsidRPr="375F5CCE">
        <w:t>2023</w:t>
      </w:r>
      <w:r w:rsidR="00E549B2" w:rsidRPr="375F5CCE">
        <w:t xml:space="preserve">) </w:t>
      </w:r>
      <w:r w:rsidR="00E274E5" w:rsidRPr="375F5CCE">
        <w:t>produce</w:t>
      </w:r>
      <w:r w:rsidR="00BF2DDB" w:rsidRPr="375F5CCE">
        <w:t>d</w:t>
      </w:r>
      <w:r w:rsidR="00E274E5" w:rsidRPr="375F5CCE">
        <w:t xml:space="preserve"> </w:t>
      </w:r>
      <w:r w:rsidR="00830C15" w:rsidRPr="375F5CCE">
        <w:t>significantly different ICERs. This effect is m</w:t>
      </w:r>
      <w:r w:rsidR="006717D8" w:rsidRPr="375F5CCE">
        <w:t>uch more pronounced in Method 2.</w:t>
      </w:r>
      <w:r w:rsidR="00D335E7" w:rsidRPr="375F5CCE">
        <w:t xml:space="preserve"> Depending on </w:t>
      </w:r>
      <w:r w:rsidR="00230F92" w:rsidRPr="375F5CCE">
        <w:t xml:space="preserve">whether </w:t>
      </w:r>
      <w:r w:rsidR="00AD06AA" w:rsidRPr="375F5CCE">
        <w:t xml:space="preserve">the exponential or </w:t>
      </w:r>
      <w:r w:rsidR="00690DFF" w:rsidRPr="375F5CCE">
        <w:t xml:space="preserve">lognormal parametric distribution </w:t>
      </w:r>
      <w:r w:rsidR="006B1282" w:rsidRPr="375F5CCE">
        <w:t>wa</w:t>
      </w:r>
      <w:r w:rsidR="00690DFF" w:rsidRPr="375F5CCE">
        <w:t xml:space="preserve">s selected to </w:t>
      </w:r>
      <w:r w:rsidR="005D2788" w:rsidRPr="375F5CCE">
        <w:t xml:space="preserve">extrapolate PFS in the </w:t>
      </w:r>
      <w:r w:rsidR="00FB5DC6" w:rsidRPr="375F5CCE">
        <w:t>D</w:t>
      </w:r>
      <w:r w:rsidR="005D2788" w:rsidRPr="375F5CCE">
        <w:t xml:space="preserve">B arm, </w:t>
      </w:r>
      <w:r w:rsidR="002750BC" w:rsidRPr="375F5CCE">
        <w:t>the ICER change</w:t>
      </w:r>
      <w:r w:rsidR="006B1282" w:rsidRPr="375F5CCE">
        <w:t>d</w:t>
      </w:r>
      <w:r w:rsidR="002750BC" w:rsidRPr="375F5CCE">
        <w:t xml:space="preserve"> from </w:t>
      </w:r>
      <w:r w:rsidR="00011697" w:rsidRPr="375F5CCE">
        <w:t>$</w:t>
      </w:r>
      <w:r w:rsidR="00142E36" w:rsidRPr="00D51E37">
        <w:rPr>
          <w:b/>
          <w:bCs/>
        </w:rPr>
        <w:t>redacted</w:t>
      </w:r>
      <w:r w:rsidR="006E1E9D" w:rsidRPr="375F5CCE">
        <w:t xml:space="preserve"> to </w:t>
      </w:r>
      <w:r w:rsidR="00733CB6" w:rsidRPr="375F5CCE">
        <w:t>$</w:t>
      </w:r>
      <w:r w:rsidR="00142E36" w:rsidRPr="00D51E37">
        <w:rPr>
          <w:b/>
          <w:bCs/>
        </w:rPr>
        <w:t>redacted</w:t>
      </w:r>
      <w:r w:rsidR="00830C15" w:rsidRPr="375F5CCE">
        <w:t xml:space="preserve"> </w:t>
      </w:r>
      <w:r w:rsidR="00D26AA0" w:rsidRPr="375F5CCE">
        <w:t>(when informed by ANBL 1221).</w:t>
      </w:r>
      <w:r w:rsidR="00827803" w:rsidRPr="375F5CCE">
        <w:t xml:space="preserve"> When BEACON-1 (Moreno 2024, all arms) </w:t>
      </w:r>
      <w:r w:rsidR="006B1282" w:rsidRPr="375F5CCE">
        <w:t>wa</w:t>
      </w:r>
      <w:r w:rsidR="00827803" w:rsidRPr="375F5CCE">
        <w:t xml:space="preserve">s selected </w:t>
      </w:r>
      <w:r w:rsidR="00DA15DE" w:rsidRPr="375F5CCE">
        <w:t xml:space="preserve">to inform the PFS in both arms, </w:t>
      </w:r>
      <w:r w:rsidR="004746BA" w:rsidRPr="375F5CCE">
        <w:t xml:space="preserve">the </w:t>
      </w:r>
      <w:r w:rsidR="009A0A5E" w:rsidRPr="375F5CCE">
        <w:t>lognormal distribution</w:t>
      </w:r>
      <w:r w:rsidR="002F05C3" w:rsidRPr="375F5CCE">
        <w:t xml:space="preserve"> in Wieczorek (2023) correspond</w:t>
      </w:r>
      <w:r w:rsidR="006B1282" w:rsidRPr="375F5CCE">
        <w:t>ed</w:t>
      </w:r>
      <w:r w:rsidR="002F05C3" w:rsidRPr="375F5CCE">
        <w:t xml:space="preserve"> to </w:t>
      </w:r>
      <w:r w:rsidR="00FA2D9D" w:rsidRPr="375F5CCE">
        <w:t xml:space="preserve">an </w:t>
      </w:r>
      <w:r w:rsidR="00AA782C" w:rsidRPr="375F5CCE">
        <w:t xml:space="preserve">ICER </w:t>
      </w:r>
      <w:r w:rsidR="00FA2D9D" w:rsidRPr="375F5CCE">
        <w:t>of</w:t>
      </w:r>
      <w:r w:rsidR="00AA782C" w:rsidRPr="375F5CCE">
        <w:t xml:space="preserve"> $</w:t>
      </w:r>
      <w:r w:rsidR="00142E36" w:rsidRPr="00081C10">
        <w:rPr>
          <w:b/>
          <w:bCs/>
        </w:rPr>
        <w:t>redacted</w:t>
      </w:r>
      <w:r w:rsidR="00AA782C" w:rsidRPr="375F5CCE">
        <w:t xml:space="preserve">, </w:t>
      </w:r>
      <w:r w:rsidR="00594D94" w:rsidRPr="375F5CCE">
        <w:t xml:space="preserve">while </w:t>
      </w:r>
      <w:r w:rsidR="00877285" w:rsidRPr="375F5CCE">
        <w:t xml:space="preserve">the </w:t>
      </w:r>
      <w:r w:rsidR="00594D94" w:rsidRPr="375F5CCE">
        <w:t xml:space="preserve">exponential distribution </w:t>
      </w:r>
      <w:r w:rsidR="00215C21" w:rsidRPr="375F5CCE">
        <w:t xml:space="preserve">resulted in </w:t>
      </w:r>
      <w:r w:rsidR="00FA2D9D" w:rsidRPr="375F5CCE">
        <w:t xml:space="preserve">the </w:t>
      </w:r>
      <w:r w:rsidR="00215C21" w:rsidRPr="375F5CCE">
        <w:t xml:space="preserve">comparator dominating </w:t>
      </w:r>
      <w:r w:rsidR="00FB5DC6" w:rsidRPr="375F5CCE">
        <w:t>D</w:t>
      </w:r>
      <w:r w:rsidR="00215C21" w:rsidRPr="375F5CCE">
        <w:t>B.</w:t>
      </w:r>
      <w:r w:rsidR="00594D94" w:rsidRPr="375F5CCE">
        <w:t xml:space="preserve"> </w:t>
      </w:r>
      <w:r w:rsidR="000A2CCE" w:rsidRPr="375F5CCE">
        <w:t>I</w:t>
      </w:r>
      <w:r w:rsidR="00215C21" w:rsidRPr="375F5CCE">
        <w:t>n both cases AIC criteria</w:t>
      </w:r>
      <w:r w:rsidR="008A1B09" w:rsidRPr="375F5CCE">
        <w:t xml:space="preserve"> of </w:t>
      </w:r>
      <w:r w:rsidR="000A2CCE" w:rsidRPr="375F5CCE">
        <w:t>23.2%</w:t>
      </w:r>
      <w:r w:rsidR="00215C21" w:rsidRPr="375F5CCE">
        <w:t xml:space="preserve"> </w:t>
      </w:r>
      <w:r w:rsidR="008A1B09" w:rsidRPr="375F5CCE">
        <w:t>suggested lognormal distribution</w:t>
      </w:r>
      <w:r w:rsidR="00FB5DC6" w:rsidRPr="375F5CCE">
        <w:t xml:space="preserve"> was best </w:t>
      </w:r>
      <w:r w:rsidR="00840A23" w:rsidRPr="375F5CCE">
        <w:t>fitting but</w:t>
      </w:r>
      <w:r w:rsidR="008A1B09" w:rsidRPr="375F5CCE">
        <w:t xml:space="preserve"> </w:t>
      </w:r>
      <w:r w:rsidR="00B013AF" w:rsidRPr="375F5CCE">
        <w:t>differed very litt</w:t>
      </w:r>
      <w:r w:rsidR="004746BA" w:rsidRPr="375F5CCE">
        <w:t>le</w:t>
      </w:r>
      <w:r w:rsidR="00B013AF" w:rsidRPr="375F5CCE">
        <w:t xml:space="preserve"> from </w:t>
      </w:r>
      <w:r w:rsidR="008A1B09" w:rsidRPr="375F5CCE">
        <w:t xml:space="preserve">the </w:t>
      </w:r>
      <w:r w:rsidR="000A2CCE" w:rsidRPr="375F5CCE">
        <w:t xml:space="preserve">AIC criteria </w:t>
      </w:r>
      <w:r w:rsidR="004746BA" w:rsidRPr="375F5CCE">
        <w:t xml:space="preserve">of 23.1% </w:t>
      </w:r>
      <w:r w:rsidR="000A2CCE" w:rsidRPr="375F5CCE">
        <w:t xml:space="preserve">for </w:t>
      </w:r>
      <w:r w:rsidR="000D1187" w:rsidRPr="375F5CCE">
        <w:t>exponential distribution</w:t>
      </w:r>
      <w:r w:rsidR="004746BA" w:rsidRPr="375F5CCE">
        <w:t>.</w:t>
      </w:r>
      <w:r w:rsidR="00215C21" w:rsidRPr="375F5CCE">
        <w:t xml:space="preserve"> </w:t>
      </w:r>
      <w:r w:rsidR="00954E34" w:rsidRPr="375F5CCE">
        <w:t xml:space="preserve">This </w:t>
      </w:r>
      <w:r w:rsidR="00FA2D9D" w:rsidRPr="375F5CCE">
        <w:t>suggests</w:t>
      </w:r>
      <w:r w:rsidR="00954E34" w:rsidRPr="375F5CCE">
        <w:t xml:space="preserve"> the algorithm for interpolating PFS </w:t>
      </w:r>
      <w:r w:rsidR="00240EEF" w:rsidRPr="375F5CCE">
        <w:t xml:space="preserve">in one study </w:t>
      </w:r>
      <w:r w:rsidR="00954E34" w:rsidRPr="375F5CCE">
        <w:t xml:space="preserve">from OS </w:t>
      </w:r>
      <w:r w:rsidR="00240EEF" w:rsidRPr="375F5CCE">
        <w:t xml:space="preserve">in </w:t>
      </w:r>
      <w:r w:rsidR="00FB5DC6" w:rsidRPr="375F5CCE">
        <w:t xml:space="preserve">an </w:t>
      </w:r>
      <w:r w:rsidR="00240EEF" w:rsidRPr="375F5CCE">
        <w:t xml:space="preserve">unrelated study </w:t>
      </w:r>
      <w:r w:rsidR="0073037F" w:rsidRPr="375F5CCE">
        <w:t>can</w:t>
      </w:r>
      <w:r w:rsidR="00194B34" w:rsidRPr="375F5CCE">
        <w:t xml:space="preserve"> </w:t>
      </w:r>
      <w:r w:rsidR="00240EEF" w:rsidRPr="375F5CCE">
        <w:t>produce</w:t>
      </w:r>
      <w:r w:rsidR="00194B34" w:rsidRPr="375F5CCE">
        <w:t xml:space="preserve"> dramatically unstable outcomes.</w:t>
      </w:r>
    </w:p>
    <w:p w14:paraId="25AE2BAC" w14:textId="06FF6CF2" w:rsidR="00772829" w:rsidRPr="00CE28E3" w:rsidRDefault="00772829" w:rsidP="00EE5979">
      <w:pPr>
        <w:pStyle w:val="Heading2"/>
        <w:numPr>
          <w:ilvl w:val="0"/>
          <w:numId w:val="22"/>
        </w:numPr>
        <w:ind w:hanging="720"/>
      </w:pPr>
      <w:bookmarkStart w:id="50" w:name="Title_Table6"/>
      <w:bookmarkStart w:id="51" w:name="_Toc69491426"/>
      <w:bookmarkEnd w:id="50"/>
      <w:r w:rsidRPr="00CE28E3">
        <w:lastRenderedPageBreak/>
        <w:t>Financial/budgetary impacts</w:t>
      </w:r>
      <w:bookmarkEnd w:id="51"/>
    </w:p>
    <w:p w14:paraId="04AB99B9" w14:textId="7BDFC6C6" w:rsidR="00473208" w:rsidRDefault="00473208" w:rsidP="00330A0A">
      <w:r>
        <w:t>The ADAR estimated the use and cost of DB as follows:</w:t>
      </w:r>
    </w:p>
    <w:p w14:paraId="02EBBDAD" w14:textId="284CB729" w:rsidR="00473208" w:rsidRDefault="00473208" w:rsidP="00EE5979">
      <w:pPr>
        <w:pStyle w:val="ListParagraph"/>
        <w:numPr>
          <w:ilvl w:val="0"/>
          <w:numId w:val="18"/>
        </w:numPr>
        <w:ind w:left="284" w:hanging="284"/>
      </w:pPr>
      <w:r>
        <w:t>conducting a survey of current Australian clinical centres treating patients with HRNBL and enquiring about how many patients have presented with RRHRNBL over the last two years</w:t>
      </w:r>
      <w:r w:rsidR="004A0007">
        <w:t xml:space="preserve">. Responses suggested a total of </w:t>
      </w:r>
      <w:r w:rsidR="00142E36" w:rsidRPr="00081C10">
        <w:rPr>
          <w:b/>
          <w:bCs/>
        </w:rPr>
        <w:t xml:space="preserve">redacted </w:t>
      </w:r>
      <w:r w:rsidR="004A0007">
        <w:t xml:space="preserve">patients across all eight treatment centres in Australia, so the ADAR assumed </w:t>
      </w:r>
      <w:r w:rsidR="00142E36" w:rsidRPr="00081C10">
        <w:rPr>
          <w:b/>
          <w:bCs/>
        </w:rPr>
        <w:t xml:space="preserve">redacted </w:t>
      </w:r>
      <w:r w:rsidR="004A0007">
        <w:t xml:space="preserve">patients per </w:t>
      </w:r>
      <w:proofErr w:type="gramStart"/>
      <w:r w:rsidR="004A0007">
        <w:t>year</w:t>
      </w:r>
      <w:r>
        <w:t>;</w:t>
      </w:r>
      <w:proofErr w:type="gramEnd"/>
    </w:p>
    <w:p w14:paraId="54C53CC0" w14:textId="6A02460B" w:rsidR="00473208" w:rsidRDefault="00473208" w:rsidP="00EE5979">
      <w:pPr>
        <w:pStyle w:val="ListParagraph"/>
        <w:numPr>
          <w:ilvl w:val="0"/>
          <w:numId w:val="18"/>
        </w:numPr>
        <w:ind w:left="284" w:hanging="284"/>
      </w:pPr>
      <w:r w:rsidRPr="375F5CCE">
        <w:t xml:space="preserve">assuming an initial uptake rate of </w:t>
      </w:r>
      <w:r w:rsidR="00142E36" w:rsidRPr="00081C10">
        <w:rPr>
          <w:b/>
          <w:bCs/>
        </w:rPr>
        <w:t>redacted</w:t>
      </w:r>
      <w:r w:rsidRPr="375F5CCE">
        <w:t>%</w:t>
      </w:r>
      <w:r w:rsidR="004A0007" w:rsidRPr="375F5CCE">
        <w:t xml:space="preserve"> in Year 1</w:t>
      </w:r>
      <w:r w:rsidRPr="375F5CCE">
        <w:t xml:space="preserve">, increasing to </w:t>
      </w:r>
      <w:r w:rsidR="002B3CE9" w:rsidRPr="00081C10">
        <w:rPr>
          <w:b/>
          <w:bCs/>
        </w:rPr>
        <w:t>redacted</w:t>
      </w:r>
      <w:r w:rsidRPr="375F5CCE">
        <w:t xml:space="preserve">%, </w:t>
      </w:r>
      <w:r w:rsidR="002B3CE9" w:rsidRPr="00081C10">
        <w:rPr>
          <w:b/>
          <w:bCs/>
        </w:rPr>
        <w:t>redacted</w:t>
      </w:r>
      <w:r w:rsidRPr="375F5CCE">
        <w:t xml:space="preserve">%, </w:t>
      </w:r>
      <w:r w:rsidR="002B3CE9" w:rsidRPr="00081C10">
        <w:rPr>
          <w:b/>
          <w:bCs/>
        </w:rPr>
        <w:t>redacted</w:t>
      </w:r>
      <w:r w:rsidRPr="375F5CCE">
        <w:t xml:space="preserve">%, </w:t>
      </w:r>
      <w:r w:rsidR="002B3CE9" w:rsidRPr="00081C10">
        <w:rPr>
          <w:b/>
          <w:bCs/>
        </w:rPr>
        <w:t>redacted</w:t>
      </w:r>
      <w:r w:rsidRPr="375F5CCE">
        <w:t xml:space="preserve">% and </w:t>
      </w:r>
      <w:r w:rsidR="002B3CE9" w:rsidRPr="00081C10">
        <w:rPr>
          <w:b/>
          <w:bCs/>
        </w:rPr>
        <w:t>redacted%</w:t>
      </w:r>
      <w:r w:rsidRPr="375F5CCE">
        <w:t xml:space="preserve"> in Years 2, 3, 4, 5 and 6, respectively</w:t>
      </w:r>
      <w:r w:rsidR="006B1282" w:rsidRPr="375F5CCE">
        <w:t xml:space="preserve">. The ADAR anticipates an initial uptake rate of </w:t>
      </w:r>
      <w:r w:rsidR="002B3CE9" w:rsidRPr="00081C10">
        <w:rPr>
          <w:b/>
          <w:bCs/>
        </w:rPr>
        <w:t>redacted</w:t>
      </w:r>
      <w:r w:rsidR="006B1282" w:rsidRPr="375F5CCE">
        <w:t>% in the first year reflecting the expectation that some centres currently have access to DA at no cost (</w:t>
      </w:r>
      <w:proofErr w:type="gramStart"/>
      <w:r w:rsidR="006B1282" w:rsidRPr="375F5CCE">
        <w:t>with the exception of</w:t>
      </w:r>
      <w:proofErr w:type="gramEnd"/>
      <w:r w:rsidR="006B1282" w:rsidRPr="375F5CCE">
        <w:t xml:space="preserve"> two centres</w:t>
      </w:r>
      <w:proofErr w:type="gramStart"/>
      <w:r w:rsidR="006B1282" w:rsidRPr="375F5CCE">
        <w:t>)</w:t>
      </w:r>
      <w:r w:rsidRPr="375F5CCE">
        <w:t>;</w:t>
      </w:r>
      <w:proofErr w:type="gramEnd"/>
    </w:p>
    <w:p w14:paraId="53A67256" w14:textId="0F293EDB" w:rsidR="00473208" w:rsidRDefault="00473208" w:rsidP="00EE5979">
      <w:pPr>
        <w:pStyle w:val="ListParagraph"/>
        <w:numPr>
          <w:ilvl w:val="0"/>
          <w:numId w:val="18"/>
        </w:numPr>
        <w:ind w:left="284" w:hanging="284"/>
      </w:pPr>
      <w:r>
        <w:t xml:space="preserve">assuming </w:t>
      </w:r>
      <w:r w:rsidR="002B3CE9" w:rsidRPr="00081C10">
        <w:rPr>
          <w:b/>
          <w:bCs/>
        </w:rPr>
        <w:t>redacted</w:t>
      </w:r>
      <w:r>
        <w:t xml:space="preserve"> vials of DB per patient. This differs to the assumed </w:t>
      </w:r>
      <w:r w:rsidR="002B3CE9" w:rsidRPr="00081C10">
        <w:rPr>
          <w:b/>
          <w:bCs/>
        </w:rPr>
        <w:t>redacted</w:t>
      </w:r>
      <w:r>
        <w:t xml:space="preserve"> vials in the economic evaluation and was tested in a sensitivity analysis, see </w:t>
      </w:r>
      <w:proofErr w:type="gramStart"/>
      <w:r>
        <w:t>below;</w:t>
      </w:r>
      <w:proofErr w:type="gramEnd"/>
      <w:r>
        <w:t xml:space="preserve"> </w:t>
      </w:r>
    </w:p>
    <w:p w14:paraId="5098509B" w14:textId="4033BF43" w:rsidR="00473208" w:rsidRDefault="00473208" w:rsidP="00EE5979">
      <w:pPr>
        <w:pStyle w:val="ListParagraph"/>
        <w:numPr>
          <w:ilvl w:val="0"/>
          <w:numId w:val="18"/>
        </w:numPr>
        <w:ind w:left="284" w:hanging="284"/>
      </w:pPr>
      <w:r>
        <w:t xml:space="preserve">a 20mg vial of DB costs </w:t>
      </w:r>
      <w:r w:rsidR="0057645B">
        <w:t>$</w:t>
      </w:r>
      <w:r w:rsidR="002B3CE9" w:rsidRPr="00081C10">
        <w:rPr>
          <w:b/>
          <w:bCs/>
        </w:rPr>
        <w:t>redacted</w:t>
      </w:r>
      <w:r w:rsidR="0057645B">
        <w:t xml:space="preserve">; </w:t>
      </w:r>
      <w:r>
        <w:t>and</w:t>
      </w:r>
    </w:p>
    <w:p w14:paraId="07BA7ED8" w14:textId="772F634C" w:rsidR="00473208" w:rsidRDefault="00473208" w:rsidP="00EE5979">
      <w:pPr>
        <w:pStyle w:val="ListParagraph"/>
        <w:numPr>
          <w:ilvl w:val="0"/>
          <w:numId w:val="18"/>
        </w:numPr>
        <w:ind w:left="284" w:hanging="284"/>
      </w:pPr>
      <w:r>
        <w:t>assuming no change to chemotherapy use (as DB is intended to be used in combination with chemotherapy).</w:t>
      </w:r>
    </w:p>
    <w:p w14:paraId="4FE2390F" w14:textId="3FCBCBAB" w:rsidR="0072578A" w:rsidRDefault="00D428B9" w:rsidP="00330A0A">
      <w:r w:rsidRPr="00CE28E3">
        <w:t xml:space="preserve">The financial implications to the </w:t>
      </w:r>
      <w:r w:rsidR="003303BB">
        <w:t>NHRA</w:t>
      </w:r>
      <w:r w:rsidRPr="00CE28E3">
        <w:t xml:space="preserve"> </w:t>
      </w:r>
      <w:r w:rsidR="00426B80">
        <w:t xml:space="preserve">HST program </w:t>
      </w:r>
      <w:r w:rsidRPr="00CE28E3">
        <w:t xml:space="preserve">resulting from the proposed listing of </w:t>
      </w:r>
      <w:r w:rsidR="003303BB">
        <w:t>DB</w:t>
      </w:r>
      <w:r w:rsidRPr="00CE28E3">
        <w:t xml:space="preserve"> are summarised in </w:t>
      </w:r>
      <w:r w:rsidR="003571C2">
        <w:fldChar w:fldCharType="begin"/>
      </w:r>
      <w:r w:rsidR="003571C2">
        <w:instrText xml:space="preserve"> REF _Ref69726382 \h </w:instrText>
      </w:r>
      <w:r w:rsidR="003571C2">
        <w:fldChar w:fldCharType="separate"/>
      </w:r>
      <w:r w:rsidR="00C02A66" w:rsidRPr="00CE28E3">
        <w:t>Table</w:t>
      </w:r>
      <w:r w:rsidR="00C02A66">
        <w:t> </w:t>
      </w:r>
      <w:r w:rsidR="00C02A66">
        <w:rPr>
          <w:noProof/>
        </w:rPr>
        <w:t>13</w:t>
      </w:r>
      <w:r w:rsidR="003571C2">
        <w:fldChar w:fldCharType="end"/>
      </w:r>
      <w:r w:rsidRPr="00CE28E3">
        <w:t xml:space="preserve">. </w:t>
      </w:r>
    </w:p>
    <w:p w14:paraId="33FCA9D4" w14:textId="08512269" w:rsidR="00D428B9" w:rsidRPr="00CE28E3" w:rsidRDefault="00D428B9" w:rsidP="007F19BD">
      <w:pPr>
        <w:pStyle w:val="TableHeading0"/>
        <w:keepNext/>
      </w:pPr>
      <w:bookmarkStart w:id="52" w:name="_Ref69726382"/>
      <w:r w:rsidRPr="00CE28E3">
        <w:t>Table</w:t>
      </w:r>
      <w:r w:rsidR="003571C2">
        <w:t> </w:t>
      </w:r>
      <w:r>
        <w:fldChar w:fldCharType="begin"/>
      </w:r>
      <w:r>
        <w:instrText>SEQ Table \* ARABIC</w:instrText>
      </w:r>
      <w:r>
        <w:fldChar w:fldCharType="separate"/>
      </w:r>
      <w:r w:rsidR="00C02A66">
        <w:rPr>
          <w:noProof/>
        </w:rPr>
        <w:t>13</w:t>
      </w:r>
      <w:r>
        <w:fldChar w:fldCharType="end"/>
      </w:r>
      <w:bookmarkEnd w:id="52"/>
      <w:r w:rsidRPr="00CE28E3">
        <w:tab/>
        <w:t xml:space="preserve">Net financial implications of </w:t>
      </w:r>
      <w:r w:rsidR="003303BB">
        <w:t>DB</w:t>
      </w:r>
      <w:r w:rsidRPr="00CE28E3">
        <w:t xml:space="preserve"> to the </w:t>
      </w:r>
      <w:r w:rsidR="003303BB">
        <w:t>NHRA HST program</w:t>
      </w:r>
    </w:p>
    <w:tbl>
      <w:tblPr>
        <w:tblW w:w="0" w:type="auto"/>
        <w:tblCellMar>
          <w:left w:w="0" w:type="dxa"/>
          <w:right w:w="0" w:type="dxa"/>
        </w:tblCellMar>
        <w:tblLook w:val="04A0" w:firstRow="1" w:lastRow="0" w:firstColumn="1" w:lastColumn="0" w:noHBand="0" w:noVBand="1"/>
      </w:tblPr>
      <w:tblGrid>
        <w:gridCol w:w="2825"/>
        <w:gridCol w:w="996"/>
        <w:gridCol w:w="1037"/>
        <w:gridCol w:w="1037"/>
        <w:gridCol w:w="1037"/>
        <w:gridCol w:w="1037"/>
        <w:gridCol w:w="1037"/>
      </w:tblGrid>
      <w:tr w:rsidR="002B3CE9" w:rsidRPr="00CE28E3" w14:paraId="10C955A8" w14:textId="77777777" w:rsidTr="375F5CCE">
        <w:trPr>
          <w:tblHead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53" w:name="Title_Table12" w:colFirst="0" w:colLast="0"/>
            <w:bookmarkStart w:id="54" w:name="_Hlk68276802"/>
            <w:r>
              <w:rPr>
                <w:b/>
                <w:bCs/>
              </w:rPr>
              <w:t>Parameter</w:t>
            </w:r>
            <w:r w:rsidR="001531D6">
              <w:rPr>
                <w:b/>
                <w:bCs/>
              </w:rPr>
              <w:t xml:space="preserve"> </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2FC81" w14:textId="41F91D24"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25</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DA5DF" w14:textId="0C64C98D"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26</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F14104" w14:textId="68520ED1"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27</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580A99" w14:textId="0C5879C5"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28</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9B68C0" w14:textId="415C8363"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29</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0E4711" w14:textId="469291F0" w:rsidR="00D428B9" w:rsidRPr="00CE28E3" w:rsidRDefault="00D428B9" w:rsidP="003303BB">
            <w:pPr>
              <w:pStyle w:val="TableText"/>
              <w:keepNext/>
              <w:jc w:val="center"/>
              <w:rPr>
                <w:b/>
                <w:bCs/>
              </w:rPr>
            </w:pPr>
            <w:r w:rsidRPr="00CE28E3">
              <w:rPr>
                <w:b/>
                <w:bCs/>
              </w:rPr>
              <w:t xml:space="preserve">Year </w:t>
            </w:r>
            <w:r w:rsidR="00D77B20">
              <w:rPr>
                <w:b/>
                <w:bCs/>
              </w:rPr>
              <w:t>20</w:t>
            </w:r>
            <w:r w:rsidR="003303BB">
              <w:rPr>
                <w:b/>
                <w:bCs/>
              </w:rPr>
              <w:t>30</w:t>
            </w:r>
          </w:p>
        </w:tc>
      </w:tr>
      <w:bookmarkEnd w:id="53"/>
      <w:tr w:rsidR="00D428B9" w:rsidRPr="00CE28E3" w14:paraId="5778418C" w14:textId="77777777" w:rsidTr="375F5CC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2B3CE9" w:rsidRPr="00CE28E3" w14:paraId="16C50CDA"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4CA66D81" w:rsidR="003303BB" w:rsidRPr="00CE28E3" w:rsidRDefault="003303BB" w:rsidP="003303BB">
            <w:pPr>
              <w:pStyle w:val="TableText"/>
              <w:keepNext/>
            </w:pPr>
            <w:r w:rsidRPr="00CE28E3">
              <w:t xml:space="preserve">Number of people eligible </w:t>
            </w:r>
            <w:r>
              <w:t>for DB</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95266" w14:textId="1DBE064C"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B12F5" w14:textId="306AB8BE"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31D3F" w14:textId="10AC89FF"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59E00" w14:textId="4636BC00"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B54F8" w14:textId="55B14490"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7884F" w14:textId="536F5474" w:rsidR="003303BB" w:rsidRPr="00081C10" w:rsidRDefault="002B3CE9" w:rsidP="003303BB">
            <w:pPr>
              <w:pStyle w:val="TableText"/>
              <w:keepNext/>
              <w:jc w:val="center"/>
              <w:rPr>
                <w:b/>
                <w:bCs/>
              </w:rPr>
            </w:pPr>
            <w:r w:rsidRPr="00081C10">
              <w:rPr>
                <w:b/>
                <w:bCs/>
              </w:rPr>
              <w:t>redacted</w:t>
            </w:r>
          </w:p>
        </w:tc>
      </w:tr>
      <w:tr w:rsidR="002B3CE9" w:rsidRPr="00CE28E3" w14:paraId="755DEAF4"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04ABAEA5" w:rsidR="003303BB" w:rsidRPr="00CE28E3" w:rsidRDefault="003303BB" w:rsidP="003303BB">
            <w:pPr>
              <w:pStyle w:val="TableText"/>
              <w:keepNext/>
            </w:pPr>
            <w:r w:rsidRPr="00CE28E3">
              <w:t xml:space="preserve">Number of people who receive </w:t>
            </w:r>
            <w:r>
              <w:t>DB</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02C49" w14:textId="4F978A7B"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FA6A9" w14:textId="03A86548"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99FCD" w14:textId="6E423167"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3F6F" w14:textId="7C6E29BC"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2557F" w14:textId="2944121A"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6D09E" w14:textId="3609CC20" w:rsidR="003303BB" w:rsidRPr="00081C10" w:rsidRDefault="002B3CE9" w:rsidP="003303BB">
            <w:pPr>
              <w:pStyle w:val="TableText"/>
              <w:keepNext/>
              <w:jc w:val="center"/>
              <w:rPr>
                <w:b/>
                <w:bCs/>
              </w:rPr>
            </w:pPr>
            <w:r w:rsidRPr="00081C10">
              <w:rPr>
                <w:b/>
                <w:bCs/>
              </w:rPr>
              <w:t>redacted</w:t>
            </w:r>
          </w:p>
        </w:tc>
      </w:tr>
      <w:tr w:rsidR="002B3CE9" w:rsidRPr="00CE28E3" w14:paraId="55A6176D"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6A13B092" w:rsidR="003303BB" w:rsidRPr="00CE28E3" w:rsidRDefault="003303BB" w:rsidP="003303BB">
            <w:pPr>
              <w:pStyle w:val="TableText"/>
              <w:keepNext/>
            </w:pPr>
            <w:r w:rsidRPr="00CE28E3">
              <w:t xml:space="preserve">Number of services of </w:t>
            </w:r>
            <w:r>
              <w:t xml:space="preserve">DB (assume </w:t>
            </w:r>
            <w:r w:rsidR="002B3CE9" w:rsidRPr="00081C10">
              <w:rPr>
                <w:b/>
                <w:bCs/>
              </w:rPr>
              <w:t>redacted</w:t>
            </w:r>
            <w:r>
              <w:t xml:space="preserve"> vials per patient)</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D15F76" w14:textId="623DDD97"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80FD5" w14:textId="51675520"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40950" w14:textId="0439A018"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61EF9" w14:textId="31BF68AD"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F194A" w14:textId="171F71EB" w:rsidR="003303BB" w:rsidRPr="00081C10" w:rsidRDefault="002B3CE9" w:rsidP="003303BB">
            <w:pPr>
              <w:pStyle w:val="TableText"/>
              <w:keepNext/>
              <w:jc w:val="center"/>
              <w:rPr>
                <w:b/>
                <w:bCs/>
              </w:rPr>
            </w:pP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9F5C3" w14:textId="2F945413" w:rsidR="003303BB" w:rsidRPr="00081C10" w:rsidRDefault="002B3CE9" w:rsidP="003303BB">
            <w:pPr>
              <w:pStyle w:val="TableText"/>
              <w:keepNext/>
              <w:jc w:val="center"/>
              <w:rPr>
                <w:b/>
                <w:bCs/>
              </w:rPr>
            </w:pPr>
            <w:r w:rsidRPr="00081C10">
              <w:rPr>
                <w:b/>
                <w:bCs/>
              </w:rPr>
              <w:t>redacted</w:t>
            </w:r>
          </w:p>
        </w:tc>
      </w:tr>
      <w:tr w:rsidR="002B3CE9" w:rsidRPr="00CE28E3" w14:paraId="17BAD6C0"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7C7A3AF8" w:rsidR="003303BB" w:rsidRPr="00081C10" w:rsidRDefault="003303BB" w:rsidP="003303BB">
            <w:pPr>
              <w:pStyle w:val="TableText"/>
              <w:keepNext/>
              <w:rPr>
                <w:b/>
                <w:bCs/>
              </w:rPr>
            </w:pPr>
            <w:r w:rsidRPr="375F5CCE">
              <w:t>Cost to the NHRA HST program (with appropriate copayments excluded)</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42506" w14:textId="407857CE" w:rsidR="003303BB" w:rsidRPr="00081C10" w:rsidRDefault="00081C10" w:rsidP="003303BB">
            <w:pPr>
              <w:pStyle w:val="TableText"/>
              <w:keepNext/>
              <w:jc w:val="center"/>
              <w:rPr>
                <w:b/>
                <w:bCs/>
              </w:rPr>
            </w:pPr>
            <w:r w:rsidRPr="00081C10">
              <w:t>$</w:t>
            </w: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D3823" w14:textId="481F9670" w:rsidR="003303BB" w:rsidRPr="00081C10" w:rsidRDefault="00081C10" w:rsidP="003303BB">
            <w:pPr>
              <w:pStyle w:val="TableText"/>
              <w:keepNext/>
              <w:jc w:val="center"/>
              <w:rPr>
                <w:b/>
                <w:bCs/>
              </w:rPr>
            </w:pPr>
            <w:r w:rsidRPr="00081C10">
              <w:t>$</w:t>
            </w: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F7234" w14:textId="57F3F152" w:rsidR="003303BB" w:rsidRPr="00081C10" w:rsidRDefault="00081C10" w:rsidP="003303BB">
            <w:pPr>
              <w:pStyle w:val="TableText"/>
              <w:keepNext/>
              <w:jc w:val="center"/>
              <w:rPr>
                <w:b/>
                <w:bCs/>
              </w:rPr>
            </w:pPr>
            <w:r w:rsidRPr="00081C10">
              <w:t>$</w:t>
            </w: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0669" w14:textId="3F720995" w:rsidR="003303BB" w:rsidRPr="00081C10" w:rsidRDefault="00081C10" w:rsidP="003303BB">
            <w:pPr>
              <w:pStyle w:val="TableText"/>
              <w:keepNext/>
              <w:jc w:val="center"/>
              <w:rPr>
                <w:b/>
                <w:bCs/>
              </w:rPr>
            </w:pPr>
            <w:r w:rsidRPr="00081C10">
              <w:t>$</w:t>
            </w: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DBF5" w14:textId="68E1A8D5" w:rsidR="003303BB" w:rsidRPr="00081C10" w:rsidRDefault="00081C10" w:rsidP="003303BB">
            <w:pPr>
              <w:pStyle w:val="TableText"/>
              <w:keepNext/>
              <w:jc w:val="center"/>
              <w:rPr>
                <w:b/>
                <w:bCs/>
              </w:rPr>
            </w:pPr>
            <w:r w:rsidRPr="00081C10">
              <w:t>$</w:t>
            </w:r>
            <w:r w:rsidRPr="00081C10">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242D5" w14:textId="00131C36" w:rsidR="003303BB" w:rsidRPr="00081C10" w:rsidRDefault="00081C10" w:rsidP="003303BB">
            <w:pPr>
              <w:pStyle w:val="TableText"/>
              <w:keepNext/>
              <w:jc w:val="center"/>
              <w:rPr>
                <w:b/>
                <w:bCs/>
              </w:rPr>
            </w:pPr>
            <w:r w:rsidRPr="00081C10">
              <w:t>$</w:t>
            </w:r>
            <w:r w:rsidR="002B3CE9" w:rsidRPr="00081C10">
              <w:rPr>
                <w:b/>
                <w:bCs/>
              </w:rPr>
              <w:t>redacted</w:t>
            </w:r>
          </w:p>
        </w:tc>
      </w:tr>
      <w:tr w:rsidR="00D428B9" w:rsidRPr="00CE28E3" w14:paraId="5BC9C961" w14:textId="77777777" w:rsidTr="375F5CC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2B3CE9" w:rsidRPr="00CE28E3" w14:paraId="141B431A"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36ABFAE6" w:rsidR="003303BB" w:rsidRPr="00CE28E3" w:rsidRDefault="003303BB" w:rsidP="003303BB">
            <w:pPr>
              <w:pStyle w:val="TableText"/>
              <w:keepNext/>
            </w:pPr>
            <w:r w:rsidRPr="00CE28E3">
              <w:t xml:space="preserve">Change in use of </w:t>
            </w:r>
            <w:r>
              <w:t>chemotherapy</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6D7D" w14:textId="0653A4A4" w:rsidR="003303BB" w:rsidRPr="00CE28E3" w:rsidRDefault="003303BB" w:rsidP="003303BB">
            <w:pPr>
              <w:pStyle w:val="TableText"/>
              <w:keepNext/>
              <w:jc w:val="center"/>
            </w:pPr>
            <w:r>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B03D6" w14:textId="4190270E"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F281E" w14:textId="2912B4D9"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92FF03" w14:textId="0C270BD7"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DD028" w14:textId="3787AE87"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785F7" w14:textId="73B5EDF7" w:rsidR="003303BB" w:rsidRPr="00CE28E3" w:rsidRDefault="003303BB" w:rsidP="003303BB">
            <w:pPr>
              <w:pStyle w:val="TableText"/>
              <w:keepNext/>
              <w:jc w:val="center"/>
            </w:pPr>
            <w:r w:rsidRPr="0061727A">
              <w:t>N/A</w:t>
            </w:r>
          </w:p>
        </w:tc>
      </w:tr>
      <w:tr w:rsidR="002B3CE9" w:rsidRPr="00CE28E3" w14:paraId="3D0475C2"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10A835E9" w:rsidR="003303BB" w:rsidRPr="00CE28E3" w:rsidRDefault="003303BB" w:rsidP="003303BB">
            <w:pPr>
              <w:pStyle w:val="TableText"/>
              <w:keepNext/>
            </w:pPr>
            <w:r w:rsidRPr="00CE28E3">
              <w:t>Change in use of other affected health technologies</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93D8C" w14:textId="24A8ADAE" w:rsidR="003303BB" w:rsidRPr="00CE28E3" w:rsidRDefault="003303BB" w:rsidP="003303BB">
            <w:pPr>
              <w:pStyle w:val="TableText"/>
              <w:keepNext/>
              <w:jc w:val="center"/>
            </w:pPr>
            <w:r>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B0C16" w14:textId="52372852"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74DE" w14:textId="4DB0A141"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F506D" w14:textId="50FDE6AF"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D2F08" w14:textId="6B3F3A8C" w:rsidR="003303BB" w:rsidRPr="00CE28E3" w:rsidRDefault="003303BB" w:rsidP="003303BB">
            <w:pPr>
              <w:pStyle w:val="TableText"/>
              <w:keepNext/>
              <w:jc w:val="center"/>
            </w:pPr>
            <w:r w:rsidRPr="0061727A">
              <w:t>N/A</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1F9AE" w14:textId="25770628" w:rsidR="003303BB" w:rsidRPr="00CE28E3" w:rsidRDefault="003303BB" w:rsidP="003303BB">
            <w:pPr>
              <w:pStyle w:val="TableText"/>
              <w:keepNext/>
              <w:jc w:val="center"/>
            </w:pPr>
            <w:r w:rsidRPr="0061727A">
              <w:t>N/A</w:t>
            </w:r>
          </w:p>
        </w:tc>
      </w:tr>
      <w:tr w:rsidR="002B3CE9" w:rsidRPr="00CE28E3" w14:paraId="7537920A" w14:textId="77777777" w:rsidTr="375F5CC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600680A9" w:rsidR="003303BB" w:rsidRPr="00CE28E3" w:rsidRDefault="003303BB" w:rsidP="003303BB">
            <w:pPr>
              <w:pStyle w:val="TableText"/>
              <w:keepNext/>
            </w:pPr>
            <w:r w:rsidRPr="375F5CCE">
              <w:t>Net change in costs to the PBS (with appropriate copayments excluded)</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28437E" w14:textId="57086844" w:rsidR="003303BB" w:rsidRPr="00CE28E3" w:rsidRDefault="003303BB" w:rsidP="003303BB">
            <w:pPr>
              <w:pStyle w:val="TableText"/>
              <w:keepNext/>
              <w:jc w:val="center"/>
            </w:pPr>
            <w:r>
              <w:t>$0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21981" w14:textId="1B3AFCB7" w:rsidR="003303BB" w:rsidRPr="00CE28E3" w:rsidRDefault="003303BB" w:rsidP="003303BB">
            <w:pPr>
              <w:pStyle w:val="TableText"/>
              <w:keepNext/>
              <w:jc w:val="center"/>
            </w:pPr>
            <w:r w:rsidRPr="00DF4ACD">
              <w:t>$0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956CE" w14:textId="40FDACA1" w:rsidR="003303BB" w:rsidRPr="00CE28E3" w:rsidRDefault="003303BB" w:rsidP="003303BB">
            <w:pPr>
              <w:pStyle w:val="TableText"/>
              <w:keepNext/>
              <w:jc w:val="center"/>
            </w:pPr>
            <w:r w:rsidRPr="00DF4ACD">
              <w:t>$0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4213C" w14:textId="5ED48683" w:rsidR="003303BB" w:rsidRPr="00CE28E3" w:rsidRDefault="003303BB" w:rsidP="003303BB">
            <w:pPr>
              <w:pStyle w:val="TableText"/>
              <w:keepNext/>
              <w:jc w:val="center"/>
            </w:pPr>
            <w:r w:rsidRPr="00DF4ACD">
              <w:t>$0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0BD324" w14:textId="1A392A41" w:rsidR="003303BB" w:rsidRPr="00CE28E3" w:rsidRDefault="003303BB" w:rsidP="003303BB">
            <w:pPr>
              <w:pStyle w:val="TableText"/>
              <w:keepNext/>
              <w:jc w:val="center"/>
            </w:pPr>
            <w:r w:rsidRPr="00DF4ACD">
              <w:t>$0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FC579" w14:textId="1E16D136" w:rsidR="003303BB" w:rsidRPr="00CE28E3" w:rsidRDefault="003303BB" w:rsidP="003303BB">
            <w:pPr>
              <w:pStyle w:val="TableText"/>
              <w:keepNext/>
              <w:jc w:val="center"/>
            </w:pPr>
            <w:r w:rsidRPr="00DF4ACD">
              <w:t>$0</w:t>
            </w:r>
          </w:p>
        </w:tc>
      </w:tr>
      <w:tr w:rsidR="002B3CE9" w:rsidRPr="00CE28E3" w14:paraId="1D7F897A" w14:textId="77777777" w:rsidTr="375F5CCE">
        <w:tc>
          <w:tcPr>
            <w:tcW w:w="282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FEA76BA" w14:textId="6CAC08C7" w:rsidR="003303BB" w:rsidRPr="00081C10" w:rsidRDefault="003303BB" w:rsidP="375F5CCE">
            <w:pPr>
              <w:pStyle w:val="TableText"/>
              <w:keepNext/>
              <w:rPr>
                <w:b/>
                <w:bCs/>
              </w:rPr>
            </w:pPr>
            <w:r w:rsidRPr="00081C10">
              <w:rPr>
                <w:b/>
                <w:bCs/>
              </w:rPr>
              <w:t>Net financial impact to the NHRA HST program</w:t>
            </w:r>
          </w:p>
        </w:tc>
        <w:tc>
          <w:tcPr>
            <w:tcW w:w="996" w:type="dxa"/>
            <w:tcBorders>
              <w:top w:val="nil"/>
              <w:left w:val="nil"/>
              <w:bottom w:val="single" w:sz="4" w:space="0" w:color="auto"/>
              <w:right w:val="single" w:sz="8" w:space="0" w:color="auto"/>
            </w:tcBorders>
            <w:tcMar>
              <w:top w:w="0" w:type="dxa"/>
              <w:left w:w="108" w:type="dxa"/>
              <w:bottom w:w="0" w:type="dxa"/>
              <w:right w:w="108" w:type="dxa"/>
            </w:tcMar>
            <w:vAlign w:val="center"/>
          </w:tcPr>
          <w:p w14:paraId="10D9A965" w14:textId="56C52719" w:rsidR="003303BB" w:rsidRPr="00081C10" w:rsidRDefault="00081C10" w:rsidP="003303BB">
            <w:pPr>
              <w:pStyle w:val="TableText"/>
              <w:keepNext/>
              <w:rPr>
                <w:b/>
                <w:bCs/>
              </w:rPr>
            </w:pPr>
            <w:r w:rsidRPr="00081C10">
              <w:t>$</w:t>
            </w:r>
            <w:r w:rsidRPr="00081C10">
              <w:rPr>
                <w:b/>
                <w:bCs/>
              </w:rPr>
              <w:t>redacted</w:t>
            </w:r>
          </w:p>
        </w:tc>
        <w:tc>
          <w:tcPr>
            <w:tcW w:w="1037" w:type="dxa"/>
            <w:tcBorders>
              <w:top w:val="nil"/>
              <w:left w:val="nil"/>
              <w:bottom w:val="single" w:sz="4" w:space="0" w:color="auto"/>
              <w:right w:val="single" w:sz="8" w:space="0" w:color="auto"/>
            </w:tcBorders>
            <w:tcMar>
              <w:top w:w="0" w:type="dxa"/>
              <w:left w:w="108" w:type="dxa"/>
              <w:bottom w:w="0" w:type="dxa"/>
              <w:right w:w="108" w:type="dxa"/>
            </w:tcMar>
            <w:vAlign w:val="center"/>
          </w:tcPr>
          <w:p w14:paraId="094449DB" w14:textId="2FFDF45B" w:rsidR="003303BB" w:rsidRPr="00081C10" w:rsidRDefault="00081C10" w:rsidP="003303BB">
            <w:pPr>
              <w:pStyle w:val="TableText"/>
              <w:keepNext/>
              <w:rPr>
                <w:b/>
                <w:bCs/>
              </w:rPr>
            </w:pPr>
            <w:r w:rsidRPr="00081C10">
              <w:t>$</w:t>
            </w:r>
            <w:r w:rsidRPr="00081C10">
              <w:rPr>
                <w:b/>
                <w:bCs/>
              </w:rPr>
              <w:t>redacted</w:t>
            </w:r>
          </w:p>
        </w:tc>
        <w:tc>
          <w:tcPr>
            <w:tcW w:w="1037" w:type="dxa"/>
            <w:tcBorders>
              <w:top w:val="nil"/>
              <w:left w:val="nil"/>
              <w:bottom w:val="single" w:sz="4" w:space="0" w:color="auto"/>
              <w:right w:val="single" w:sz="8" w:space="0" w:color="auto"/>
            </w:tcBorders>
            <w:tcMar>
              <w:top w:w="0" w:type="dxa"/>
              <w:left w:w="108" w:type="dxa"/>
              <w:bottom w:w="0" w:type="dxa"/>
              <w:right w:w="108" w:type="dxa"/>
            </w:tcMar>
            <w:vAlign w:val="center"/>
          </w:tcPr>
          <w:p w14:paraId="1BD218F3" w14:textId="1CC5D124" w:rsidR="003303BB" w:rsidRPr="00081C10" w:rsidRDefault="00081C10" w:rsidP="003303BB">
            <w:pPr>
              <w:pStyle w:val="TableText"/>
              <w:keepNext/>
              <w:rPr>
                <w:b/>
                <w:bCs/>
              </w:rPr>
            </w:pPr>
            <w:r w:rsidRPr="00081C10">
              <w:t>$</w:t>
            </w:r>
            <w:r w:rsidRPr="00081C10">
              <w:rPr>
                <w:b/>
                <w:bCs/>
              </w:rPr>
              <w:t>redacted</w:t>
            </w:r>
          </w:p>
        </w:tc>
        <w:tc>
          <w:tcPr>
            <w:tcW w:w="103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13D334" w14:textId="470D5CEC" w:rsidR="003303BB" w:rsidRPr="00081C10" w:rsidRDefault="00081C10" w:rsidP="003303BB">
            <w:pPr>
              <w:pStyle w:val="TableText"/>
              <w:keepNext/>
              <w:rPr>
                <w:b/>
                <w:bCs/>
              </w:rPr>
            </w:pPr>
            <w:r w:rsidRPr="00081C10">
              <w:t>$</w:t>
            </w:r>
            <w:r w:rsidRPr="00081C10">
              <w:rPr>
                <w:b/>
                <w:bCs/>
              </w:rPr>
              <w:t>redacted</w:t>
            </w:r>
          </w:p>
        </w:tc>
        <w:tc>
          <w:tcPr>
            <w:tcW w:w="1037" w:type="dxa"/>
            <w:tcBorders>
              <w:top w:val="nil"/>
              <w:left w:val="nil"/>
              <w:bottom w:val="single" w:sz="4" w:space="0" w:color="auto"/>
              <w:right w:val="single" w:sz="8" w:space="0" w:color="auto"/>
            </w:tcBorders>
            <w:tcMar>
              <w:top w:w="0" w:type="dxa"/>
              <w:left w:w="108" w:type="dxa"/>
              <w:bottom w:w="0" w:type="dxa"/>
              <w:right w:w="108" w:type="dxa"/>
            </w:tcMar>
            <w:vAlign w:val="center"/>
          </w:tcPr>
          <w:p w14:paraId="219A632F" w14:textId="464A899C" w:rsidR="003303BB" w:rsidRPr="00081C10" w:rsidRDefault="00081C10" w:rsidP="003303BB">
            <w:pPr>
              <w:pStyle w:val="TableText"/>
              <w:keepNext/>
              <w:rPr>
                <w:b/>
                <w:bCs/>
              </w:rPr>
            </w:pPr>
            <w:r w:rsidRPr="00081C10">
              <w:t>$</w:t>
            </w:r>
            <w:r w:rsidRPr="00081C10">
              <w:rPr>
                <w:b/>
                <w:bCs/>
              </w:rPr>
              <w:t>redacted</w:t>
            </w:r>
          </w:p>
        </w:tc>
        <w:tc>
          <w:tcPr>
            <w:tcW w:w="1037" w:type="dxa"/>
            <w:tcBorders>
              <w:top w:val="nil"/>
              <w:left w:val="nil"/>
              <w:bottom w:val="single" w:sz="4" w:space="0" w:color="auto"/>
              <w:right w:val="single" w:sz="8" w:space="0" w:color="auto"/>
            </w:tcBorders>
            <w:tcMar>
              <w:top w:w="0" w:type="dxa"/>
              <w:left w:w="108" w:type="dxa"/>
              <w:bottom w:w="0" w:type="dxa"/>
              <w:right w:w="108" w:type="dxa"/>
            </w:tcMar>
            <w:vAlign w:val="center"/>
          </w:tcPr>
          <w:p w14:paraId="3ADBCE21" w14:textId="298D4DE3" w:rsidR="003303BB" w:rsidRPr="00081C10" w:rsidRDefault="00081C10" w:rsidP="003303BB">
            <w:pPr>
              <w:pStyle w:val="TableText"/>
              <w:keepNext/>
              <w:rPr>
                <w:b/>
                <w:bCs/>
              </w:rPr>
            </w:pPr>
            <w:r w:rsidRPr="00081C10">
              <w:t>$</w:t>
            </w:r>
            <w:r w:rsidRPr="00081C10">
              <w:rPr>
                <w:b/>
                <w:bCs/>
              </w:rPr>
              <w:t>redacted</w:t>
            </w:r>
          </w:p>
        </w:tc>
      </w:tr>
      <w:tr w:rsidR="002B3CE9" w:rsidRPr="00CE28E3" w14:paraId="1ED210D9" w14:textId="77777777" w:rsidTr="375F5CCE">
        <w:tc>
          <w:tcPr>
            <w:tcW w:w="28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77C176" w14:textId="257B6562" w:rsidR="00473208" w:rsidRPr="00081C10" w:rsidRDefault="00473208" w:rsidP="375F5CCE">
            <w:pPr>
              <w:pStyle w:val="TableText"/>
              <w:keepNext/>
              <w:rPr>
                <w:b/>
                <w:bCs/>
              </w:rPr>
            </w:pPr>
            <w:r w:rsidRPr="00081C10">
              <w:rPr>
                <w:b/>
                <w:bCs/>
              </w:rPr>
              <w:t xml:space="preserve">Net financial impact to the NHRA HST program (assuming </w:t>
            </w:r>
            <w:r w:rsidR="002B3CE9" w:rsidRPr="00081C10">
              <w:rPr>
                <w:b/>
                <w:bCs/>
              </w:rPr>
              <w:t>redacted</w:t>
            </w:r>
            <w:r w:rsidRPr="00081C10">
              <w:rPr>
                <w:b/>
                <w:bCs/>
              </w:rPr>
              <w:t xml:space="preserve"> vials per patient)</w:t>
            </w:r>
          </w:p>
        </w:tc>
        <w:tc>
          <w:tcPr>
            <w:tcW w:w="9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45B2E4" w14:textId="36428DE0" w:rsidR="00473208" w:rsidRPr="00081C10" w:rsidRDefault="00081C10" w:rsidP="00473208">
            <w:pPr>
              <w:pStyle w:val="TableText"/>
              <w:keepNext/>
              <w:rPr>
                <w:b/>
                <w:bCs/>
              </w:rPr>
            </w:pPr>
            <w:r w:rsidRPr="00081C10">
              <w:t>$</w:t>
            </w:r>
            <w:r w:rsidRPr="00081C10">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FECCBAA" w14:textId="19D8AB37" w:rsidR="00473208" w:rsidRPr="00081C10" w:rsidRDefault="00081C10" w:rsidP="00473208">
            <w:pPr>
              <w:pStyle w:val="TableText"/>
              <w:keepNext/>
              <w:rPr>
                <w:b/>
                <w:bCs/>
              </w:rPr>
            </w:pPr>
            <w:r w:rsidRPr="00081C10">
              <w:t>$</w:t>
            </w:r>
            <w:r w:rsidRPr="00081C10">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A4E15E5" w14:textId="702822D1" w:rsidR="00473208" w:rsidRPr="00081C10" w:rsidRDefault="00081C10" w:rsidP="00473208">
            <w:pPr>
              <w:pStyle w:val="TableText"/>
              <w:keepNext/>
              <w:rPr>
                <w:b/>
                <w:bCs/>
              </w:rPr>
            </w:pPr>
            <w:r w:rsidRPr="00081C10">
              <w:t>$</w:t>
            </w:r>
            <w:r w:rsidRPr="00081C10">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AAC390" w14:textId="20995A16" w:rsidR="00473208" w:rsidRPr="00081C10" w:rsidRDefault="00081C10" w:rsidP="00473208">
            <w:pPr>
              <w:pStyle w:val="TableText"/>
              <w:keepNext/>
              <w:rPr>
                <w:b/>
                <w:bCs/>
              </w:rPr>
            </w:pPr>
            <w:r w:rsidRPr="00081C10">
              <w:t>$</w:t>
            </w:r>
            <w:r w:rsidRPr="00081C10">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1D4F30" w14:textId="7A3CF55F" w:rsidR="00473208" w:rsidRPr="00081C10" w:rsidRDefault="00081C10" w:rsidP="00473208">
            <w:pPr>
              <w:pStyle w:val="TableText"/>
              <w:keepNext/>
              <w:rPr>
                <w:b/>
                <w:bCs/>
              </w:rPr>
            </w:pPr>
            <w:r w:rsidRPr="00081C10">
              <w:t>$</w:t>
            </w:r>
            <w:r w:rsidRPr="00081C10">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73E982" w14:textId="2DDAFB0B" w:rsidR="00473208" w:rsidRPr="00081C10" w:rsidRDefault="00081C10" w:rsidP="00473208">
            <w:pPr>
              <w:pStyle w:val="TableText"/>
              <w:keepNext/>
              <w:rPr>
                <w:b/>
                <w:bCs/>
              </w:rPr>
            </w:pPr>
            <w:r w:rsidRPr="00081C10">
              <w:t>$</w:t>
            </w:r>
            <w:r w:rsidRPr="00081C10">
              <w:rPr>
                <w:b/>
                <w:bCs/>
              </w:rPr>
              <w:t>redacted</w:t>
            </w:r>
          </w:p>
        </w:tc>
      </w:tr>
    </w:tbl>
    <w:p w14:paraId="314B5062" w14:textId="5B5672DF" w:rsidR="00215AFB" w:rsidRDefault="003303BB" w:rsidP="003303BB">
      <w:pPr>
        <w:rPr>
          <w:rFonts w:ascii="Arial Narrow" w:hAnsi="Arial Narrow"/>
          <w:sz w:val="18"/>
          <w:szCs w:val="18"/>
        </w:rPr>
      </w:pPr>
      <w:bookmarkStart w:id="55" w:name="_Hlk68276814"/>
      <w:bookmarkEnd w:id="54"/>
      <w:r>
        <w:rPr>
          <w:rFonts w:ascii="Arial Narrow" w:hAnsi="Arial Narrow"/>
          <w:sz w:val="18"/>
          <w:szCs w:val="18"/>
        </w:rPr>
        <w:t xml:space="preserve">HST = </w:t>
      </w:r>
      <w:r w:rsidRPr="003303BB">
        <w:rPr>
          <w:rFonts w:ascii="Arial Narrow" w:hAnsi="Arial Narrow"/>
          <w:sz w:val="18"/>
          <w:szCs w:val="18"/>
        </w:rPr>
        <w:t>Highly Specialised Therapies</w:t>
      </w:r>
      <w:r>
        <w:rPr>
          <w:rFonts w:ascii="Arial Narrow" w:hAnsi="Arial Narrow"/>
          <w:sz w:val="18"/>
          <w:szCs w:val="18"/>
        </w:rPr>
        <w:t>;</w:t>
      </w:r>
      <w:r w:rsidRPr="003303BB">
        <w:rPr>
          <w:rFonts w:ascii="Arial Narrow" w:hAnsi="Arial Narrow"/>
          <w:sz w:val="18"/>
          <w:szCs w:val="18"/>
        </w:rPr>
        <w:t xml:space="preserve"> </w:t>
      </w:r>
      <w:r w:rsidR="00426B80">
        <w:rPr>
          <w:rFonts w:ascii="Arial Narrow" w:hAnsi="Arial Narrow"/>
          <w:sz w:val="18"/>
          <w:szCs w:val="18"/>
        </w:rPr>
        <w:t xml:space="preserve">N/A = not applicable; </w:t>
      </w:r>
      <w:r>
        <w:rPr>
          <w:rFonts w:ascii="Arial Narrow" w:hAnsi="Arial Narrow"/>
          <w:sz w:val="18"/>
          <w:szCs w:val="18"/>
        </w:rPr>
        <w:t xml:space="preserve">NHRA = </w:t>
      </w:r>
      <w:r w:rsidRPr="003303BB">
        <w:rPr>
          <w:rFonts w:ascii="Arial Narrow" w:hAnsi="Arial Narrow"/>
          <w:sz w:val="18"/>
          <w:szCs w:val="18"/>
        </w:rPr>
        <w:t>National Health Reform Agreement</w:t>
      </w:r>
      <w:r>
        <w:rPr>
          <w:rFonts w:ascii="Arial Narrow" w:hAnsi="Arial Narrow"/>
          <w:sz w:val="18"/>
          <w:szCs w:val="18"/>
        </w:rPr>
        <w:t>, PBS = Pharmaceutical Benefits Scheme</w:t>
      </w:r>
    </w:p>
    <w:p w14:paraId="25358681" w14:textId="22AE7FF3" w:rsidR="0057645B" w:rsidRPr="003303BB" w:rsidRDefault="0057645B" w:rsidP="0057645B">
      <w:r>
        <w:t xml:space="preserve">The ADAR also noted that there is expected to be no increase </w:t>
      </w:r>
      <w:r w:rsidRPr="0057645B">
        <w:t xml:space="preserve">in the current Government – Sponsor agreement to accommodate the use of </w:t>
      </w:r>
      <w:r>
        <w:t xml:space="preserve">DB </w:t>
      </w:r>
      <w:r w:rsidRPr="0057645B">
        <w:t xml:space="preserve">for </w:t>
      </w:r>
      <w:r w:rsidR="00FB3899">
        <w:t>RR</w:t>
      </w:r>
      <w:r w:rsidRPr="0057645B">
        <w:t xml:space="preserve">HRNBL for March 2025 </w:t>
      </w:r>
      <w:r>
        <w:t>to</w:t>
      </w:r>
      <w:r w:rsidRPr="0057645B">
        <w:t xml:space="preserve"> February 2026</w:t>
      </w:r>
      <w:r>
        <w:t xml:space="preserve"> as </w:t>
      </w:r>
      <w:r w:rsidR="00702140" w:rsidRPr="000A49C5">
        <w:rPr>
          <w:b/>
          <w:bCs/>
        </w:rPr>
        <w:t xml:space="preserve">redacted </w:t>
      </w:r>
      <w:r>
        <w:t>vials were forecast for this period, where</w:t>
      </w:r>
      <w:r w:rsidR="00FB3899">
        <w:t>as</w:t>
      </w:r>
      <w:r>
        <w:t xml:space="preserve"> the ADAR estimates </w:t>
      </w:r>
      <w:r w:rsidR="00702140" w:rsidRPr="000A49C5">
        <w:rPr>
          <w:b/>
          <w:bCs/>
        </w:rPr>
        <w:t xml:space="preserve">redacted </w:t>
      </w:r>
      <w:r>
        <w:t xml:space="preserve">vials for HRNBL and </w:t>
      </w:r>
      <w:r w:rsidR="00702140" w:rsidRPr="000A49C5">
        <w:rPr>
          <w:b/>
          <w:bCs/>
        </w:rPr>
        <w:t xml:space="preserve">redacted </w:t>
      </w:r>
      <w:r>
        <w:t xml:space="preserve">vials for RRHRNBL over this </w:t>
      </w:r>
      <w:proofErr w:type="gramStart"/>
      <w:r>
        <w:t>time period</w:t>
      </w:r>
      <w:proofErr w:type="gramEnd"/>
      <w:r w:rsidR="00FB3899">
        <w:t xml:space="preserve"> (total of </w:t>
      </w:r>
      <w:r w:rsidR="00702140" w:rsidRPr="000A49C5">
        <w:rPr>
          <w:b/>
          <w:bCs/>
        </w:rPr>
        <w:t xml:space="preserve">redacted </w:t>
      </w:r>
      <w:r w:rsidR="00FB3899">
        <w:t>vials)</w:t>
      </w:r>
      <w:r w:rsidRPr="0057645B">
        <w:t>.</w:t>
      </w:r>
    </w:p>
    <w:p w14:paraId="7838A9FF" w14:textId="148AF902" w:rsidR="00772829" w:rsidRDefault="00772829" w:rsidP="00EE5979">
      <w:pPr>
        <w:pStyle w:val="Heading2"/>
        <w:numPr>
          <w:ilvl w:val="0"/>
          <w:numId w:val="22"/>
        </w:numPr>
        <w:ind w:hanging="720"/>
      </w:pPr>
      <w:bookmarkStart w:id="56" w:name="_Toc69491427"/>
      <w:bookmarkEnd w:id="55"/>
      <w:r w:rsidRPr="00CE28E3">
        <w:lastRenderedPageBreak/>
        <w:t xml:space="preserve">Other relevant </w:t>
      </w:r>
      <w:bookmarkEnd w:id="56"/>
      <w:r w:rsidR="00FA5766">
        <w:t>information</w:t>
      </w:r>
    </w:p>
    <w:p w14:paraId="3D32568C" w14:textId="77609306" w:rsidR="00473208" w:rsidRPr="00473208" w:rsidRDefault="00473208" w:rsidP="00473208">
      <w:r>
        <w:t>None</w:t>
      </w:r>
      <w:r w:rsidR="0063480B">
        <w:t>.</w:t>
      </w:r>
      <w:r>
        <w:t xml:space="preserve"> </w:t>
      </w:r>
    </w:p>
    <w:p w14:paraId="5DB4C997" w14:textId="77777777" w:rsidR="00EE5979" w:rsidRPr="00A737D1" w:rsidRDefault="00EE5979" w:rsidP="00EE5979">
      <w:pPr>
        <w:pStyle w:val="Heading2"/>
        <w:numPr>
          <w:ilvl w:val="0"/>
          <w:numId w:val="22"/>
        </w:numPr>
        <w:ind w:hanging="720"/>
      </w:pPr>
      <w:bookmarkStart w:id="57" w:name="_Toc145678765"/>
      <w:bookmarkStart w:id="58" w:name="_Toc150172410"/>
      <w:bookmarkStart w:id="59" w:name="_Toc153462785"/>
      <w:r w:rsidRPr="003A793E">
        <w:t>Key issues from ESC to MSAC</w:t>
      </w:r>
    </w:p>
    <w:bookmarkEnd w:id="57"/>
    <w:bookmarkEnd w:id="58"/>
    <w:bookmarkEnd w:id="59"/>
    <w:p w14:paraId="2EE51250" w14:textId="77777777" w:rsidR="001F16E6" w:rsidRDefault="001F16E6" w:rsidP="001F16E6">
      <w:pPr>
        <w:pStyle w:val="BoxName0"/>
      </w:pPr>
      <w:r w:rsidRPr="375F5CCE">
        <w:t>Main issues for MSAC consideration</w:t>
      </w:r>
    </w:p>
    <w:p w14:paraId="24FC61A7" w14:textId="77777777" w:rsidR="001F16E6" w:rsidRDefault="001F16E6" w:rsidP="001F16E6">
      <w:pPr>
        <w:pStyle w:val="BoxName0"/>
      </w:pPr>
      <w:r>
        <w:t>Clinical issues:</w:t>
      </w:r>
    </w:p>
    <w:p w14:paraId="013B0E4D" w14:textId="77777777" w:rsidR="001F16E6" w:rsidRDefault="001F16E6" w:rsidP="001F16E6">
      <w:pPr>
        <w:pStyle w:val="BoxBullet"/>
      </w:pPr>
      <w:r>
        <w:t xml:space="preserve">The clinical trial evidence had a high risk of bias, but </w:t>
      </w:r>
      <w:proofErr w:type="gramStart"/>
      <w:r>
        <w:t>overall</w:t>
      </w:r>
      <w:proofErr w:type="gramEnd"/>
      <w:r>
        <w:t xml:space="preserve"> there was biological plausibility and a convincing signal of efficacy for </w:t>
      </w:r>
      <w:proofErr w:type="spellStart"/>
      <w:r>
        <w:t>dinutuximab</w:t>
      </w:r>
      <w:proofErr w:type="spellEnd"/>
      <w:r>
        <w:t xml:space="preserve"> beta (DB) in these patients. </w:t>
      </w:r>
    </w:p>
    <w:p w14:paraId="51A05027" w14:textId="77777777" w:rsidR="001F16E6" w:rsidRDefault="001F16E6" w:rsidP="001F16E6">
      <w:pPr>
        <w:pStyle w:val="BoxBullet"/>
      </w:pPr>
      <w:r>
        <w:t xml:space="preserve">The applicant-developed assessment report (ADAR) assumed that DB and </w:t>
      </w:r>
      <w:proofErr w:type="spellStart"/>
      <w:r>
        <w:t>dinutuximab</w:t>
      </w:r>
      <w:proofErr w:type="spellEnd"/>
      <w:r>
        <w:t xml:space="preserve"> alpha (DA) are therapeutically equivalent but provided no evidence for this assumption. However, given that overseas regulatory agencies consider that there is no significant difference in safety or efficacy between DA and DB, ESC considered the assumption of therapeutic similarity may be acceptable.</w:t>
      </w:r>
    </w:p>
    <w:p w14:paraId="0E2FBA25" w14:textId="77777777" w:rsidR="001F16E6" w:rsidRDefault="001F16E6" w:rsidP="001F16E6">
      <w:pPr>
        <w:pStyle w:val="BoxBullet"/>
      </w:pPr>
      <w:r>
        <w:t xml:space="preserve">The dosing schedules in the key trials were different from one another and from the TGA-approved dosing schedule. </w:t>
      </w:r>
    </w:p>
    <w:p w14:paraId="5804D171" w14:textId="77777777" w:rsidR="001F16E6" w:rsidRDefault="001F16E6" w:rsidP="001F16E6">
      <w:pPr>
        <w:pStyle w:val="BoxHeading"/>
      </w:pPr>
      <w:r>
        <w:t>Economic issues:</w:t>
      </w:r>
    </w:p>
    <w:p w14:paraId="4BE3B823" w14:textId="77777777" w:rsidR="001F16E6" w:rsidRDefault="001F16E6" w:rsidP="001F16E6">
      <w:pPr>
        <w:pStyle w:val="BoxBullet"/>
      </w:pPr>
      <w:r w:rsidRPr="375F5CCE">
        <w:t>The economic model was impeded by very limited data, leading to highly uncertain results</w:t>
      </w:r>
      <w:r>
        <w:t xml:space="preserve"> because the two alternative methodologies that were used to fill evidence gaps either led to significant errors in the partition survival model (the </w:t>
      </w:r>
      <w:r w:rsidRPr="00A5729D">
        <w:t xml:space="preserve">sum of proportions in each </w:t>
      </w:r>
      <w:r>
        <w:t xml:space="preserve">health </w:t>
      </w:r>
      <w:r w:rsidRPr="00A5729D">
        <w:t xml:space="preserve">state </w:t>
      </w:r>
      <w:r>
        <w:t xml:space="preserve">did not equal </w:t>
      </w:r>
      <w:r w:rsidRPr="00A5729D">
        <w:t>100%</w:t>
      </w:r>
      <w:r>
        <w:t xml:space="preserve">) or involved an unvalidated method of using hazard ratios </w:t>
      </w:r>
      <w:r w:rsidRPr="007B3A84">
        <w:t xml:space="preserve">to derive one </w:t>
      </w:r>
      <w:r>
        <w:t xml:space="preserve">health </w:t>
      </w:r>
      <w:r w:rsidRPr="007B3A84">
        <w:t>outcome from another in the same</w:t>
      </w:r>
      <w:r>
        <w:t xml:space="preserve"> treatment </w:t>
      </w:r>
      <w:r w:rsidRPr="007B3A84">
        <w:t>group</w:t>
      </w:r>
      <w:r>
        <w:t>.</w:t>
      </w:r>
    </w:p>
    <w:p w14:paraId="7A1BF99E" w14:textId="77777777" w:rsidR="001F16E6" w:rsidRDefault="001F16E6" w:rsidP="001F16E6">
      <w:pPr>
        <w:pStyle w:val="BoxBullet"/>
      </w:pPr>
      <w:r w:rsidRPr="375F5CCE">
        <w:t xml:space="preserve">The selection of base-case specifications was not well justified. ESC considered that it may be more justifiable to use the BEACON </w:t>
      </w:r>
      <w:proofErr w:type="spellStart"/>
      <w:r w:rsidRPr="375F5CCE">
        <w:t>Immuno</w:t>
      </w:r>
      <w:proofErr w:type="spellEnd"/>
      <w:r w:rsidRPr="375F5CCE">
        <w:t xml:space="preserve"> study alone for </w:t>
      </w:r>
      <w:r>
        <w:t>progression-free survival (</w:t>
      </w:r>
      <w:r w:rsidRPr="375F5CCE">
        <w:t>PFS</w:t>
      </w:r>
      <w:r>
        <w:t>)</w:t>
      </w:r>
      <w:r w:rsidRPr="375F5CCE">
        <w:t xml:space="preserve"> in the base case, </w:t>
      </w:r>
      <w:r>
        <w:t>with</w:t>
      </w:r>
      <w:r w:rsidRPr="375F5CCE">
        <w:t xml:space="preserve"> </w:t>
      </w:r>
      <w:r>
        <w:t>evidence from other studies</w:t>
      </w:r>
      <w:r w:rsidRPr="375F5CCE">
        <w:t xml:space="preserve"> </w:t>
      </w:r>
      <w:r>
        <w:t>included in</w:t>
      </w:r>
      <w:r w:rsidRPr="375F5CCE">
        <w:t xml:space="preserve"> sensitivity analyses. ESC </w:t>
      </w:r>
      <w:r>
        <w:t>also</w:t>
      </w:r>
      <w:r w:rsidRPr="375F5CCE">
        <w:t xml:space="preserve"> considered that the base-case time horizon of 20 years </w:t>
      </w:r>
      <w:r>
        <w:t>was too long and that a shorter time horizon was more clinically plausible.</w:t>
      </w:r>
      <w:r w:rsidDel="00F86A4A">
        <w:t xml:space="preserve"> </w:t>
      </w:r>
    </w:p>
    <w:p w14:paraId="1E44199D" w14:textId="77777777" w:rsidR="001F16E6" w:rsidRDefault="001F16E6" w:rsidP="001F16E6">
      <w:pPr>
        <w:pStyle w:val="BoxBullet"/>
      </w:pPr>
      <w:r>
        <w:t>The costs of h</w:t>
      </w:r>
      <w:r w:rsidRPr="00293086">
        <w:t>ospitalisation, managing adverse events</w:t>
      </w:r>
      <w:r>
        <w:t>,</w:t>
      </w:r>
      <w:r w:rsidRPr="00293086">
        <w:t xml:space="preserve"> and chemotherapy were excluded from the economic model under the unsupported assumption </w:t>
      </w:r>
      <w:r>
        <w:t xml:space="preserve">that </w:t>
      </w:r>
      <w:r w:rsidRPr="00293086">
        <w:t>adverse events</w:t>
      </w:r>
      <w:r>
        <w:t xml:space="preserve"> (and associated hospitalisation for these events)</w:t>
      </w:r>
      <w:r w:rsidRPr="00293086">
        <w:t xml:space="preserve"> are driven by chemotherapy only and</w:t>
      </w:r>
      <w:r>
        <w:t xml:space="preserve"> that all these costs</w:t>
      </w:r>
      <w:r w:rsidRPr="00293086">
        <w:t xml:space="preserve"> cancel out in the ICER calculation</w:t>
      </w:r>
      <w:r>
        <w:t xml:space="preserve">. However </w:t>
      </w:r>
      <w:r w:rsidRPr="00293086">
        <w:t xml:space="preserve">given the clinical claim of inferior safety of DB compared with chemotherapy, there may be additional hospital costs for pain management in young children due to more adverse events in the intervention arm compared to the chemotherapy arm. </w:t>
      </w:r>
      <w:proofErr w:type="gramStart"/>
      <w:r w:rsidRPr="00293086">
        <w:t>Therefore</w:t>
      </w:r>
      <w:proofErr w:type="gramEnd"/>
      <w:r w:rsidRPr="00293086">
        <w:t xml:space="preserve"> ESC advised that it was appropriate to include the costs of hospitalisation (inclusive of the cost of managing adverse events) in the model. </w:t>
      </w:r>
    </w:p>
    <w:p w14:paraId="35974F36" w14:textId="77777777" w:rsidR="001F16E6" w:rsidRPr="00200910" w:rsidRDefault="001F16E6" w:rsidP="001F16E6">
      <w:pPr>
        <w:pStyle w:val="BoxBullet"/>
        <w:numPr>
          <w:ilvl w:val="0"/>
          <w:numId w:val="0"/>
        </w:numPr>
        <w:rPr>
          <w:b/>
          <w:bCs/>
        </w:rPr>
      </w:pPr>
      <w:r w:rsidRPr="00200910">
        <w:rPr>
          <w:b/>
          <w:bCs/>
        </w:rPr>
        <w:t>Implementation issues</w:t>
      </w:r>
    </w:p>
    <w:p w14:paraId="08C6A6C8" w14:textId="77777777" w:rsidR="001F16E6" w:rsidRPr="00E45007" w:rsidRDefault="001F16E6" w:rsidP="001F16E6">
      <w:pPr>
        <w:pStyle w:val="BoxBullet"/>
      </w:pPr>
      <w:proofErr w:type="spellStart"/>
      <w:r w:rsidRPr="00E45007">
        <w:t>Dinutuximab</w:t>
      </w:r>
      <w:proofErr w:type="spellEnd"/>
      <w:r w:rsidRPr="00E45007">
        <w:t xml:space="preserve"> beta (DB) is already approved for funding as a highly specialised therapy for high-risk neuroblastoma in patients who have previously received induction chemotherapy and achieved at least a partial response (refer </w:t>
      </w:r>
      <w:r>
        <w:t xml:space="preserve">to </w:t>
      </w:r>
      <w:r w:rsidRPr="00E45007">
        <w:t>MSAC application 1625). The proposed population for the current application is patients with high-risk neuroblastoma who are refractory during induction or have had a primary (first) relapse during or after one of the 3 treatment stages: induction, consolidation</w:t>
      </w:r>
      <w:r>
        <w:t>,</w:t>
      </w:r>
      <w:r w:rsidRPr="00E45007">
        <w:t xml:space="preserve"> or post-consolidation/maintenance.</w:t>
      </w:r>
      <w:r w:rsidRPr="00200910">
        <w:t xml:space="preserve"> </w:t>
      </w:r>
    </w:p>
    <w:p w14:paraId="3807E059" w14:textId="613C9501" w:rsidR="001F16E6" w:rsidRDefault="001F16E6" w:rsidP="00EE5979">
      <w:pPr>
        <w:pStyle w:val="BoxBullet"/>
      </w:pPr>
      <w:r w:rsidRPr="00E45007">
        <w:t>TGA registration is required for eligibility as a highly specialised therapy (HST) under the National Health Reform Agreement (NHRA). The TGA registration for DB includes relapsed patients, but not all patients who are refractory</w:t>
      </w:r>
      <w:r>
        <w:t>: o</w:t>
      </w:r>
      <w:r w:rsidRPr="00E45007">
        <w:t>nly refractory patients with a partial response to therapy are included.</w:t>
      </w:r>
    </w:p>
    <w:p w14:paraId="2136902C" w14:textId="77777777" w:rsidR="001F16E6" w:rsidRPr="00195BEC" w:rsidRDefault="001F16E6" w:rsidP="001F16E6">
      <w:pPr>
        <w:pStyle w:val="Heading3"/>
      </w:pPr>
      <w:r w:rsidRPr="00195BEC">
        <w:lastRenderedPageBreak/>
        <w:t>ESC discussion</w:t>
      </w:r>
    </w:p>
    <w:p w14:paraId="4545B9A8" w14:textId="77777777" w:rsidR="001F16E6" w:rsidRDefault="001F16E6" w:rsidP="001F16E6">
      <w:r w:rsidRPr="375F5CCE">
        <w:t xml:space="preserve">ESC noted that this application </w:t>
      </w:r>
      <w:r>
        <w:t>sought</w:t>
      </w:r>
      <w:r w:rsidRPr="375F5CCE">
        <w:t xml:space="preserve"> public funding for </w:t>
      </w:r>
      <w:proofErr w:type="spellStart"/>
      <w:r w:rsidRPr="375F5CCE">
        <w:t>dinutuximab</w:t>
      </w:r>
      <w:proofErr w:type="spellEnd"/>
      <w:r w:rsidRPr="375F5CCE">
        <w:t xml:space="preserve"> beta (DB) for primary relapse</w:t>
      </w:r>
      <w:r>
        <w:t>d</w:t>
      </w:r>
      <w:r w:rsidRPr="375F5CCE">
        <w:t xml:space="preserve"> and refractory high-risk neuroblastoma. As a high cost, highly specialised therapy (HST), DB would be delivered through public hospitals under the National Health Reform Agreement (NHRA) Addendum 2020–2025. ESC noted that this application had bypassed PASC on the advice of the MSAC Executive. </w:t>
      </w:r>
    </w:p>
    <w:p w14:paraId="1EF03B6C" w14:textId="77777777" w:rsidR="001F16E6" w:rsidRDefault="001F16E6" w:rsidP="001F16E6">
      <w:r w:rsidRPr="375F5CCE">
        <w:t xml:space="preserve">ESC noted that eligibility for HST funding is limited to </w:t>
      </w:r>
      <w:r>
        <w:t>Therapeutic Goods Administration</w:t>
      </w:r>
      <w:r w:rsidRPr="375F5CCE">
        <w:t xml:space="preserve"> </w:t>
      </w:r>
      <w:r>
        <w:t>(</w:t>
      </w:r>
      <w:r w:rsidRPr="375F5CCE">
        <w:t>TGA</w:t>
      </w:r>
      <w:r>
        <w:t>)</w:t>
      </w:r>
      <w:r w:rsidRPr="375F5CCE">
        <w:t>-approved indications and treatments that cost more than $200,000 per patient per year.</w:t>
      </w:r>
      <w:r>
        <w:t xml:space="preserve"> </w:t>
      </w:r>
      <w:r w:rsidRPr="375F5CCE">
        <w:t xml:space="preserve">The department </w:t>
      </w:r>
      <w:r>
        <w:t>advised</w:t>
      </w:r>
      <w:r w:rsidRPr="375F5CCE">
        <w:t xml:space="preserve"> that</w:t>
      </w:r>
      <w:r>
        <w:t xml:space="preserve"> the</w:t>
      </w:r>
      <w:r w:rsidRPr="375F5CCE">
        <w:t xml:space="preserve"> HST criteri</w:t>
      </w:r>
      <w:r>
        <w:t>on</w:t>
      </w:r>
      <w:r w:rsidRPr="375F5CCE">
        <w:t xml:space="preserve"> </w:t>
      </w:r>
      <w:r>
        <w:t xml:space="preserve">for cost includes </w:t>
      </w:r>
      <w:r w:rsidRPr="375F5CCE">
        <w:t>treatment and ancillary costs</w:t>
      </w:r>
      <w:r>
        <w:t>.</w:t>
      </w:r>
      <w:r w:rsidRPr="375F5CCE">
        <w:t xml:space="preserve">  </w:t>
      </w:r>
    </w:p>
    <w:p w14:paraId="01246C77" w14:textId="77777777" w:rsidR="001F16E6" w:rsidRPr="00A455AA" w:rsidRDefault="001F16E6" w:rsidP="001F16E6">
      <w:pPr>
        <w:rPr>
          <w:strike/>
        </w:rPr>
      </w:pPr>
      <w:r>
        <w:t>ESC noted that the current TGA indication for DB is for ‘high-risk neuroblastoma in patients who have previously received induction chemotherapy and achieved at least a partial response’. ESC considered that while this explicitly excludes patients with primary refractory neuroblastoma, it may include those patients with primary relapsed neuroblastoma. ESC noted advice from the department that the applicant previously advised they do not intend to apply to the TGA to amend the registered indication to include primary relapsed or refractory disease. ESC noted that, because eligibility for HST funding is limited to TGA-approved medicines and biologicals delivered in public hospitals, DB may not meet the HST criteria for the entirety of the proposed population. The department advised that it would further clarify the HST criteria before MSAC considers this application.</w:t>
      </w:r>
    </w:p>
    <w:p w14:paraId="6D61B69E" w14:textId="5D4CEE77" w:rsidR="001F16E6" w:rsidRDefault="001F16E6" w:rsidP="001F16E6">
      <w:r w:rsidRPr="375F5CCE">
        <w:t xml:space="preserve">ESC noted </w:t>
      </w:r>
      <w:r>
        <w:t xml:space="preserve">and welcomed </w:t>
      </w:r>
      <w:r w:rsidRPr="375F5CCE">
        <w:t>the consultation feedback</w:t>
      </w:r>
      <w:r>
        <w:t xml:space="preserve"> received</w:t>
      </w:r>
      <w:r w:rsidRPr="375F5CCE">
        <w:t xml:space="preserve"> from 3 organisations, 7 individuals (including 3 parents or carers of a person with neuroblastoma) and 1 health professional. The </w:t>
      </w:r>
      <w:r>
        <w:t>feedback was supportive of</w:t>
      </w:r>
      <w:r w:rsidRPr="375F5CCE">
        <w:t xml:space="preserve"> funding DB as it would provide another option for a group with high clinical need</w:t>
      </w:r>
      <w:r>
        <w:t>, provide hope for families,</w:t>
      </w:r>
      <w:r w:rsidRPr="375F5CCE">
        <w:t xml:space="preserve"> and is already used </w:t>
      </w:r>
      <w:r>
        <w:t>as</w:t>
      </w:r>
      <w:r w:rsidRPr="375F5CCE">
        <w:t xml:space="preserve"> standard</w:t>
      </w:r>
      <w:r>
        <w:t xml:space="preserve"> of</w:t>
      </w:r>
      <w:r w:rsidRPr="375F5CCE">
        <w:t xml:space="preserve"> care. Some </w:t>
      </w:r>
      <w:r>
        <w:t>feedback highlighted</w:t>
      </w:r>
      <w:r w:rsidRPr="375F5CCE">
        <w:t xml:space="preserve"> that access to DB is currently inequitable across different hospitals. </w:t>
      </w:r>
      <w:r>
        <w:t xml:space="preserve">ESC noted that it had received supportive consultation feedback from families whose children had died from </w:t>
      </w:r>
      <w:r w:rsidR="00921BEB">
        <w:t xml:space="preserve">neuroblastoma </w:t>
      </w:r>
      <w:r>
        <w:t xml:space="preserve">and acknowledged their willingness to provide input. </w:t>
      </w:r>
    </w:p>
    <w:p w14:paraId="58A7BDBD" w14:textId="6C2D2C70" w:rsidR="001F16E6" w:rsidRPr="00A455AA" w:rsidRDefault="001F16E6" w:rsidP="001F16E6">
      <w:r>
        <w:t xml:space="preserve">ESC noted and welcomed the consultation feedback from Queensland, New South Wales, Victoria and Western Australia. All submissions noted failure to meet the eligibility criteria for HST, notably the lack of TGA approval for the proposed indication. The submissions also raised concerns that there is potential to undermine the public perception of the TGA and confidence in the safety and efficacy of DB, if treatment of a population outside the TGA approved indication is supported. ESC noted that </w:t>
      </w:r>
      <w:proofErr w:type="gramStart"/>
      <w:r>
        <w:t>a number of</w:t>
      </w:r>
      <w:proofErr w:type="gramEnd"/>
      <w:r>
        <w:t xml:space="preserve"> the states also raised that, while </w:t>
      </w:r>
      <w:proofErr w:type="spellStart"/>
      <w:r>
        <w:t>dinutuximab</w:t>
      </w:r>
      <w:proofErr w:type="spellEnd"/>
      <w:r>
        <w:t xml:space="preserve"> alpha (DA), which is not TGA-registered, can be provided on compassionate grounds for treatment of the refractory population, it is only available at some but not all treatment centres, and therefore relying on DA alone would lead to inequity in access. Concerns were also raised regarding the longer-term availability of DA.</w:t>
      </w:r>
    </w:p>
    <w:p w14:paraId="3626E815" w14:textId="77777777" w:rsidR="001F16E6" w:rsidRDefault="001F16E6" w:rsidP="001F16E6">
      <w:r w:rsidRPr="375F5CCE">
        <w:t xml:space="preserve">ESC noted that neuroblastoma is a rare </w:t>
      </w:r>
      <w:r>
        <w:t xml:space="preserve">sympathetic nervous system </w:t>
      </w:r>
      <w:r w:rsidRPr="375F5CCE">
        <w:t xml:space="preserve">cancer that predominantly affects children under 4 years of age. Of the </w:t>
      </w:r>
      <w:r>
        <w:t>approximately</w:t>
      </w:r>
      <w:r w:rsidRPr="375F5CCE">
        <w:t xml:space="preserve"> 40–60 cases in Australia each year, around half of these are high-risk neuroblastoma (</w:t>
      </w:r>
      <w:r>
        <w:t>HRNBL). HRNBL</w:t>
      </w:r>
      <w:r w:rsidRPr="375F5CCE">
        <w:t xml:space="preserve"> </w:t>
      </w:r>
      <w:r>
        <w:t>has a</w:t>
      </w:r>
      <w:r w:rsidRPr="375F5CCE">
        <w:t xml:space="preserve"> 5-year event-free survival of 51%, and around one</w:t>
      </w:r>
      <w:r>
        <w:t xml:space="preserve"> </w:t>
      </w:r>
      <w:r w:rsidRPr="375F5CCE">
        <w:t xml:space="preserve">third of </w:t>
      </w:r>
      <w:r>
        <w:t>patients</w:t>
      </w:r>
      <w:r w:rsidRPr="375F5CCE">
        <w:t xml:space="preserve"> may be refractory to chemotherapy (around 10 patients per year). </w:t>
      </w:r>
    </w:p>
    <w:p w14:paraId="0DA2411A" w14:textId="77777777" w:rsidR="001F16E6" w:rsidRDefault="001F16E6" w:rsidP="001F16E6">
      <w:r w:rsidRPr="375F5CCE">
        <w:t xml:space="preserve">ESC noted the proposed population is patients with </w:t>
      </w:r>
      <w:r>
        <w:t>HRNBL</w:t>
      </w:r>
      <w:r w:rsidRPr="375F5CCE">
        <w:t xml:space="preserve"> who </w:t>
      </w:r>
      <w:proofErr w:type="gramStart"/>
      <w:r w:rsidRPr="375F5CCE">
        <w:t>are refractory during induction</w:t>
      </w:r>
      <w:proofErr w:type="gramEnd"/>
      <w:r w:rsidRPr="375F5CCE">
        <w:t xml:space="preserve"> or have had a primary (first) relapse during or after one of the 3 treatment stages: induction, consolidation</w:t>
      </w:r>
      <w:r>
        <w:t>,</w:t>
      </w:r>
      <w:r w:rsidRPr="375F5CCE">
        <w:t xml:space="preserve"> or post-consolidation/maintenance. </w:t>
      </w:r>
    </w:p>
    <w:p w14:paraId="24A84343" w14:textId="77777777" w:rsidR="001F16E6" w:rsidRDefault="001F16E6" w:rsidP="001F16E6">
      <w:r w:rsidRPr="375F5CCE">
        <w:t xml:space="preserve">The </w:t>
      </w:r>
      <w:r>
        <w:t>proposed</w:t>
      </w:r>
      <w:r w:rsidRPr="375F5CCE">
        <w:t xml:space="preserve"> intervention is DB</w:t>
      </w:r>
      <w:r>
        <w:t xml:space="preserve">, </w:t>
      </w:r>
      <w:r w:rsidRPr="375F5CCE">
        <w:t xml:space="preserve">a monoclonal antibody targeting cell surface </w:t>
      </w:r>
      <w:proofErr w:type="spellStart"/>
      <w:r w:rsidRPr="375F5CCE">
        <w:t>disialoganglioside</w:t>
      </w:r>
      <w:proofErr w:type="spellEnd"/>
      <w:r w:rsidRPr="375F5CCE">
        <w:t> 2 (GD2</w:t>
      </w:r>
      <w:r>
        <w:t>),</w:t>
      </w:r>
      <w:r w:rsidRPr="375F5CCE">
        <w:t xml:space="preserve"> </w:t>
      </w:r>
      <w:r>
        <w:t xml:space="preserve">administered </w:t>
      </w:r>
      <w:r w:rsidRPr="375F5CCE">
        <w:t xml:space="preserve">in conjunction with chemotherapy. ESC noted </w:t>
      </w:r>
      <w:r>
        <w:t>that</w:t>
      </w:r>
      <w:r w:rsidRPr="375F5CCE">
        <w:t xml:space="preserve"> the proposed eligibility criteria</w:t>
      </w:r>
      <w:r>
        <w:t xml:space="preserve"> state that</w:t>
      </w:r>
      <w:r w:rsidRPr="375F5CCE">
        <w:t xml:space="preserve"> patients must have high-risk neuroblastoma, AND primary </w:t>
      </w:r>
      <w:r w:rsidRPr="375F5CCE">
        <w:lastRenderedPageBreak/>
        <w:t xml:space="preserve">relapsed disease OR disease refractory to standard treatment. ESC queried whether </w:t>
      </w:r>
      <w:r>
        <w:t>the meaning of refractory in the criterion</w:t>
      </w:r>
      <w:r w:rsidRPr="375F5CCE">
        <w:t xml:space="preserve"> ‘disease refractory to standard treatment’ could be clarified to specify ‘end induction’ (in line with National Comprehensive Cancer Network </w:t>
      </w:r>
      <w:r>
        <w:t>[NCCN]</w:t>
      </w:r>
      <w:r w:rsidRPr="375F5CCE">
        <w:t xml:space="preserve"> guidelines</w:t>
      </w:r>
      <w:r>
        <w:t>, which state ‘for patients with end-induction minor response or stable disease not proceeding to consolidation therapy’</w:t>
      </w:r>
      <w:r w:rsidRPr="375F5CCE">
        <w:t>) or ‘disease refractory to frontline therapy’.</w:t>
      </w:r>
      <w:r>
        <w:t xml:space="preserve"> ESC noted that in its pre-ESC response the applicant indicated its willingness to work with the Department to make the item descriptors more specific as needed. </w:t>
      </w:r>
    </w:p>
    <w:p w14:paraId="66291962" w14:textId="77777777" w:rsidR="001F16E6" w:rsidRDefault="001F16E6" w:rsidP="001F16E6">
      <w:r>
        <w:t>ESC noted that t</w:t>
      </w:r>
      <w:r w:rsidRPr="375F5CCE">
        <w:t xml:space="preserve">he comparator is chemotherapy – </w:t>
      </w:r>
      <w:r>
        <w:t xml:space="preserve">either </w:t>
      </w:r>
      <w:r w:rsidRPr="375F5CCE">
        <w:t xml:space="preserve">temozolomide + irinotecan (TEMIRI) or temozolomide + topotecan (TOTEM). </w:t>
      </w:r>
      <w:r>
        <w:t xml:space="preserve">ESC noted that, per the current clinical management algorithm without the use of DB, chemotherapy is used at each stage of disease if progression occurs. ESC noted that, in the proposed clinical management algorithm, DB would be used at any stage of disease in conjunction with chemotherapy, and that this is in line with international (NCCN) clinical guidelines for the proposed population. </w:t>
      </w:r>
      <w:r w:rsidRPr="375F5CCE">
        <w:t xml:space="preserve">ESC </w:t>
      </w:r>
      <w:r>
        <w:t>considered</w:t>
      </w:r>
      <w:r w:rsidRPr="375F5CCE">
        <w:t xml:space="preserve"> the clinical management algorithm</w:t>
      </w:r>
      <w:r>
        <w:t>s</w:t>
      </w:r>
      <w:r w:rsidRPr="375F5CCE">
        <w:t xml:space="preserve"> </w:t>
      </w:r>
      <w:r>
        <w:t>to be</w:t>
      </w:r>
      <w:r w:rsidRPr="375F5CCE">
        <w:t xml:space="preserve"> appropriate.</w:t>
      </w:r>
      <w:r>
        <w:t xml:space="preserve"> </w:t>
      </w:r>
    </w:p>
    <w:p w14:paraId="51BFBFB5" w14:textId="77777777" w:rsidR="001F16E6" w:rsidRDefault="001F16E6" w:rsidP="001F16E6">
      <w:r w:rsidRPr="375F5CCE">
        <w:t>ESC noted the clinical evidence base in the application</w:t>
      </w:r>
      <w:r>
        <w:t xml:space="preserve"> consisted of</w:t>
      </w:r>
      <w:r w:rsidRPr="375F5CCE">
        <w:t xml:space="preserve"> 11 studies</w:t>
      </w:r>
      <w:r>
        <w:t>, of which</w:t>
      </w:r>
      <w:r w:rsidRPr="375F5CCE" w:rsidDel="00703C80">
        <w:t xml:space="preserve"> </w:t>
      </w:r>
      <w:r w:rsidRPr="375F5CCE">
        <w:t>4</w:t>
      </w:r>
      <w:r>
        <w:t xml:space="preserve"> were studies of </w:t>
      </w:r>
      <w:r w:rsidRPr="375F5CCE">
        <w:t>DB</w:t>
      </w:r>
      <w:r>
        <w:t xml:space="preserve"> (comprising one RCT and 3 single arm studies)</w:t>
      </w:r>
      <w:r w:rsidRPr="375F5CCE">
        <w:t xml:space="preserve">, 3 </w:t>
      </w:r>
      <w:r>
        <w:t xml:space="preserve">were studies of </w:t>
      </w:r>
      <w:r w:rsidRPr="375F5CCE">
        <w:t>DA</w:t>
      </w:r>
      <w:r>
        <w:t xml:space="preserve"> (comprising one RCT, one single arm and one cohort study)</w:t>
      </w:r>
      <w:r w:rsidRPr="375F5CCE">
        <w:t xml:space="preserve"> and 4 </w:t>
      </w:r>
      <w:r>
        <w:t xml:space="preserve">investigated </w:t>
      </w:r>
      <w:proofErr w:type="gramStart"/>
      <w:r>
        <w:t>use</w:t>
      </w:r>
      <w:proofErr w:type="gramEnd"/>
      <w:r>
        <w:t xml:space="preserve"> of</w:t>
      </w:r>
      <w:r w:rsidRPr="375F5CCE">
        <w:t xml:space="preserve"> chemotherapy alone</w:t>
      </w:r>
      <w:r>
        <w:t xml:space="preserve"> (comprising one RCT and 3 single arm studies)</w:t>
      </w:r>
      <w:r w:rsidRPr="375F5CCE">
        <w:t>. ESC noted that the applicant-developed assessment report (ADAR) assumed that DB and DA are therapeutically equivalent</w:t>
      </w:r>
      <w:r>
        <w:t>, despite providing no evidence for this assumption</w:t>
      </w:r>
      <w:r w:rsidRPr="375F5CCE">
        <w:t xml:space="preserve">. </w:t>
      </w:r>
      <w:r>
        <w:t xml:space="preserve">ESC noted that the applicant’s pre-ESC response stated that other agencies consider that there is no significant difference in safety or efficacy between DA and DB. ESC acknowledged the pre-ESC response’s argument that it may not </w:t>
      </w:r>
      <w:r w:rsidRPr="00520D50">
        <w:t xml:space="preserve">be possible to ever provide directly comparative RCT evidence to </w:t>
      </w:r>
      <w:r>
        <w:t xml:space="preserve">investigate therapeutic equivalence between DA and DB given </w:t>
      </w:r>
      <w:r w:rsidRPr="004D7E93">
        <w:t xml:space="preserve">current treatment practices and the regulatory status of </w:t>
      </w:r>
      <w:r>
        <w:t>DB and DA internationally</w:t>
      </w:r>
      <w:r w:rsidRPr="375F5CCE">
        <w:t>.</w:t>
      </w:r>
      <w:r>
        <w:t xml:space="preserve"> ESC also noted the pre-ESC response’s observation that </w:t>
      </w:r>
      <w:r w:rsidRPr="00977BEC">
        <w:t>trial design and conduct changes were ethically required</w:t>
      </w:r>
      <w:r>
        <w:t xml:space="preserve"> in the two pivotal trials of DB </w:t>
      </w:r>
      <w:r w:rsidRPr="00977BEC">
        <w:t>because of the accepted clinical interchangeability of DB and DA</w:t>
      </w:r>
      <w:r>
        <w:t>. ESC therefore considered the assumption of therapeutic similarity may be acceptable.</w:t>
      </w:r>
      <w:r w:rsidRPr="375F5CCE" w:rsidDel="00FC1F3D">
        <w:t xml:space="preserve"> </w:t>
      </w:r>
    </w:p>
    <w:p w14:paraId="442A6D4D" w14:textId="0DC7EEC4" w:rsidR="001F16E6" w:rsidRDefault="001F16E6" w:rsidP="001F16E6">
      <w:r>
        <w:t xml:space="preserve">ESC noted that the two pivotal randomised controlled trials (RCTs) included in the application were open-label Phase II trials with small numbers of participants, and did not provide specific comparative evidence on patients with refractory disease, and that for one of these trials (the BEACON </w:t>
      </w:r>
      <w:proofErr w:type="spellStart"/>
      <w:r>
        <w:t>Immuno</w:t>
      </w:r>
      <w:proofErr w:type="spellEnd"/>
      <w:r>
        <w:t xml:space="preserve"> trial) only the conference abstract and presentation were available. The BEACON </w:t>
      </w:r>
      <w:proofErr w:type="spellStart"/>
      <w:r>
        <w:t>Immuno</w:t>
      </w:r>
      <w:proofErr w:type="spellEnd"/>
      <w:r>
        <w:t xml:space="preserve"> trial had 55% cross-over (with outcomes not censored at cross-over) and an imbalance in previous use of anti-GD2 therapy. The ANBL trial had notable discontinuation in the control arm. ESC therefore considered both these trials to have a high risk of bias. ESC noted that the dosing schedule differed from the TGA-approved schedule and differed between </w:t>
      </w:r>
      <w:proofErr w:type="gramStart"/>
      <w:r>
        <w:t>studies, but</w:t>
      </w:r>
      <w:proofErr w:type="gramEnd"/>
      <w:r>
        <w:t xml:space="preserve"> acknowledged the applicant’s comments in the pre-ESC response that dose per day was consistent across the studies (10 mg/m</w:t>
      </w:r>
      <w:r w:rsidRPr="2A50ED53">
        <w:rPr>
          <w:vertAlign w:val="superscript"/>
        </w:rPr>
        <w:t>2</w:t>
      </w:r>
      <w:r>
        <w:t xml:space="preserve">/day). ESC noted that the pooled risk difference in ORR was 31% after 6 cycles between the DB/DA + chemotherapy group compared to chemotherapy alone. ESC noted that, while the validity of this estimate was uncertain due to the high risk of bias, there was a suggestion of benefit. ESC also noted that the refractory group typically has a very poor </w:t>
      </w:r>
      <w:r w:rsidR="009D0BE0">
        <w:t>prognosis,</w:t>
      </w:r>
      <w:r>
        <w:t xml:space="preserve"> yet they comprised 4 out of the 9 responders in the DA group. ESC noted that this evidence has been accepted in international guidelines. ESC also noted that, while the magnitude of effect was uncertain, there appeared to be some benefit in terms of both PFS and OS in these trials. Overall, ESC considered that the evidence suggested a consistent signal of benefit in a rare disease where there is a high unmet clinical need. </w:t>
      </w:r>
    </w:p>
    <w:p w14:paraId="2AB0080D" w14:textId="77777777" w:rsidR="001F16E6" w:rsidRDefault="001F16E6" w:rsidP="001F16E6">
      <w:r w:rsidRPr="375F5CCE">
        <w:t>Regarding comparative safety, ESC noted that DB is associated with higher incidence of neurotoxicity, particularly pain</w:t>
      </w:r>
      <w:r>
        <w:t>, compared to chemotherapy alone</w:t>
      </w:r>
      <w:r w:rsidRPr="375F5CCE">
        <w:t xml:space="preserve">. ESC considered that clinicians </w:t>
      </w:r>
      <w:r w:rsidRPr="375F5CCE">
        <w:lastRenderedPageBreak/>
        <w:t xml:space="preserve">are likely to be familiar with managing adverse events following DB treatment from its current TGA-approved </w:t>
      </w:r>
      <w:proofErr w:type="gramStart"/>
      <w:r w:rsidRPr="375F5CCE">
        <w:t>use, and</w:t>
      </w:r>
      <w:proofErr w:type="gramEnd"/>
      <w:r w:rsidRPr="375F5CCE">
        <w:t xml:space="preserve"> </w:t>
      </w:r>
      <w:r>
        <w:t>noted that feedback from</w:t>
      </w:r>
      <w:r w:rsidRPr="375F5CCE" w:rsidDel="00510446">
        <w:t xml:space="preserve"> </w:t>
      </w:r>
      <w:r w:rsidRPr="375F5CCE">
        <w:t>states and territories</w:t>
      </w:r>
      <w:r>
        <w:t xml:space="preserve"> supported this</w:t>
      </w:r>
      <w:r w:rsidRPr="375F5CCE">
        <w:t xml:space="preserve">. </w:t>
      </w:r>
    </w:p>
    <w:p w14:paraId="3E31B5D6" w14:textId="77777777" w:rsidR="001F16E6" w:rsidRDefault="001F16E6" w:rsidP="001F16E6">
      <w:r>
        <w:t xml:space="preserve">ESC noted that the clinical claim presented in the application was that the use of DB in conjunction with chemotherapy in patients with relapsed or refractory HRNBL results in superior effectiveness (based on the key outcomes of ORR, OS and PFS) and inferior but manageable safety compared with chemotherapy alone (TOTEM or TEMIRI). ESC considered that the evidence was limited, due to the high risk of bias and the variation between studies. </w:t>
      </w:r>
      <w:bookmarkStart w:id="60" w:name="_Hlk191529521"/>
      <w:r>
        <w:t xml:space="preserve">ESC acknowledged that given the condition </w:t>
      </w:r>
      <w:r w:rsidRPr="00807F69">
        <w:t>is so rare, meaningful comparisons are very difficult to undertake</w:t>
      </w:r>
      <w:r>
        <w:t xml:space="preserve"> but there was </w:t>
      </w:r>
      <w:r w:rsidRPr="00807F69">
        <w:t xml:space="preserve">unlikely </w:t>
      </w:r>
      <w:r>
        <w:t>to</w:t>
      </w:r>
      <w:r w:rsidRPr="00807F69">
        <w:t xml:space="preserve"> be major variations in baseline characteristics</w:t>
      </w:r>
      <w:r>
        <w:t xml:space="preserve"> of trial populations and the results of these trials are likely generalisable to Australian patients.</w:t>
      </w:r>
      <w:bookmarkEnd w:id="60"/>
      <w:r>
        <w:t xml:space="preserve"> </w:t>
      </w:r>
      <w:proofErr w:type="gramStart"/>
      <w:r>
        <w:t>Therefore</w:t>
      </w:r>
      <w:proofErr w:type="gramEnd"/>
      <w:r>
        <w:t xml:space="preserve"> ESC considered that </w:t>
      </w:r>
      <w:proofErr w:type="gramStart"/>
      <w:r>
        <w:t>overall</w:t>
      </w:r>
      <w:proofErr w:type="gramEnd"/>
      <w:r>
        <w:t xml:space="preserve"> there was a suggestion of benefit, and therefore that the claim of superior effectiveness was likely reasonable. ESC considered that the claim of inferior safety was reasonable, noting the increase in adverse events associated with DB, but agreed with the ADAR and the feedback from states and territories that this was likely to be manageable.</w:t>
      </w:r>
    </w:p>
    <w:p w14:paraId="1419A7CA" w14:textId="4175621F" w:rsidR="001F16E6" w:rsidRDefault="001F16E6" w:rsidP="001F16E6">
      <w:r>
        <w:t>ESC noted the economic evaluation presented a cost-utility analysis and cost-effectiveness analysis based on a partitioned survival model (PSM). The limitations in clinical data meant that the PSM relied on data from different studies to estimate proportions in PFS and OS over time. In particular, PFS data w</w:t>
      </w:r>
      <w:r w:rsidR="00C12E6E">
        <w:t>ere</w:t>
      </w:r>
      <w:r>
        <w:t xml:space="preserve"> derived from 2 studies for the intervention and 6 studies for the comparator, and OS data were derived from an observational study where it was noted that data for 3 patients in the comparator arm should be excluded as they received palliative care rather than the comparator (chemotherapy) while the OS data derived for the intervention arm were for DA rather than DB. The studies showed heterogeneity in treatment regimens, selection criteria, other treatments, baseline characteristics, and the proportion of patients who were relapsed or refractory. Much of this data </w:t>
      </w:r>
      <w:r w:rsidR="00AC380A">
        <w:t>were</w:t>
      </w:r>
      <w:r>
        <w:t xml:space="preserve"> from non-randomised and retrospective studies with potential for biases. Heterogeneity was not accounted for, but simply pooled, and then used to generate parametric functions that estimated long-term survival. </w:t>
      </w:r>
    </w:p>
    <w:p w14:paraId="3746AA14" w14:textId="77777777" w:rsidR="001F16E6" w:rsidRDefault="001F16E6" w:rsidP="001F16E6">
      <w:r>
        <w:t xml:space="preserve">ESC noted that </w:t>
      </w:r>
      <w:r w:rsidRPr="375F5CCE">
        <w:t xml:space="preserve">the basic principle of a </w:t>
      </w:r>
      <w:r>
        <w:t xml:space="preserve">PSM </w:t>
      </w:r>
      <w:r w:rsidRPr="375F5CCE">
        <w:t xml:space="preserve">was </w:t>
      </w:r>
      <w:r>
        <w:t>violated in the economic model</w:t>
      </w:r>
      <w:r w:rsidRPr="375F5CCE">
        <w:t xml:space="preserve"> as</w:t>
      </w:r>
      <w:r w:rsidRPr="00A5729D">
        <w:t xml:space="preserve"> </w:t>
      </w:r>
      <w:r>
        <w:t xml:space="preserve">the </w:t>
      </w:r>
      <w:r w:rsidRPr="00A5729D">
        <w:t>sum of proportions in each state does not sum to 100% (because of</w:t>
      </w:r>
      <w:r>
        <w:t xml:space="preserve"> the use of different </w:t>
      </w:r>
      <w:r w:rsidRPr="00A5729D">
        <w:t>data sources</w:t>
      </w:r>
      <w:r>
        <w:t>) and the</w:t>
      </w:r>
      <w:r w:rsidRPr="375F5CCE">
        <w:t xml:space="preserve"> PFS was greater than OS in the base case</w:t>
      </w:r>
      <w:r>
        <w:t xml:space="preserve"> from about 2 years into the model</w:t>
      </w:r>
      <w:r w:rsidRPr="375F5CCE">
        <w:t xml:space="preserve">. </w:t>
      </w:r>
      <w:r w:rsidRPr="00D93FFC">
        <w:t xml:space="preserve">To correct for </w:t>
      </w:r>
      <w:r>
        <w:t>this</w:t>
      </w:r>
      <w:r w:rsidRPr="00D93FFC">
        <w:t>, the modelled PFS progression was arithmetically controlled in each cycle by setting the PFS value equal to the OS value if PFS&gt;OS</w:t>
      </w:r>
      <w:r>
        <w:t xml:space="preserve">. </w:t>
      </w:r>
      <w:bookmarkStart w:id="61" w:name="_Hlk198907378"/>
      <w:r w:rsidRPr="00670736">
        <w:t>In the base case</w:t>
      </w:r>
      <w:r>
        <w:t xml:space="preserve"> which used an exponential function to fit the data</w:t>
      </w:r>
      <w:r w:rsidRPr="00670736">
        <w:t xml:space="preserve">, </w:t>
      </w:r>
      <w:r>
        <w:t xml:space="preserve">this approach meant that </w:t>
      </w:r>
      <w:r w:rsidRPr="00670736">
        <w:t>the modelled OS in the DB arm was ~40% at four years, which is inconsistent with the Australian S</w:t>
      </w:r>
      <w:r>
        <w:t xml:space="preserve">ydney </w:t>
      </w:r>
      <w:r w:rsidRPr="00670736">
        <w:t>C</w:t>
      </w:r>
      <w:r>
        <w:t xml:space="preserve">hildren’s </w:t>
      </w:r>
      <w:r w:rsidRPr="00670736">
        <w:t>H</w:t>
      </w:r>
      <w:r>
        <w:t>ospital</w:t>
      </w:r>
      <w:r w:rsidRPr="00670736">
        <w:t xml:space="preserve"> data that reported OS of 30% at four years</w:t>
      </w:r>
      <w:r>
        <w:t xml:space="preserve">, though this </w:t>
      </w:r>
      <w:r w:rsidRPr="00670736">
        <w:t>discrepancy was</w:t>
      </w:r>
      <w:r>
        <w:t xml:space="preserve"> reduced</w:t>
      </w:r>
      <w:r w:rsidRPr="00670736">
        <w:t xml:space="preserve"> when the OS extrapolation was fitted with a loglogistic instead of an exponential function</w:t>
      </w:r>
      <w:r>
        <w:t>.</w:t>
      </w:r>
      <w:bookmarkEnd w:id="61"/>
    </w:p>
    <w:p w14:paraId="2CF795DC" w14:textId="2ED34087" w:rsidR="001F16E6" w:rsidRDefault="001F16E6" w:rsidP="001F16E6">
      <w:r>
        <w:t xml:space="preserve">The base case incremental cost-effectiveness ratio (ICER) was </w:t>
      </w:r>
      <w:r w:rsidR="00B26AE6">
        <w:t>$</w:t>
      </w:r>
      <w:r w:rsidR="00702140" w:rsidRPr="00B26AE6">
        <w:rPr>
          <w:b/>
          <w:bCs/>
        </w:rPr>
        <w:t>redacted</w:t>
      </w:r>
      <w:r>
        <w:t xml:space="preserve"> per quality-adjusted life year (QALY) gained.</w:t>
      </w:r>
      <w:r w:rsidRPr="375F5CCE">
        <w:t xml:space="preserve"> ESC agreed with the commentary that the model was impeded by very limited data and the selection of base case specifications was not well justified, leading to highly uncertain results and uncertain model validity. An alternate method was also presented in the </w:t>
      </w:r>
      <w:r>
        <w:t xml:space="preserve">ADAR </w:t>
      </w:r>
      <w:r w:rsidRPr="375F5CCE">
        <w:t>where OS was inferred from PFS</w:t>
      </w:r>
      <w:r>
        <w:t xml:space="preserve"> assuming that there are proportional hazards between PFS and OS </w:t>
      </w:r>
      <w:r w:rsidRPr="00FF33BB">
        <w:t xml:space="preserve">to generate a parametric estimate of </w:t>
      </w:r>
      <w:r>
        <w:t xml:space="preserve">an </w:t>
      </w:r>
      <w:r w:rsidRPr="00FF33BB">
        <w:t>OS K</w:t>
      </w:r>
      <w:r>
        <w:t xml:space="preserve">aplan </w:t>
      </w:r>
      <w:r w:rsidRPr="00FF33BB">
        <w:t>M</w:t>
      </w:r>
      <w:r>
        <w:t>eier</w:t>
      </w:r>
      <w:r w:rsidRPr="00FF33BB">
        <w:t xml:space="preserve"> curve</w:t>
      </w:r>
      <w:r>
        <w:t>.</w:t>
      </w:r>
      <w:r w:rsidRPr="375F5CCE">
        <w:t xml:space="preserve"> </w:t>
      </w:r>
      <w:r>
        <w:t>H</w:t>
      </w:r>
      <w:r w:rsidRPr="375F5CCE">
        <w:t>owever, ESC</w:t>
      </w:r>
      <w:r>
        <w:t xml:space="preserve"> considered that there was no precedent for this approach</w:t>
      </w:r>
      <w:r w:rsidRPr="375F5CCE" w:rsidDel="00E2245E">
        <w:t xml:space="preserve"> </w:t>
      </w:r>
      <w:r>
        <w:t xml:space="preserve">of </w:t>
      </w:r>
      <w:r w:rsidRPr="009163FA">
        <w:t xml:space="preserve">employing a </w:t>
      </w:r>
      <w:r>
        <w:t>hazard ratio (</w:t>
      </w:r>
      <w:r w:rsidRPr="009163FA">
        <w:t>HR</w:t>
      </w:r>
      <w:r>
        <w:t>)</w:t>
      </w:r>
      <w:r w:rsidRPr="009163FA">
        <w:t xml:space="preserve"> </w:t>
      </w:r>
      <w:r>
        <w:t xml:space="preserve">to derive one outcome from another in the same group </w:t>
      </w:r>
      <w:proofErr w:type="gramStart"/>
      <w:r>
        <w:t>in order to</w:t>
      </w:r>
      <w:proofErr w:type="gramEnd"/>
      <w:r>
        <w:t xml:space="preserve"> fill in gaps in the evidence, as </w:t>
      </w:r>
      <w:r w:rsidDel="009163FA">
        <w:t xml:space="preserve">the </w:t>
      </w:r>
      <w:r>
        <w:t>HR</w:t>
      </w:r>
      <w:r w:rsidDel="00C114EF">
        <w:t xml:space="preserve"> is </w:t>
      </w:r>
      <w:r>
        <w:t>usually used to estimate differences in survival between different treatment groups.</w:t>
      </w:r>
      <w:r w:rsidRPr="375F5CCE">
        <w:t xml:space="preserve"> </w:t>
      </w:r>
      <w:r>
        <w:t>ESC also noted that the alternate method assumed that the HR from one trial could be applied to the other, despite their heterogeneity and that the assumption of proportional hazards always applies. ESC therefore considered that the first method was more useful than the second, alternate method.</w:t>
      </w:r>
      <w:r w:rsidRPr="375F5CCE">
        <w:t xml:space="preserve"> ESC considered that it may be more justifiable to use the BEACON </w:t>
      </w:r>
      <w:proofErr w:type="spellStart"/>
      <w:r w:rsidRPr="375F5CCE">
        <w:t>Immuno</w:t>
      </w:r>
      <w:proofErr w:type="spellEnd"/>
      <w:r w:rsidRPr="375F5CCE">
        <w:t xml:space="preserve"> </w:t>
      </w:r>
      <w:r w:rsidRPr="375F5CCE">
        <w:lastRenderedPageBreak/>
        <w:t xml:space="preserve">study alone for PFS in the base case, and </w:t>
      </w:r>
      <w:r>
        <w:t>the use of data from other studies</w:t>
      </w:r>
      <w:r w:rsidRPr="375F5CCE">
        <w:t xml:space="preserve"> could be </w:t>
      </w:r>
      <w:r>
        <w:t>included in</w:t>
      </w:r>
      <w:r w:rsidRPr="375F5CCE">
        <w:t xml:space="preserve"> sensitivity analyses. </w:t>
      </w:r>
    </w:p>
    <w:p w14:paraId="313CF589" w14:textId="77777777" w:rsidR="001F16E6" w:rsidRDefault="001F16E6" w:rsidP="001F16E6">
      <w:r w:rsidRPr="375F5CCE">
        <w:t xml:space="preserve">ESC considered that the base-case time horizon of 20 years was </w:t>
      </w:r>
      <w:r>
        <w:t xml:space="preserve">optimistic based on the survival data showing poor long-term survival, and that it was </w:t>
      </w:r>
      <w:r w:rsidRPr="375F5CCE">
        <w:t>n</w:t>
      </w:r>
      <w:r>
        <w:t>either</w:t>
      </w:r>
      <w:r w:rsidRPr="375F5CCE">
        <w:t xml:space="preserve"> appropriate </w:t>
      </w:r>
      <w:r>
        <w:t>n</w:t>
      </w:r>
      <w:r w:rsidRPr="375F5CCE">
        <w:t>or justified</w:t>
      </w:r>
      <w:r>
        <w:t>. ESC</w:t>
      </w:r>
      <w:r w:rsidRPr="375F5CCE">
        <w:t xml:space="preserve"> noted that the model was sensitive to changes in the time horizon. ESC </w:t>
      </w:r>
      <w:r>
        <w:t>therefore advised</w:t>
      </w:r>
      <w:r w:rsidRPr="375F5CCE">
        <w:t xml:space="preserve"> that the time horizon in the base case be reduced</w:t>
      </w:r>
      <w:r>
        <w:t>, and that multiple time horizons be explored in sensitivity analyses.</w:t>
      </w:r>
    </w:p>
    <w:p w14:paraId="0AA44FBB" w14:textId="56CB0119" w:rsidR="001F16E6" w:rsidRDefault="001F16E6" w:rsidP="001F16E6">
      <w:r>
        <w:t>ESC noted that the m</w:t>
      </w:r>
      <w:r w:rsidRPr="002A71B6">
        <w:t>odel does not separate patients according to relapsed or refractory status</w:t>
      </w:r>
      <w:r>
        <w:t xml:space="preserve"> but acknowledged that given the small sample sizes in the studies considered, splitting the populations into subgroups would not be reliable. ESC noted that there was a half cycle correction error in the </w:t>
      </w:r>
      <w:r w:rsidR="009D0BE0">
        <w:t>model,</w:t>
      </w:r>
      <w:r>
        <w:t xml:space="preserve"> but this only had a small impact on results. </w:t>
      </w:r>
    </w:p>
    <w:p w14:paraId="5C936CEF" w14:textId="77777777" w:rsidR="001F16E6" w:rsidRDefault="001F16E6" w:rsidP="001F16E6">
      <w:r>
        <w:t xml:space="preserve">ESC noted that the </w:t>
      </w:r>
      <w:r w:rsidRPr="00CC7C4F">
        <w:t xml:space="preserve">ADAR </w:t>
      </w:r>
      <w:r>
        <w:t>argued that cost per life years (LY) should be a preferred measure of ICER for this population because</w:t>
      </w:r>
      <w:r w:rsidRPr="00CA68EA">
        <w:t xml:space="preserve"> </w:t>
      </w:r>
      <w:r>
        <w:t xml:space="preserve">the patient population is primarily children and there are </w:t>
      </w:r>
      <w:r w:rsidRPr="00CA68EA">
        <w:t>conceptual and practical difficulties associated with Health-related Quality of Life (</w:t>
      </w:r>
      <w:proofErr w:type="spellStart"/>
      <w:r w:rsidRPr="00CA68EA">
        <w:t>HRQoL</w:t>
      </w:r>
      <w:proofErr w:type="spellEnd"/>
      <w:r w:rsidRPr="00CA68EA">
        <w:t>) assessments in children</w:t>
      </w:r>
      <w:r>
        <w:t xml:space="preserve">. However, ESC considered this to be an </w:t>
      </w:r>
      <w:r w:rsidRPr="00CC7C4F">
        <w:t xml:space="preserve">exaggerated </w:t>
      </w:r>
      <w:r>
        <w:t>concern</w:t>
      </w:r>
      <w:r w:rsidRPr="00CC7C4F">
        <w:t xml:space="preserve"> </w:t>
      </w:r>
      <w:r>
        <w:t>and that</w:t>
      </w:r>
      <w:r w:rsidRPr="00CC7C4F">
        <w:t xml:space="preserve"> QALYs generated from parent-reported QoL </w:t>
      </w:r>
      <w:r>
        <w:t xml:space="preserve">instruments </w:t>
      </w:r>
      <w:r w:rsidRPr="00CC7C4F">
        <w:t xml:space="preserve">are widely used as </w:t>
      </w:r>
      <w:r>
        <w:t xml:space="preserve">a </w:t>
      </w:r>
      <w:r w:rsidRPr="00CC7C4F">
        <w:t>proxy for</w:t>
      </w:r>
      <w:r>
        <w:t xml:space="preserve"> the child’s QoL. </w:t>
      </w:r>
    </w:p>
    <w:p w14:paraId="1EC6E8EA" w14:textId="77777777" w:rsidR="001F16E6" w:rsidRDefault="001F16E6" w:rsidP="001F16E6">
      <w:r>
        <w:t xml:space="preserve">ESC noted that the cost of hospitalisation, managing adverse events and chemotherapy were excluded from the economic model under the unsupported assumption that adverse events (and associated hospitalisation for these events) are driven by chemotherapy only and cancel out in the ICER calculation (though the costs of hospitalisation were included in cycle 0 for both arms, they were excluded in subsequent cycles). However, ESC considered that given the clinical claim of inferior safety of DB compared with chemotherapy, there may be additional hospital costs for pain management in young children due to more adverse events in the intervention arm compared to the chemotherapy arm. Therefore, ESC advised that its strong preference was for the costs of hospitalisation (inclusive of the cost of managing adverse events) to be included in the model unless the applicant could provide further evidence or justification that hospitalisation costs are equivalent across both arms (including beyond the first cycle of treatment). </w:t>
      </w:r>
    </w:p>
    <w:p w14:paraId="4FE2158D" w14:textId="1DD987B2" w:rsidR="001F16E6" w:rsidRDefault="001F16E6" w:rsidP="001F16E6">
      <w:r>
        <w:t>ESC noted the estimated net financial impact to the NHRA HST program totalled $</w:t>
      </w:r>
      <w:r w:rsidR="00702140" w:rsidRPr="00B26AE6">
        <w:rPr>
          <w:b/>
          <w:bCs/>
        </w:rPr>
        <w:t>redacted</w:t>
      </w:r>
      <w:r>
        <w:t xml:space="preserve"> (</w:t>
      </w:r>
      <w:r w:rsidR="00702140" w:rsidRPr="00B26AE6">
        <w:rPr>
          <w:b/>
          <w:bCs/>
        </w:rPr>
        <w:t xml:space="preserve">redacted </w:t>
      </w:r>
      <w:r>
        <w:t>vials) in year 1 and increased to $</w:t>
      </w:r>
      <w:r w:rsidR="00702140" w:rsidRPr="00B26AE6">
        <w:rPr>
          <w:b/>
          <w:bCs/>
        </w:rPr>
        <w:t>redacted</w:t>
      </w:r>
      <w:r>
        <w:t xml:space="preserve"> (</w:t>
      </w:r>
      <w:r w:rsidR="00702140" w:rsidRPr="00B26AE6">
        <w:rPr>
          <w:b/>
          <w:bCs/>
        </w:rPr>
        <w:t xml:space="preserve">redacted </w:t>
      </w:r>
      <w:r>
        <w:t xml:space="preserve">vials) in each of years 5 and 6. ESC noted that this assumed the number of eligible patients did not change over time, and assumed that uptake would start at </w:t>
      </w:r>
      <w:r w:rsidR="00702140" w:rsidRPr="008172A1">
        <w:rPr>
          <w:b/>
          <w:bCs/>
        </w:rPr>
        <w:t>redacted</w:t>
      </w:r>
      <w:r w:rsidR="008172A1">
        <w:t>%</w:t>
      </w:r>
      <w:r>
        <w:t xml:space="preserve"> in year 1 and increase to </w:t>
      </w:r>
      <w:r w:rsidR="00702140" w:rsidRPr="008172A1">
        <w:rPr>
          <w:b/>
          <w:bCs/>
        </w:rPr>
        <w:t>redacted</w:t>
      </w:r>
      <w:r>
        <w:t xml:space="preserve">% by year 6. With these assumptions, it was noted by ESC that the application estimates there would be no expected increase in the current Government–Sponsor agreement for DB from March 2025 to February 2026. The current agreement has a forecasted use of </w:t>
      </w:r>
      <w:r w:rsidR="00702140" w:rsidRPr="008172A1">
        <w:rPr>
          <w:b/>
          <w:bCs/>
        </w:rPr>
        <w:t xml:space="preserve">redacted </w:t>
      </w:r>
      <w:r>
        <w:t xml:space="preserve">vials for that period, which would accommodate the ADAR estimates of </w:t>
      </w:r>
      <w:r w:rsidR="00702140" w:rsidRPr="008172A1">
        <w:rPr>
          <w:b/>
          <w:bCs/>
        </w:rPr>
        <w:t xml:space="preserve">redacted </w:t>
      </w:r>
      <w:r>
        <w:t xml:space="preserve">vials for HRNBL and </w:t>
      </w:r>
      <w:r w:rsidR="00702140" w:rsidRPr="008172A1">
        <w:rPr>
          <w:b/>
          <w:bCs/>
        </w:rPr>
        <w:t xml:space="preserve">redacted </w:t>
      </w:r>
      <w:r>
        <w:t xml:space="preserve">vials for RRHRNBL over this </w:t>
      </w:r>
      <w:proofErr w:type="gramStart"/>
      <w:r>
        <w:t>time period</w:t>
      </w:r>
      <w:proofErr w:type="gramEnd"/>
      <w:r>
        <w:t xml:space="preserve"> (total of </w:t>
      </w:r>
      <w:r w:rsidR="00702140" w:rsidRPr="008172A1">
        <w:rPr>
          <w:b/>
          <w:bCs/>
        </w:rPr>
        <w:t xml:space="preserve">redacted </w:t>
      </w:r>
      <w:r>
        <w:t>vials).</w:t>
      </w:r>
    </w:p>
    <w:p w14:paraId="2B302F4E" w14:textId="77777777" w:rsidR="00EE5979" w:rsidRPr="00A737D1" w:rsidRDefault="00EE5979" w:rsidP="001175B4">
      <w:pPr>
        <w:pStyle w:val="Heading2"/>
        <w:numPr>
          <w:ilvl w:val="0"/>
          <w:numId w:val="22"/>
        </w:numPr>
        <w:ind w:left="0" w:firstLine="0"/>
      </w:pPr>
      <w:bookmarkStart w:id="62" w:name="_Hlk193984667"/>
      <w:r w:rsidRPr="003A793E">
        <w:t>Applicant comments on MSAC’s Public Summary Document</w:t>
      </w:r>
    </w:p>
    <w:p w14:paraId="24C9C389" w14:textId="77777777" w:rsidR="001175B4" w:rsidRPr="001175B4" w:rsidRDefault="00817BD1" w:rsidP="001175B4">
      <w:pPr>
        <w:pStyle w:val="BodyText"/>
        <w:rPr>
          <w:bCs/>
          <w:iCs/>
        </w:rPr>
      </w:pPr>
      <w:proofErr w:type="spellStart"/>
      <w:r w:rsidRPr="001175B4">
        <w:rPr>
          <w:bCs/>
          <w:iCs/>
        </w:rPr>
        <w:t>Recordati</w:t>
      </w:r>
      <w:proofErr w:type="spellEnd"/>
      <w:r w:rsidRPr="001175B4">
        <w:rPr>
          <w:bCs/>
          <w:iCs/>
        </w:rPr>
        <w:t xml:space="preserve"> Rare Diseases welcomes the decision from the Medical Services Advisory Committee to recommend to the Minister </w:t>
      </w:r>
      <w:proofErr w:type="spellStart"/>
      <w:r w:rsidRPr="001175B4">
        <w:rPr>
          <w:bCs/>
          <w:iCs/>
        </w:rPr>
        <w:t>dinutuximab</w:t>
      </w:r>
      <w:proofErr w:type="spellEnd"/>
      <w:r w:rsidRPr="001175B4">
        <w:rPr>
          <w:bCs/>
          <w:iCs/>
        </w:rPr>
        <w:t xml:space="preserve"> beta, a Highly Specialised Therapy (HST) through the National Health Reform Agreement (NHRA) Addendum for primary relapsed or refractory (RR) high-risk neuroblastoma (HRNBL), acknowledging the high clinical need for this patient population.  </w:t>
      </w:r>
    </w:p>
    <w:p w14:paraId="1EF41338" w14:textId="26264249" w:rsidR="00EE5979" w:rsidRPr="00A737D1" w:rsidRDefault="00EE5979" w:rsidP="00EE5979">
      <w:pPr>
        <w:pStyle w:val="Heading2"/>
        <w:numPr>
          <w:ilvl w:val="0"/>
          <w:numId w:val="22"/>
        </w:numPr>
        <w:ind w:hanging="720"/>
      </w:pPr>
      <w:r w:rsidRPr="003A793E">
        <w:lastRenderedPageBreak/>
        <w:t>Further information on MSAC</w:t>
      </w:r>
    </w:p>
    <w:p w14:paraId="0CF05404" w14:textId="0977AF70" w:rsidR="001F16E6" w:rsidRPr="00EE5979" w:rsidRDefault="00EE5979" w:rsidP="00EE5979">
      <w:pPr>
        <w:pStyle w:val="BodyText"/>
        <w:rPr>
          <w:b/>
          <w:bCs/>
          <w:i/>
          <w:iCs/>
        </w:rPr>
      </w:pPr>
      <w:r w:rsidRPr="00F309FA">
        <w:rPr>
          <w:bCs/>
          <w:iCs/>
        </w:rPr>
        <w:t xml:space="preserve">MSAC Terms of Reference and other information are available on the MSAC Website: </w:t>
      </w:r>
      <w:hyperlink r:id="rId19" w:tooltip="Link to the MSAC website" w:history="1">
        <w:r w:rsidRPr="000D2098">
          <w:rPr>
            <w:rStyle w:val="Hyperlink"/>
            <w:iCs/>
            <w:color w:val="007BB8"/>
          </w:rPr>
          <w:t>visit the MSAC website</w:t>
        </w:r>
      </w:hyperlink>
      <w:bookmarkEnd w:id="62"/>
    </w:p>
    <w:sectPr w:rsidR="001F16E6" w:rsidRPr="00EE5979" w:rsidSect="00784341">
      <w:footerReference w:type="even" r:id="rId20"/>
      <w:footerReference w:type="default" r:id="rId2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B34E" w14:textId="77777777" w:rsidR="005A65D8" w:rsidRDefault="005A65D8" w:rsidP="00B62DF2">
      <w:pPr>
        <w:spacing w:after="0" w:line="240" w:lineRule="auto"/>
      </w:pPr>
      <w:r>
        <w:separator/>
      </w:r>
    </w:p>
  </w:endnote>
  <w:endnote w:type="continuationSeparator" w:id="0">
    <w:p w14:paraId="0A4BDFAF" w14:textId="77777777" w:rsidR="005A65D8" w:rsidRDefault="005A65D8" w:rsidP="00B62DF2">
      <w:pPr>
        <w:spacing w:after="0" w:line="240" w:lineRule="auto"/>
      </w:pPr>
      <w:r>
        <w:continuationSeparator/>
      </w:r>
    </w:p>
  </w:endnote>
  <w:endnote w:type="continuationNotice" w:id="1">
    <w:p w14:paraId="384E4323" w14:textId="77777777" w:rsidR="005A65D8" w:rsidRDefault="005A65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22A3B806" w:rsidR="00F606CD" w:rsidRDefault="00F606CD" w:rsidP="005D3969">
        <w:pPr>
          <w:pStyle w:val="Footer"/>
          <w:jc w:val="right"/>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26A8D045" w:rsidR="00F606CD" w:rsidRDefault="00F606CD"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6979" w14:textId="77777777" w:rsidR="005A65D8" w:rsidRDefault="005A65D8" w:rsidP="00B62DF2">
      <w:pPr>
        <w:spacing w:after="0" w:line="240" w:lineRule="auto"/>
      </w:pPr>
      <w:r>
        <w:separator/>
      </w:r>
    </w:p>
  </w:footnote>
  <w:footnote w:type="continuationSeparator" w:id="0">
    <w:p w14:paraId="0C444302" w14:textId="77777777" w:rsidR="005A65D8" w:rsidRDefault="005A65D8" w:rsidP="00B62DF2">
      <w:pPr>
        <w:spacing w:after="0" w:line="240" w:lineRule="auto"/>
      </w:pPr>
      <w:r>
        <w:continuationSeparator/>
      </w:r>
    </w:p>
  </w:footnote>
  <w:footnote w:type="continuationNotice" w:id="1">
    <w:p w14:paraId="62D720CD" w14:textId="77777777" w:rsidR="005A65D8" w:rsidRDefault="005A65D8">
      <w:pPr>
        <w:spacing w:before="0" w:after="0" w:line="240" w:lineRule="auto"/>
      </w:pPr>
    </w:p>
  </w:footnote>
  <w:footnote w:id="2">
    <w:p w14:paraId="2AE20F9A" w14:textId="5314CA76" w:rsidR="00F606CD" w:rsidRDefault="00F606CD">
      <w:pPr>
        <w:pStyle w:val="FootnoteText"/>
      </w:pPr>
      <w:r>
        <w:rPr>
          <w:rStyle w:val="FootnoteReference"/>
        </w:rPr>
        <w:footnoteRef/>
      </w:r>
      <w:r>
        <w:t xml:space="preserve"> </w:t>
      </w:r>
      <w:hyperlink r:id="rId1" w:history="1">
        <w:r w:rsidRPr="00774DD7">
          <w:rPr>
            <w:rStyle w:val="Hyperlink"/>
          </w:rPr>
          <w:t>Qarziba, INN-Dinutuximab beta</w:t>
        </w:r>
      </w:hyperlink>
    </w:p>
  </w:footnote>
  <w:footnote w:id="3">
    <w:p w14:paraId="08EE3689" w14:textId="7DF1D3E0" w:rsidR="00F606CD" w:rsidRDefault="00F606CD">
      <w:pPr>
        <w:pStyle w:val="FootnoteText"/>
      </w:pPr>
      <w:r>
        <w:rPr>
          <w:rStyle w:val="FootnoteReference"/>
        </w:rPr>
        <w:footnoteRef/>
      </w:r>
      <w:r>
        <w:t xml:space="preserve"> </w:t>
      </w:r>
      <w:r w:rsidRPr="006A2D43">
        <w:t>Gray, J.</w:t>
      </w:r>
      <w:r>
        <w:t xml:space="preserve"> </w:t>
      </w:r>
      <w:r w:rsidRPr="006A2D43">
        <w:t xml:space="preserve"> et al. (2022). BEACON-Immuno: Results of the dinutuximab beta (dB) randomization of the BEACON-Neuroblastoma phase 2 trial-A European Innovative Therapies for Children with Cancer (ITCC-International Society of Paediatric Oncology Europe Neuroblastoma Group (SIOPEN) trial. </w:t>
      </w:r>
      <w:r w:rsidRPr="00F859EE">
        <w:rPr>
          <w:i/>
          <w:iCs/>
        </w:rPr>
        <w:t>J Clin Oncol</w:t>
      </w:r>
      <w:r w:rsidRPr="006A2D43">
        <w:t xml:space="preserve"> 40(16 Supplement 1).</w:t>
      </w:r>
    </w:p>
  </w:footnote>
  <w:footnote w:id="4">
    <w:p w14:paraId="7A6AB921" w14:textId="33900A76" w:rsidR="00F606CD" w:rsidRDefault="00F606CD">
      <w:pPr>
        <w:pStyle w:val="FootnoteText"/>
      </w:pPr>
      <w:r>
        <w:rPr>
          <w:rStyle w:val="FootnoteReference"/>
        </w:rPr>
        <w:footnoteRef/>
      </w:r>
      <w:r>
        <w:t xml:space="preserve"> </w:t>
      </w:r>
      <w:r w:rsidRPr="00FE3BFB">
        <w:t xml:space="preserve">lgun, N. et al. (2022). Dinutuximab beta + conventional chemotherapy for relapsed/refractory high-risk neuroblastoma: A single-center experience. </w:t>
      </w:r>
      <w:r w:rsidRPr="00F859EE">
        <w:rPr>
          <w:i/>
          <w:iCs/>
        </w:rPr>
        <w:t>Front Oncol</w:t>
      </w:r>
      <w:r w:rsidRPr="00FE3BFB">
        <w:t xml:space="preserve"> 12: 1041443</w:t>
      </w:r>
      <w:r>
        <w:t>.</w:t>
      </w:r>
    </w:p>
  </w:footnote>
  <w:footnote w:id="5">
    <w:p w14:paraId="230F948A" w14:textId="68D781C6" w:rsidR="00F606CD" w:rsidRDefault="00F606CD">
      <w:pPr>
        <w:pStyle w:val="FootnoteText"/>
      </w:pPr>
      <w:r>
        <w:rPr>
          <w:rStyle w:val="FootnoteReference"/>
        </w:rPr>
        <w:footnoteRef/>
      </w:r>
      <w:r>
        <w:t xml:space="preserve"> </w:t>
      </w:r>
      <w:r w:rsidRPr="00FF4765">
        <w:t>Wieczorek, A</w:t>
      </w:r>
      <w:r>
        <w:t>. et al.</w:t>
      </w:r>
      <w:r w:rsidRPr="00FF4765">
        <w:t xml:space="preserve"> (2023). Dinutuximab beta combined with chemotherapy in patients with relapsed or refractory neuroblastoma. </w:t>
      </w:r>
      <w:r w:rsidRPr="00F859EE">
        <w:rPr>
          <w:i/>
          <w:iCs/>
        </w:rPr>
        <w:t>Front Oncol</w:t>
      </w:r>
      <w:r>
        <w:t>.</w:t>
      </w:r>
    </w:p>
  </w:footnote>
  <w:footnote w:id="6">
    <w:p w14:paraId="3C8257B0" w14:textId="00212AAD" w:rsidR="00F606CD" w:rsidRDefault="00F606CD">
      <w:pPr>
        <w:pStyle w:val="FootnoteText"/>
      </w:pPr>
      <w:r>
        <w:rPr>
          <w:rStyle w:val="FootnoteReference"/>
        </w:rPr>
        <w:footnoteRef/>
      </w:r>
      <w:r>
        <w:t xml:space="preserve"> </w:t>
      </w:r>
      <w:r w:rsidRPr="00BD1187">
        <w:t>Raiser, P. et al. (2024). Chemoimmunotherapy with dinutuximab beta in patients with relapsed/progressive high-risk neuroblastoma: does chemotherapy backbone matter?</w:t>
      </w:r>
      <w:r>
        <w:t>.</w:t>
      </w:r>
      <w:r w:rsidRPr="00BD1187">
        <w:t xml:space="preserve"> </w:t>
      </w:r>
      <w:r w:rsidRPr="00F859EE">
        <w:rPr>
          <w:i/>
          <w:iCs/>
        </w:rPr>
        <w:t>Eur J Cancer</w:t>
      </w:r>
      <w:r w:rsidRPr="00BD1187">
        <w:t xml:space="preserve"> 202: 114001</w:t>
      </w:r>
      <w:r>
        <w:t>.</w:t>
      </w:r>
    </w:p>
  </w:footnote>
  <w:footnote w:id="7">
    <w:p w14:paraId="5236D5BD" w14:textId="1CE02A7F" w:rsidR="00F606CD" w:rsidRDefault="00F606CD">
      <w:pPr>
        <w:pStyle w:val="FootnoteText"/>
      </w:pPr>
      <w:r>
        <w:rPr>
          <w:rStyle w:val="FootnoteReference"/>
        </w:rPr>
        <w:footnoteRef/>
      </w:r>
      <w:r>
        <w:t xml:space="preserve"> Therapeutic Goods Administration (2020). Australian Public Assessment Report (AusPAR): dinutuximab beta. Attachment: Product Information. </w:t>
      </w:r>
      <w:hyperlink r:id="rId2" w:history="1">
        <w:r w:rsidRPr="00782128">
          <w:rPr>
            <w:rStyle w:val="Hyperlink"/>
          </w:rPr>
          <w:t>https://www.tga.gov.au/sites/default/files/auspar-dinutuximab-beta-200630-pi.pdf</w:t>
        </w:r>
      </w:hyperlink>
    </w:p>
  </w:footnote>
  <w:footnote w:id="8">
    <w:p w14:paraId="5A7DF913" w14:textId="1C4EBD7F" w:rsidR="00F606CD" w:rsidRDefault="00F606CD">
      <w:pPr>
        <w:pStyle w:val="FootnoteText"/>
      </w:pPr>
      <w:r>
        <w:rPr>
          <w:rStyle w:val="FootnoteReference"/>
        </w:rPr>
        <w:footnoteRef/>
      </w:r>
      <w:r>
        <w:t xml:space="preserve"> C</w:t>
      </w:r>
      <w:r w:rsidRPr="003849D3">
        <w:t>ancer Council Queensland (2014). A summary of Childhood Cancer Statistics in Australia, 1983-2014. Retrieved September 2024, from https://cancerqld.blob.core.windows.net/site/content/uploads/2017/12/A-summary-of-childhood-cancer-in-Australia-1983-2014.pdf</w:t>
      </w:r>
    </w:p>
  </w:footnote>
  <w:footnote w:id="9">
    <w:p w14:paraId="510FFFDB" w14:textId="0977E06A" w:rsidR="00F606CD" w:rsidRDefault="00F606CD">
      <w:pPr>
        <w:pStyle w:val="FootnoteText"/>
      </w:pPr>
      <w:r>
        <w:rPr>
          <w:rStyle w:val="FootnoteReference"/>
        </w:rPr>
        <w:footnoteRef/>
      </w:r>
      <w:r>
        <w:t xml:space="preserve"> </w:t>
      </w:r>
      <w:r w:rsidRPr="004E0EE5">
        <w:t>Youlden, D. R</w:t>
      </w:r>
      <w:r>
        <w:t>. et al.</w:t>
      </w:r>
      <w:r w:rsidRPr="004E0EE5">
        <w:t xml:space="preserve"> (2020). Incidence and outcomes of neuroblastoma in Australian children: A population-based study (1983–2015</w:t>
      </w:r>
      <w:r w:rsidRPr="00D55E91">
        <w:rPr>
          <w:i/>
          <w:iCs/>
        </w:rPr>
        <w:t>). J Paediatr Child Health</w:t>
      </w:r>
      <w:r w:rsidRPr="004E0EE5">
        <w:t xml:space="preserve"> 56(7): 1046-1052</w:t>
      </w:r>
      <w:r>
        <w:t>.</w:t>
      </w:r>
    </w:p>
  </w:footnote>
  <w:footnote w:id="10">
    <w:p w14:paraId="0553219B" w14:textId="082D6636" w:rsidR="00F606CD" w:rsidRDefault="00F606CD">
      <w:pPr>
        <w:pStyle w:val="FootnoteText"/>
      </w:pPr>
      <w:r>
        <w:rPr>
          <w:rStyle w:val="FootnoteReference"/>
        </w:rPr>
        <w:footnoteRef/>
      </w:r>
      <w:r>
        <w:t xml:space="preserve"> </w:t>
      </w:r>
      <w:r w:rsidRPr="001E0CA0">
        <w:t xml:space="preserve">Heerden, J. v., N. </w:t>
      </w:r>
      <w:r>
        <w:t>et al.</w:t>
      </w:r>
      <w:r w:rsidRPr="001E0CA0">
        <w:t xml:space="preserve"> (2021). Reporting Incidences of Neuroblastoma in Various Resource Settings. </w:t>
      </w:r>
      <w:r w:rsidRPr="00B610B6">
        <w:rPr>
          <w:i/>
          <w:iCs/>
        </w:rPr>
        <w:t>JCO Global Oncology</w:t>
      </w:r>
      <w:r>
        <w:rPr>
          <w:i/>
          <w:iCs/>
        </w:rPr>
        <w:t xml:space="preserve"> </w:t>
      </w:r>
      <w:r w:rsidRPr="001E0CA0">
        <w:t>(7): 947-964</w:t>
      </w:r>
      <w:r>
        <w:t>.</w:t>
      </w:r>
    </w:p>
  </w:footnote>
  <w:footnote w:id="11">
    <w:p w14:paraId="7FCA46D1" w14:textId="1CC42CE0" w:rsidR="00F606CD" w:rsidRDefault="00F606CD">
      <w:pPr>
        <w:pStyle w:val="FootnoteText"/>
      </w:pPr>
      <w:r>
        <w:rPr>
          <w:rStyle w:val="FootnoteReference"/>
        </w:rPr>
        <w:footnoteRef/>
      </w:r>
      <w:r>
        <w:t xml:space="preserve"> </w:t>
      </w:r>
      <w:r w:rsidRPr="00B230C2">
        <w:t>Youlden, D. R</w:t>
      </w:r>
      <w:r>
        <w:t>. et al.</w:t>
      </w:r>
      <w:r w:rsidRPr="00B230C2">
        <w:t xml:space="preserve"> (2019). Stage at diagnosis for childhood solid cancers in Australia: A population-based study. </w:t>
      </w:r>
      <w:r w:rsidRPr="00B610B6">
        <w:rPr>
          <w:i/>
          <w:iCs/>
        </w:rPr>
        <w:t>Cancer Epidemiol</w:t>
      </w:r>
      <w:r w:rsidRPr="00B230C2">
        <w:t xml:space="preserve"> 59: 208-214</w:t>
      </w:r>
      <w:r>
        <w:t>.</w:t>
      </w:r>
    </w:p>
  </w:footnote>
  <w:footnote w:id="12">
    <w:p w14:paraId="609D4345" w14:textId="439DE0D2" w:rsidR="00F606CD" w:rsidRDefault="00F606CD">
      <w:pPr>
        <w:pStyle w:val="FootnoteText"/>
      </w:pPr>
      <w:r>
        <w:rPr>
          <w:rStyle w:val="FootnoteReference"/>
        </w:rPr>
        <w:footnoteRef/>
      </w:r>
      <w:r>
        <w:t xml:space="preserve"> </w:t>
      </w:r>
      <w:r w:rsidRPr="00E51D48">
        <w:t xml:space="preserve">Mody, R. et al. (2017). Irinotecan-temozolomide with temsirolimus or dinutuximab in children with refractory or relapsed neuroblastoma (COG ANBL1221): an open-label, randomised, phase 2 trial. </w:t>
      </w:r>
      <w:r w:rsidRPr="00B610B6">
        <w:rPr>
          <w:i/>
          <w:iCs/>
        </w:rPr>
        <w:t>The Lancet Oncology</w:t>
      </w:r>
      <w:r w:rsidRPr="00E51D48">
        <w:t xml:space="preserve"> 18(7): 946-957</w:t>
      </w:r>
      <w:r>
        <w:t>.</w:t>
      </w:r>
    </w:p>
  </w:footnote>
  <w:footnote w:id="13">
    <w:p w14:paraId="504A528C" w14:textId="59E8CA7B" w:rsidR="00F606CD" w:rsidRDefault="00F606CD">
      <w:pPr>
        <w:pStyle w:val="FootnoteText"/>
      </w:pPr>
      <w:r>
        <w:rPr>
          <w:rStyle w:val="FootnoteReference"/>
        </w:rPr>
        <w:footnoteRef/>
      </w:r>
      <w:r>
        <w:t xml:space="preserve"> </w:t>
      </w:r>
      <w:r w:rsidRPr="003543DD">
        <w:t>SCH (2024). Outcome of patients with relapsed or refractory high-risk neuroblastoma (R/R HR-NB) at Sydney Children’s Hospital (patients diagnosed from 1st January 2010 to 31st December 2021)</w:t>
      </w:r>
      <w:r>
        <w:t>.</w:t>
      </w:r>
    </w:p>
  </w:footnote>
  <w:footnote w:id="14">
    <w:p w14:paraId="6EBBB93E" w14:textId="3A3ACA57" w:rsidR="00F606CD" w:rsidRDefault="00F606CD">
      <w:pPr>
        <w:pStyle w:val="FootnoteText"/>
      </w:pPr>
      <w:r>
        <w:rPr>
          <w:rStyle w:val="FootnoteReference"/>
        </w:rPr>
        <w:footnoteRef/>
      </w:r>
      <w:r>
        <w:t xml:space="preserve"> </w:t>
      </w:r>
      <w:r w:rsidRPr="002B38DC">
        <w:t xml:space="preserve">Lerman, B. et al. (2023). Progression-Free Survival and Patterns of Response in Patients with Relapsed High-Risk Neuroblastoma Treated with Irinotecan/Temozolomide/Dinutuximab/Granulocyte-Macrophage Colony-Stimulating Factor. </w:t>
      </w:r>
      <w:r w:rsidRPr="00B610B6">
        <w:rPr>
          <w:i/>
          <w:iCs/>
        </w:rPr>
        <w:t>J Clin Oncol</w:t>
      </w:r>
      <w:r w:rsidRPr="002B38DC">
        <w:t xml:space="preserve"> 41(3): 508-516</w:t>
      </w:r>
      <w:r>
        <w:t>.</w:t>
      </w:r>
    </w:p>
  </w:footnote>
  <w:footnote w:id="15">
    <w:p w14:paraId="4CD4D0FE" w14:textId="25B042AC" w:rsidR="00F606CD" w:rsidRDefault="00F606CD">
      <w:pPr>
        <w:pStyle w:val="FootnoteText"/>
      </w:pPr>
      <w:r>
        <w:rPr>
          <w:rStyle w:val="FootnoteReference"/>
        </w:rPr>
        <w:footnoteRef/>
      </w:r>
      <w:r>
        <w:t xml:space="preserve"> </w:t>
      </w:r>
      <w:r w:rsidRPr="00B71DC1">
        <w:t xml:space="preserve">Bagatell, R. et al. (2011). Phase II study of irinotecan and temozolomide in children with relapsed or refractory neuroblastoma: a Children's Oncology Group study. </w:t>
      </w:r>
      <w:r w:rsidRPr="00B610B6">
        <w:rPr>
          <w:i/>
          <w:iCs/>
        </w:rPr>
        <w:t>J Clin Oncol</w:t>
      </w:r>
      <w:r w:rsidRPr="00B71DC1">
        <w:t xml:space="preserve"> 29(2): 208-213</w:t>
      </w:r>
      <w:r>
        <w:t>.</w:t>
      </w:r>
    </w:p>
  </w:footnote>
  <w:footnote w:id="16">
    <w:p w14:paraId="34F428FE" w14:textId="4D9AD1B7" w:rsidR="00F606CD" w:rsidRDefault="00F606CD">
      <w:pPr>
        <w:pStyle w:val="FootnoteText"/>
      </w:pPr>
      <w:r>
        <w:rPr>
          <w:rStyle w:val="FootnoteReference"/>
        </w:rPr>
        <w:footnoteRef/>
      </w:r>
      <w:r>
        <w:t xml:space="preserve"> </w:t>
      </w:r>
      <w:r w:rsidRPr="00BE0603">
        <w:t xml:space="preserve">Di Giannatale, A. et al. (2014). Phase II study of temozolomide in combination with topotecan (TOTEM) in relapsed or refractory neuroblastoma: a European Innovative Therapies for Children with Cancer-SIOP-European Neuroblastoma study. </w:t>
      </w:r>
      <w:r w:rsidRPr="00B610B6">
        <w:rPr>
          <w:i/>
          <w:iCs/>
        </w:rPr>
        <w:t>Eur J Cancer</w:t>
      </w:r>
      <w:r w:rsidRPr="00BE0603">
        <w:t xml:space="preserve"> 50(1): 170-177.</w:t>
      </w:r>
    </w:p>
  </w:footnote>
  <w:footnote w:id="17">
    <w:p w14:paraId="3AF1650E" w14:textId="0909A749" w:rsidR="00F606CD" w:rsidRDefault="00F606CD">
      <w:pPr>
        <w:pStyle w:val="FootnoteText"/>
      </w:pPr>
      <w:r>
        <w:rPr>
          <w:rStyle w:val="FootnoteReference"/>
        </w:rPr>
        <w:footnoteRef/>
      </w:r>
      <w:r>
        <w:t xml:space="preserve"> </w:t>
      </w:r>
      <w:r w:rsidRPr="009373A4">
        <w:t>DuBois, S.G.</w:t>
      </w:r>
      <w:r>
        <w:t xml:space="preserve"> et al.</w:t>
      </w:r>
      <w:r w:rsidRPr="009373A4">
        <w:t xml:space="preserve"> (2018). Phase II Trial of Alisertib in Combination with Irinotecan and Temozolomide for Patients with Relapsed or Refractory Neuroblastoma. </w:t>
      </w:r>
      <w:r w:rsidRPr="00B610B6">
        <w:rPr>
          <w:i/>
          <w:iCs/>
        </w:rPr>
        <w:t>Clin Cancer Res</w:t>
      </w:r>
      <w:r w:rsidRPr="009373A4">
        <w:t xml:space="preserve"> 24(24): 6142-6149</w:t>
      </w:r>
      <w:r>
        <w:t>.</w:t>
      </w:r>
    </w:p>
  </w:footnote>
  <w:footnote w:id="18">
    <w:p w14:paraId="2ACCBB70" w14:textId="64714B89" w:rsidR="00F606CD" w:rsidRDefault="00F606CD">
      <w:pPr>
        <w:pStyle w:val="FootnoteText"/>
      </w:pPr>
      <w:r>
        <w:rPr>
          <w:rStyle w:val="FootnoteReference"/>
        </w:rPr>
        <w:footnoteRef/>
      </w:r>
      <w:r>
        <w:t xml:space="preserve"> </w:t>
      </w:r>
      <w:r w:rsidRPr="00580843">
        <w:t xml:space="preserve">Moreno, L. </w:t>
      </w:r>
      <w:r>
        <w:t>et al.</w:t>
      </w:r>
      <w:r w:rsidRPr="00580843">
        <w:t xml:space="preserve"> (2024). Bevacizumab, Irinotecan, or Topotecan Added to Temozolomide for Children With Relapsed and Refractory Neuroblastoma: Results of the ITCC-SIOPEN BEACON-Neuroblastoma Trial.</w:t>
      </w:r>
      <w:r w:rsidRPr="00B610B6">
        <w:rPr>
          <w:i/>
          <w:iCs/>
        </w:rPr>
        <w:t xml:space="preserve"> J Clin Oncol</w:t>
      </w:r>
      <w:r w:rsidRPr="00580843">
        <w:t xml:space="preserve"> 42(10): 1135-1145</w:t>
      </w:r>
    </w:p>
  </w:footnote>
  <w:footnote w:id="19">
    <w:p w14:paraId="33A0C1C7" w14:textId="32EF78A5" w:rsidR="00F606CD" w:rsidRDefault="00F606CD">
      <w:pPr>
        <w:pStyle w:val="FootnoteText"/>
      </w:pPr>
      <w:r>
        <w:rPr>
          <w:rStyle w:val="FootnoteReference"/>
        </w:rPr>
        <w:footnoteRef/>
      </w:r>
      <w:r>
        <w:t xml:space="preserve"> </w:t>
      </w:r>
      <w:r w:rsidRPr="00AA62F9">
        <w:t>Reeve R</w:t>
      </w:r>
      <w:r>
        <w:t>. et al.</w:t>
      </w:r>
      <w:r w:rsidRPr="00AA62F9">
        <w:t xml:space="preserve"> (2017). Health care use and costs at the end of life: a comparison of elderly Australian decedents with and without a cancer history. </w:t>
      </w:r>
      <w:r w:rsidRPr="00B610B6">
        <w:rPr>
          <w:i/>
          <w:iCs/>
        </w:rPr>
        <w:t>BMC Palliative Care</w:t>
      </w:r>
      <w:r w:rsidRPr="00AA62F9">
        <w:t xml:space="preserve"> 17(1): 1</w:t>
      </w:r>
      <w:r>
        <w:t>.</w:t>
      </w:r>
    </w:p>
  </w:footnote>
  <w:footnote w:id="20">
    <w:p w14:paraId="1B9EEE19" w14:textId="4122F1BB" w:rsidR="00F606CD" w:rsidRDefault="00F606CD">
      <w:pPr>
        <w:pStyle w:val="FootnoteText"/>
      </w:pPr>
      <w:r>
        <w:rPr>
          <w:rStyle w:val="FootnoteReference"/>
        </w:rPr>
        <w:footnoteRef/>
      </w:r>
      <w:r>
        <w:t xml:space="preserve"> </w:t>
      </w:r>
      <w:r w:rsidRPr="00373450">
        <w:t>McCaffrey</w:t>
      </w:r>
      <w:r>
        <w:t>,</w:t>
      </w:r>
      <w:r w:rsidRPr="00373450">
        <w:t xml:space="preserve"> N</w:t>
      </w:r>
      <w:r>
        <w:t>. et al. (2016).</w:t>
      </w:r>
      <w:r w:rsidRPr="00373450">
        <w:t xml:space="preserve"> Health-related quality of life measured using the EQ-5D-5L: South Australian population norms. </w:t>
      </w:r>
      <w:r w:rsidRPr="00B610B6">
        <w:rPr>
          <w:i/>
          <w:iCs/>
        </w:rPr>
        <w:t>Health Qual Life Outcomes</w:t>
      </w:r>
      <w:r>
        <w:t xml:space="preserve"> </w:t>
      </w:r>
      <w:r w:rsidRPr="00373450">
        <w:t>14(1):133.</w:t>
      </w:r>
    </w:p>
  </w:footnote>
  <w:footnote w:id="21">
    <w:p w14:paraId="2E119983" w14:textId="50CF17C0" w:rsidR="00F606CD" w:rsidRDefault="00F606CD">
      <w:pPr>
        <w:pStyle w:val="FootnoteText"/>
      </w:pPr>
      <w:r>
        <w:rPr>
          <w:rStyle w:val="FootnoteReference"/>
        </w:rPr>
        <w:footnoteRef/>
      </w:r>
      <w:r>
        <w:t xml:space="preserve"> </w:t>
      </w:r>
      <w:r w:rsidRPr="00BB18F0">
        <w:t>Portwine, C.</w:t>
      </w:r>
      <w:r>
        <w:t xml:space="preserve"> et al.</w:t>
      </w:r>
      <w:r w:rsidRPr="00BB18F0">
        <w:t xml:space="preserve"> (2016). Health-Related Quality of Life in Survivors of High-Risk Neuroblastoma After Stem Cell Transplant: A National Population-Based Perspective. </w:t>
      </w:r>
      <w:r w:rsidRPr="00C771F6">
        <w:rPr>
          <w:i/>
          <w:iCs/>
        </w:rPr>
        <w:t>Pediatric Blood Cancer</w:t>
      </w:r>
      <w:r w:rsidRPr="00BB18F0">
        <w:t xml:space="preserve"> 63(9): 1615-1621</w:t>
      </w:r>
      <w:r>
        <w:t>.</w:t>
      </w:r>
    </w:p>
  </w:footnote>
  <w:footnote w:id="22">
    <w:p w14:paraId="5036C859" w14:textId="1FE8F047" w:rsidR="00F606CD" w:rsidRDefault="00F606CD">
      <w:pPr>
        <w:pStyle w:val="FootnoteText"/>
      </w:pPr>
      <w:r>
        <w:rPr>
          <w:rStyle w:val="FootnoteReference"/>
        </w:rPr>
        <w:footnoteRef/>
      </w:r>
      <w:r>
        <w:t xml:space="preserve"> </w:t>
      </w:r>
      <w:r w:rsidRPr="00AA2B98">
        <w:t>Barr, R. D.</w:t>
      </w:r>
      <w:r>
        <w:t xml:space="preserve"> et al. </w:t>
      </w:r>
      <w:r w:rsidRPr="00AA2B98">
        <w:t>(1999). Health-related quality of life in survivors of tumours of the central nervous system in childhood</w:t>
      </w:r>
      <w:r>
        <w:t xml:space="preserve"> - </w:t>
      </w:r>
      <w:r w:rsidRPr="00AA2B98">
        <w:t xml:space="preserve">a preference-based approach to measurement in a cross-sectional study. </w:t>
      </w:r>
      <w:r w:rsidRPr="00C771F6">
        <w:rPr>
          <w:i/>
          <w:iCs/>
        </w:rPr>
        <w:t>Eur J Cancer</w:t>
      </w:r>
      <w:r w:rsidRPr="00AA2B98">
        <w:t xml:space="preserve"> 35(2): 248-255</w:t>
      </w:r>
      <w:r>
        <w:t>.</w:t>
      </w:r>
    </w:p>
  </w:footnote>
  <w:footnote w:id="23">
    <w:p w14:paraId="2A2A845D" w14:textId="442EFBBC" w:rsidR="00F606CD" w:rsidRDefault="00F606CD">
      <w:pPr>
        <w:pStyle w:val="FootnoteText"/>
      </w:pPr>
      <w:r>
        <w:rPr>
          <w:rStyle w:val="FootnoteReference"/>
        </w:rPr>
        <w:footnoteRef/>
      </w:r>
      <w:r>
        <w:t xml:space="preserve"> </w:t>
      </w:r>
      <w:r w:rsidRPr="00566873">
        <w:t>Moreno, L</w:t>
      </w:r>
      <w:r>
        <w:t>. et al.</w:t>
      </w:r>
      <w:r w:rsidRPr="00566873">
        <w:t xml:space="preserve"> (2017). Outcome of children with relapsed or refractory neuroblastoma: A meta-analysis of ITCC/SIOPEN European phase II clinical trials. </w:t>
      </w:r>
      <w:r w:rsidRPr="00A416A4">
        <w:rPr>
          <w:i/>
          <w:iCs/>
        </w:rPr>
        <w:t>Pediatric Blood &amp; Cancer</w:t>
      </w:r>
      <w:r w:rsidRPr="00566873">
        <w:t xml:space="preserve"> 64(1): 25-31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68E"/>
    <w:multiLevelType w:val="hybridMultilevel"/>
    <w:tmpl w:val="6B0C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47AEC"/>
    <w:multiLevelType w:val="hybridMultilevel"/>
    <w:tmpl w:val="E66C3C0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12B3200E"/>
    <w:multiLevelType w:val="hybridMultilevel"/>
    <w:tmpl w:val="04A0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549F0"/>
    <w:multiLevelType w:val="hybridMultilevel"/>
    <w:tmpl w:val="955A301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87762D"/>
    <w:multiLevelType w:val="hybridMultilevel"/>
    <w:tmpl w:val="F5AE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6170AEC"/>
    <w:multiLevelType w:val="hybridMultilevel"/>
    <w:tmpl w:val="7DEA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E175902"/>
    <w:multiLevelType w:val="hybridMultilevel"/>
    <w:tmpl w:val="BCD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292BF5"/>
    <w:multiLevelType w:val="hybridMultilevel"/>
    <w:tmpl w:val="3020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31255"/>
    <w:multiLevelType w:val="hybridMultilevel"/>
    <w:tmpl w:val="129AE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3D1480"/>
    <w:multiLevelType w:val="hybridMultilevel"/>
    <w:tmpl w:val="5E4270C2"/>
    <w:lvl w:ilvl="0" w:tplc="4DE251A2">
      <w:start w:val="1"/>
      <w:numFmt w:val="bullet"/>
      <w:lvlText w:val=""/>
      <w:lvlJc w:val="left"/>
      <w:pPr>
        <w:ind w:left="1020" w:hanging="360"/>
      </w:pPr>
      <w:rPr>
        <w:rFonts w:ascii="Symbol" w:hAnsi="Symbol"/>
      </w:rPr>
    </w:lvl>
    <w:lvl w:ilvl="1" w:tplc="31586414">
      <w:start w:val="1"/>
      <w:numFmt w:val="bullet"/>
      <w:lvlText w:val=""/>
      <w:lvlJc w:val="left"/>
      <w:pPr>
        <w:ind w:left="1020" w:hanging="360"/>
      </w:pPr>
      <w:rPr>
        <w:rFonts w:ascii="Symbol" w:hAnsi="Symbol"/>
      </w:rPr>
    </w:lvl>
    <w:lvl w:ilvl="2" w:tplc="DEEA31C0">
      <w:start w:val="1"/>
      <w:numFmt w:val="bullet"/>
      <w:lvlText w:val=""/>
      <w:lvlJc w:val="left"/>
      <w:pPr>
        <w:ind w:left="1020" w:hanging="360"/>
      </w:pPr>
      <w:rPr>
        <w:rFonts w:ascii="Symbol" w:hAnsi="Symbol"/>
      </w:rPr>
    </w:lvl>
    <w:lvl w:ilvl="3" w:tplc="0F6E4FB4">
      <w:start w:val="1"/>
      <w:numFmt w:val="bullet"/>
      <w:lvlText w:val=""/>
      <w:lvlJc w:val="left"/>
      <w:pPr>
        <w:ind w:left="1020" w:hanging="360"/>
      </w:pPr>
      <w:rPr>
        <w:rFonts w:ascii="Symbol" w:hAnsi="Symbol"/>
      </w:rPr>
    </w:lvl>
    <w:lvl w:ilvl="4" w:tplc="301E726A">
      <w:start w:val="1"/>
      <w:numFmt w:val="bullet"/>
      <w:lvlText w:val=""/>
      <w:lvlJc w:val="left"/>
      <w:pPr>
        <w:ind w:left="1020" w:hanging="360"/>
      </w:pPr>
      <w:rPr>
        <w:rFonts w:ascii="Symbol" w:hAnsi="Symbol"/>
      </w:rPr>
    </w:lvl>
    <w:lvl w:ilvl="5" w:tplc="D9702BC8">
      <w:start w:val="1"/>
      <w:numFmt w:val="bullet"/>
      <w:lvlText w:val=""/>
      <w:lvlJc w:val="left"/>
      <w:pPr>
        <w:ind w:left="1020" w:hanging="360"/>
      </w:pPr>
      <w:rPr>
        <w:rFonts w:ascii="Symbol" w:hAnsi="Symbol"/>
      </w:rPr>
    </w:lvl>
    <w:lvl w:ilvl="6" w:tplc="EE164E78">
      <w:start w:val="1"/>
      <w:numFmt w:val="bullet"/>
      <w:lvlText w:val=""/>
      <w:lvlJc w:val="left"/>
      <w:pPr>
        <w:ind w:left="1020" w:hanging="360"/>
      </w:pPr>
      <w:rPr>
        <w:rFonts w:ascii="Symbol" w:hAnsi="Symbol"/>
      </w:rPr>
    </w:lvl>
    <w:lvl w:ilvl="7" w:tplc="AE240C34">
      <w:start w:val="1"/>
      <w:numFmt w:val="bullet"/>
      <w:lvlText w:val=""/>
      <w:lvlJc w:val="left"/>
      <w:pPr>
        <w:ind w:left="1020" w:hanging="360"/>
      </w:pPr>
      <w:rPr>
        <w:rFonts w:ascii="Symbol" w:hAnsi="Symbol"/>
      </w:rPr>
    </w:lvl>
    <w:lvl w:ilvl="8" w:tplc="696E024A">
      <w:start w:val="1"/>
      <w:numFmt w:val="bullet"/>
      <w:lvlText w:val=""/>
      <w:lvlJc w:val="left"/>
      <w:pPr>
        <w:ind w:left="1020" w:hanging="360"/>
      </w:pPr>
      <w:rPr>
        <w:rFonts w:ascii="Symbol" w:hAnsi="Symbol"/>
      </w:rPr>
    </w:lvl>
  </w:abstractNum>
  <w:abstractNum w:abstractNumId="17" w15:restartNumberingAfterBreak="0">
    <w:nsid w:val="4212673F"/>
    <w:multiLevelType w:val="hybridMultilevel"/>
    <w:tmpl w:val="74F452EE"/>
    <w:lvl w:ilvl="0" w:tplc="DF1CE2BA">
      <w:start w:val="1"/>
      <w:numFmt w:val="bullet"/>
      <w:lvlText w:val=""/>
      <w:lvlJc w:val="left"/>
      <w:pPr>
        <w:ind w:left="1020" w:hanging="360"/>
      </w:pPr>
      <w:rPr>
        <w:rFonts w:ascii="Symbol" w:hAnsi="Symbol"/>
      </w:rPr>
    </w:lvl>
    <w:lvl w:ilvl="1" w:tplc="A336E81A">
      <w:start w:val="1"/>
      <w:numFmt w:val="bullet"/>
      <w:lvlText w:val=""/>
      <w:lvlJc w:val="left"/>
      <w:pPr>
        <w:ind w:left="1020" w:hanging="360"/>
      </w:pPr>
      <w:rPr>
        <w:rFonts w:ascii="Symbol" w:hAnsi="Symbol"/>
      </w:rPr>
    </w:lvl>
    <w:lvl w:ilvl="2" w:tplc="F3F82BBA">
      <w:start w:val="1"/>
      <w:numFmt w:val="bullet"/>
      <w:lvlText w:val=""/>
      <w:lvlJc w:val="left"/>
      <w:pPr>
        <w:ind w:left="1020" w:hanging="360"/>
      </w:pPr>
      <w:rPr>
        <w:rFonts w:ascii="Symbol" w:hAnsi="Symbol"/>
      </w:rPr>
    </w:lvl>
    <w:lvl w:ilvl="3" w:tplc="C8641E52">
      <w:start w:val="1"/>
      <w:numFmt w:val="bullet"/>
      <w:lvlText w:val=""/>
      <w:lvlJc w:val="left"/>
      <w:pPr>
        <w:ind w:left="1020" w:hanging="360"/>
      </w:pPr>
      <w:rPr>
        <w:rFonts w:ascii="Symbol" w:hAnsi="Symbol"/>
      </w:rPr>
    </w:lvl>
    <w:lvl w:ilvl="4" w:tplc="998C2036">
      <w:start w:val="1"/>
      <w:numFmt w:val="bullet"/>
      <w:lvlText w:val=""/>
      <w:lvlJc w:val="left"/>
      <w:pPr>
        <w:ind w:left="1020" w:hanging="360"/>
      </w:pPr>
      <w:rPr>
        <w:rFonts w:ascii="Symbol" w:hAnsi="Symbol"/>
      </w:rPr>
    </w:lvl>
    <w:lvl w:ilvl="5" w:tplc="3E64DCE0">
      <w:start w:val="1"/>
      <w:numFmt w:val="bullet"/>
      <w:lvlText w:val=""/>
      <w:lvlJc w:val="left"/>
      <w:pPr>
        <w:ind w:left="1020" w:hanging="360"/>
      </w:pPr>
      <w:rPr>
        <w:rFonts w:ascii="Symbol" w:hAnsi="Symbol"/>
      </w:rPr>
    </w:lvl>
    <w:lvl w:ilvl="6" w:tplc="333AC23C">
      <w:start w:val="1"/>
      <w:numFmt w:val="bullet"/>
      <w:lvlText w:val=""/>
      <w:lvlJc w:val="left"/>
      <w:pPr>
        <w:ind w:left="1020" w:hanging="360"/>
      </w:pPr>
      <w:rPr>
        <w:rFonts w:ascii="Symbol" w:hAnsi="Symbol"/>
      </w:rPr>
    </w:lvl>
    <w:lvl w:ilvl="7" w:tplc="20B66E56">
      <w:start w:val="1"/>
      <w:numFmt w:val="bullet"/>
      <w:lvlText w:val=""/>
      <w:lvlJc w:val="left"/>
      <w:pPr>
        <w:ind w:left="1020" w:hanging="360"/>
      </w:pPr>
      <w:rPr>
        <w:rFonts w:ascii="Symbol" w:hAnsi="Symbol"/>
      </w:rPr>
    </w:lvl>
    <w:lvl w:ilvl="8" w:tplc="556A27A0">
      <w:start w:val="1"/>
      <w:numFmt w:val="bullet"/>
      <w:lvlText w:val=""/>
      <w:lvlJc w:val="left"/>
      <w:pPr>
        <w:ind w:left="1020" w:hanging="360"/>
      </w:pPr>
      <w:rPr>
        <w:rFonts w:ascii="Symbol" w:hAnsi="Symbol"/>
      </w:rPr>
    </w:lvl>
  </w:abstractNum>
  <w:abstractNum w:abstractNumId="18" w15:restartNumberingAfterBreak="0">
    <w:nsid w:val="423F26AD"/>
    <w:multiLevelType w:val="hybridMultilevel"/>
    <w:tmpl w:val="7310B0FE"/>
    <w:lvl w:ilvl="0" w:tplc="D6DC67A0">
      <w:start w:val="1"/>
      <w:numFmt w:val="decimal"/>
      <w:pStyle w:val="KMC16-NumLists"/>
      <w:lvlText w:val="%1."/>
      <w:lvlJc w:val="left"/>
      <w:pPr>
        <w:ind w:left="1080" w:hanging="360"/>
      </w:pPr>
    </w:lvl>
    <w:lvl w:ilvl="1" w:tplc="6D9A3DD0">
      <w:start w:val="1"/>
      <w:numFmt w:val="decimal"/>
      <w:lvlText w:val="%2)"/>
      <w:lvlJc w:val="left"/>
      <w:pPr>
        <w:ind w:left="1800" w:hanging="360"/>
      </w:pPr>
      <w:rPr>
        <w:rFonts w:hint="default"/>
      </w:rPr>
    </w:lvl>
    <w:lvl w:ilvl="2" w:tplc="8730A810">
      <w:start w:val="6"/>
      <w:numFmt w:val="bullet"/>
      <w:lvlText w:val="•"/>
      <w:lvlJc w:val="left"/>
      <w:pPr>
        <w:ind w:left="2700" w:hanging="360"/>
      </w:pPr>
      <w:rPr>
        <w:rFonts w:ascii="Arial Narrow" w:eastAsiaTheme="minorHAnsi" w:hAnsi="Arial Narrow" w:cstheme="minorBid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D807FB9"/>
    <w:multiLevelType w:val="hybridMultilevel"/>
    <w:tmpl w:val="4E1E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660F0"/>
    <w:multiLevelType w:val="hybridMultilevel"/>
    <w:tmpl w:val="4E98B778"/>
    <w:lvl w:ilvl="0" w:tplc="8FE6CF42">
      <w:start w:val="6"/>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D348E7"/>
    <w:multiLevelType w:val="hybridMultilevel"/>
    <w:tmpl w:val="EFCE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50F07"/>
    <w:multiLevelType w:val="hybridMultilevel"/>
    <w:tmpl w:val="9AAC3F8A"/>
    <w:lvl w:ilvl="0" w:tplc="8FE6CF42">
      <w:start w:val="6"/>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A3C1C"/>
    <w:multiLevelType w:val="hybridMultilevel"/>
    <w:tmpl w:val="745C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029990569">
    <w:abstractNumId w:val="13"/>
  </w:num>
  <w:num w:numId="2" w16cid:durableId="1868174847">
    <w:abstractNumId w:val="27"/>
  </w:num>
  <w:num w:numId="3" w16cid:durableId="1762793063">
    <w:abstractNumId w:val="1"/>
  </w:num>
  <w:num w:numId="4" w16cid:durableId="169301368">
    <w:abstractNumId w:val="7"/>
  </w:num>
  <w:num w:numId="5" w16cid:durableId="59209805">
    <w:abstractNumId w:val="26"/>
  </w:num>
  <w:num w:numId="6" w16cid:durableId="941838480">
    <w:abstractNumId w:val="9"/>
  </w:num>
  <w:num w:numId="7" w16cid:durableId="1997147282">
    <w:abstractNumId w:val="10"/>
  </w:num>
  <w:num w:numId="8" w16cid:durableId="2023631574">
    <w:abstractNumId w:val="12"/>
  </w:num>
  <w:num w:numId="9" w16cid:durableId="1157380286">
    <w:abstractNumId w:val="19"/>
  </w:num>
  <w:num w:numId="10" w16cid:durableId="920064184">
    <w:abstractNumId w:val="20"/>
  </w:num>
  <w:num w:numId="11" w16cid:durableId="647324416">
    <w:abstractNumId w:val="11"/>
  </w:num>
  <w:num w:numId="12" w16cid:durableId="30108249">
    <w:abstractNumId w:val="25"/>
  </w:num>
  <w:num w:numId="13" w16cid:durableId="1249851828">
    <w:abstractNumId w:val="23"/>
  </w:num>
  <w:num w:numId="14" w16cid:durableId="290136040">
    <w:abstractNumId w:val="0"/>
  </w:num>
  <w:num w:numId="15" w16cid:durableId="333806252">
    <w:abstractNumId w:val="18"/>
  </w:num>
  <w:num w:numId="16" w16cid:durableId="8145539">
    <w:abstractNumId w:val="3"/>
  </w:num>
  <w:num w:numId="17" w16cid:durableId="20858125">
    <w:abstractNumId w:val="24"/>
  </w:num>
  <w:num w:numId="18" w16cid:durableId="2129080569">
    <w:abstractNumId w:val="21"/>
  </w:num>
  <w:num w:numId="19" w16cid:durableId="62025668">
    <w:abstractNumId w:val="4"/>
  </w:num>
  <w:num w:numId="20" w16cid:durableId="397360959">
    <w:abstractNumId w:val="22"/>
  </w:num>
  <w:num w:numId="21" w16cid:durableId="164783012">
    <w:abstractNumId w:val="6"/>
  </w:num>
  <w:num w:numId="22" w16cid:durableId="1031340903">
    <w:abstractNumId w:val="15"/>
  </w:num>
  <w:num w:numId="23" w16cid:durableId="864902626">
    <w:abstractNumId w:val="2"/>
  </w:num>
  <w:num w:numId="24" w16cid:durableId="594048937">
    <w:abstractNumId w:val="5"/>
  </w:num>
  <w:num w:numId="25" w16cid:durableId="1882473416">
    <w:abstractNumId w:val="8"/>
  </w:num>
  <w:num w:numId="26" w16cid:durableId="372508097">
    <w:abstractNumId w:val="14"/>
  </w:num>
  <w:num w:numId="27" w16cid:durableId="575015644">
    <w:abstractNumId w:val="16"/>
  </w:num>
  <w:num w:numId="28" w16cid:durableId="497237773">
    <w:abstractNumId w:val="17"/>
  </w:num>
  <w:num w:numId="29" w16cid:durableId="153006996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4E"/>
    <w:rsid w:val="0000020A"/>
    <w:rsid w:val="0000088C"/>
    <w:rsid w:val="000008F1"/>
    <w:rsid w:val="000009C2"/>
    <w:rsid w:val="00000D93"/>
    <w:rsid w:val="00000FEB"/>
    <w:rsid w:val="0000109A"/>
    <w:rsid w:val="0000143E"/>
    <w:rsid w:val="000014A1"/>
    <w:rsid w:val="0000174F"/>
    <w:rsid w:val="000018EE"/>
    <w:rsid w:val="00001AB0"/>
    <w:rsid w:val="00001AE6"/>
    <w:rsid w:val="00001D55"/>
    <w:rsid w:val="00001DED"/>
    <w:rsid w:val="000020BE"/>
    <w:rsid w:val="000022F2"/>
    <w:rsid w:val="00002474"/>
    <w:rsid w:val="00002A38"/>
    <w:rsid w:val="00002BE2"/>
    <w:rsid w:val="00002F2A"/>
    <w:rsid w:val="00002F43"/>
    <w:rsid w:val="000031E8"/>
    <w:rsid w:val="00003814"/>
    <w:rsid w:val="00003A51"/>
    <w:rsid w:val="00003E04"/>
    <w:rsid w:val="00004599"/>
    <w:rsid w:val="0000459A"/>
    <w:rsid w:val="00004701"/>
    <w:rsid w:val="00004D69"/>
    <w:rsid w:val="00004E05"/>
    <w:rsid w:val="00004E53"/>
    <w:rsid w:val="00004F14"/>
    <w:rsid w:val="00004F7F"/>
    <w:rsid w:val="000054C9"/>
    <w:rsid w:val="0000556F"/>
    <w:rsid w:val="0000558E"/>
    <w:rsid w:val="0000578A"/>
    <w:rsid w:val="000059DD"/>
    <w:rsid w:val="00005CA8"/>
    <w:rsid w:val="000064C9"/>
    <w:rsid w:val="00006904"/>
    <w:rsid w:val="00006C72"/>
    <w:rsid w:val="00006EB4"/>
    <w:rsid w:val="00007C80"/>
    <w:rsid w:val="000101AA"/>
    <w:rsid w:val="000101DC"/>
    <w:rsid w:val="000103EB"/>
    <w:rsid w:val="00010AC4"/>
    <w:rsid w:val="00010B11"/>
    <w:rsid w:val="00010DF7"/>
    <w:rsid w:val="00011568"/>
    <w:rsid w:val="00011613"/>
    <w:rsid w:val="00011697"/>
    <w:rsid w:val="0001170F"/>
    <w:rsid w:val="00011AC8"/>
    <w:rsid w:val="000121FB"/>
    <w:rsid w:val="0001250D"/>
    <w:rsid w:val="00012FDD"/>
    <w:rsid w:val="00013761"/>
    <w:rsid w:val="00013B7E"/>
    <w:rsid w:val="000140E9"/>
    <w:rsid w:val="0001413C"/>
    <w:rsid w:val="0001470C"/>
    <w:rsid w:val="00014974"/>
    <w:rsid w:val="00014C85"/>
    <w:rsid w:val="00015EC9"/>
    <w:rsid w:val="00016601"/>
    <w:rsid w:val="00016880"/>
    <w:rsid w:val="0001694F"/>
    <w:rsid w:val="00016A9B"/>
    <w:rsid w:val="00016B57"/>
    <w:rsid w:val="00017034"/>
    <w:rsid w:val="000177EF"/>
    <w:rsid w:val="00017CA3"/>
    <w:rsid w:val="00017D1F"/>
    <w:rsid w:val="00017F6F"/>
    <w:rsid w:val="000205BE"/>
    <w:rsid w:val="00020C4F"/>
    <w:rsid w:val="00020FD7"/>
    <w:rsid w:val="000211D9"/>
    <w:rsid w:val="00021369"/>
    <w:rsid w:val="00021F65"/>
    <w:rsid w:val="00022232"/>
    <w:rsid w:val="0002245C"/>
    <w:rsid w:val="000228B8"/>
    <w:rsid w:val="000229AD"/>
    <w:rsid w:val="0002336E"/>
    <w:rsid w:val="000237BB"/>
    <w:rsid w:val="0002381B"/>
    <w:rsid w:val="00023838"/>
    <w:rsid w:val="00023E98"/>
    <w:rsid w:val="000240AB"/>
    <w:rsid w:val="0002471B"/>
    <w:rsid w:val="00024C16"/>
    <w:rsid w:val="00024C8A"/>
    <w:rsid w:val="00024EA5"/>
    <w:rsid w:val="00025170"/>
    <w:rsid w:val="0002530B"/>
    <w:rsid w:val="00025684"/>
    <w:rsid w:val="00025781"/>
    <w:rsid w:val="000259DD"/>
    <w:rsid w:val="000260B6"/>
    <w:rsid w:val="00026C2E"/>
    <w:rsid w:val="00026FBF"/>
    <w:rsid w:val="00026FE9"/>
    <w:rsid w:val="00027483"/>
    <w:rsid w:val="0002755F"/>
    <w:rsid w:val="000277CD"/>
    <w:rsid w:val="000279D0"/>
    <w:rsid w:val="000305FC"/>
    <w:rsid w:val="00030727"/>
    <w:rsid w:val="000307C0"/>
    <w:rsid w:val="000307D6"/>
    <w:rsid w:val="00030988"/>
    <w:rsid w:val="00030ED1"/>
    <w:rsid w:val="000316A0"/>
    <w:rsid w:val="0003186B"/>
    <w:rsid w:val="00031A75"/>
    <w:rsid w:val="00031B47"/>
    <w:rsid w:val="00032663"/>
    <w:rsid w:val="00032880"/>
    <w:rsid w:val="000338B6"/>
    <w:rsid w:val="00033BEF"/>
    <w:rsid w:val="00033F5B"/>
    <w:rsid w:val="0003423A"/>
    <w:rsid w:val="0003477F"/>
    <w:rsid w:val="0003487E"/>
    <w:rsid w:val="00034FC7"/>
    <w:rsid w:val="0003504D"/>
    <w:rsid w:val="00035BAB"/>
    <w:rsid w:val="00036271"/>
    <w:rsid w:val="0003628E"/>
    <w:rsid w:val="00036AD8"/>
    <w:rsid w:val="00037037"/>
    <w:rsid w:val="00037253"/>
    <w:rsid w:val="00037302"/>
    <w:rsid w:val="000373B2"/>
    <w:rsid w:val="00037AC6"/>
    <w:rsid w:val="0004005D"/>
    <w:rsid w:val="0004056F"/>
    <w:rsid w:val="000405EC"/>
    <w:rsid w:val="00040AA2"/>
    <w:rsid w:val="00040ADF"/>
    <w:rsid w:val="00040CC7"/>
    <w:rsid w:val="00040DF2"/>
    <w:rsid w:val="00040F87"/>
    <w:rsid w:val="00040FB4"/>
    <w:rsid w:val="00041668"/>
    <w:rsid w:val="0004178C"/>
    <w:rsid w:val="00041814"/>
    <w:rsid w:val="000418E4"/>
    <w:rsid w:val="00041B47"/>
    <w:rsid w:val="00041F5D"/>
    <w:rsid w:val="000422DB"/>
    <w:rsid w:val="00042312"/>
    <w:rsid w:val="000423BB"/>
    <w:rsid w:val="0004254B"/>
    <w:rsid w:val="00043614"/>
    <w:rsid w:val="000436B9"/>
    <w:rsid w:val="000438F0"/>
    <w:rsid w:val="00043A8C"/>
    <w:rsid w:val="00043E30"/>
    <w:rsid w:val="00044118"/>
    <w:rsid w:val="000441AC"/>
    <w:rsid w:val="000443A6"/>
    <w:rsid w:val="00044611"/>
    <w:rsid w:val="000449D1"/>
    <w:rsid w:val="00044DCD"/>
    <w:rsid w:val="000451CC"/>
    <w:rsid w:val="00045213"/>
    <w:rsid w:val="00045AB5"/>
    <w:rsid w:val="00045B14"/>
    <w:rsid w:val="00045B8D"/>
    <w:rsid w:val="00045CC5"/>
    <w:rsid w:val="00046B6A"/>
    <w:rsid w:val="000472D4"/>
    <w:rsid w:val="00047990"/>
    <w:rsid w:val="00047A91"/>
    <w:rsid w:val="00047B50"/>
    <w:rsid w:val="00047B80"/>
    <w:rsid w:val="0005023B"/>
    <w:rsid w:val="000503FE"/>
    <w:rsid w:val="00050929"/>
    <w:rsid w:val="00050B48"/>
    <w:rsid w:val="00050CFC"/>
    <w:rsid w:val="0005102B"/>
    <w:rsid w:val="00051BA4"/>
    <w:rsid w:val="000528E2"/>
    <w:rsid w:val="00052A06"/>
    <w:rsid w:val="00052B44"/>
    <w:rsid w:val="00052DB7"/>
    <w:rsid w:val="00052DD3"/>
    <w:rsid w:val="00052E08"/>
    <w:rsid w:val="00053089"/>
    <w:rsid w:val="0005321B"/>
    <w:rsid w:val="0005326D"/>
    <w:rsid w:val="00053744"/>
    <w:rsid w:val="000538D2"/>
    <w:rsid w:val="0005396C"/>
    <w:rsid w:val="00053A3A"/>
    <w:rsid w:val="00053F6C"/>
    <w:rsid w:val="00054116"/>
    <w:rsid w:val="0005472E"/>
    <w:rsid w:val="00054BE6"/>
    <w:rsid w:val="00054E9D"/>
    <w:rsid w:val="00054F15"/>
    <w:rsid w:val="00054F57"/>
    <w:rsid w:val="00055419"/>
    <w:rsid w:val="00055761"/>
    <w:rsid w:val="000558BC"/>
    <w:rsid w:val="00055EAF"/>
    <w:rsid w:val="00055ED8"/>
    <w:rsid w:val="000568B5"/>
    <w:rsid w:val="00056F9C"/>
    <w:rsid w:val="000570BC"/>
    <w:rsid w:val="0005727F"/>
    <w:rsid w:val="0005771E"/>
    <w:rsid w:val="00057AEB"/>
    <w:rsid w:val="00060782"/>
    <w:rsid w:val="0006088C"/>
    <w:rsid w:val="0006089E"/>
    <w:rsid w:val="00060978"/>
    <w:rsid w:val="00060A3D"/>
    <w:rsid w:val="00060EAD"/>
    <w:rsid w:val="00060FF2"/>
    <w:rsid w:val="00061A38"/>
    <w:rsid w:val="00061DAA"/>
    <w:rsid w:val="00061F83"/>
    <w:rsid w:val="000621C9"/>
    <w:rsid w:val="00062252"/>
    <w:rsid w:val="0006252E"/>
    <w:rsid w:val="00062915"/>
    <w:rsid w:val="00062F32"/>
    <w:rsid w:val="0006339C"/>
    <w:rsid w:val="00063407"/>
    <w:rsid w:val="00063CF5"/>
    <w:rsid w:val="00063D57"/>
    <w:rsid w:val="00064783"/>
    <w:rsid w:val="000647C2"/>
    <w:rsid w:val="00064BF0"/>
    <w:rsid w:val="00064CBD"/>
    <w:rsid w:val="00064D57"/>
    <w:rsid w:val="00065514"/>
    <w:rsid w:val="00065AE7"/>
    <w:rsid w:val="000661A3"/>
    <w:rsid w:val="000664B5"/>
    <w:rsid w:val="00066AB4"/>
    <w:rsid w:val="000670AF"/>
    <w:rsid w:val="0006757A"/>
    <w:rsid w:val="00067A1E"/>
    <w:rsid w:val="00067D83"/>
    <w:rsid w:val="000700B8"/>
    <w:rsid w:val="00070193"/>
    <w:rsid w:val="0007021F"/>
    <w:rsid w:val="0007096A"/>
    <w:rsid w:val="000709A0"/>
    <w:rsid w:val="000718AA"/>
    <w:rsid w:val="00071B41"/>
    <w:rsid w:val="00071C2F"/>
    <w:rsid w:val="00071D88"/>
    <w:rsid w:val="0007211A"/>
    <w:rsid w:val="00072262"/>
    <w:rsid w:val="00072FF6"/>
    <w:rsid w:val="0007323F"/>
    <w:rsid w:val="00073581"/>
    <w:rsid w:val="00073683"/>
    <w:rsid w:val="00073B38"/>
    <w:rsid w:val="00073BC7"/>
    <w:rsid w:val="00074026"/>
    <w:rsid w:val="00074199"/>
    <w:rsid w:val="00074275"/>
    <w:rsid w:val="000742C0"/>
    <w:rsid w:val="00074587"/>
    <w:rsid w:val="000745FB"/>
    <w:rsid w:val="00074B53"/>
    <w:rsid w:val="00074EEA"/>
    <w:rsid w:val="00075E5E"/>
    <w:rsid w:val="00076038"/>
    <w:rsid w:val="00076405"/>
    <w:rsid w:val="00076C68"/>
    <w:rsid w:val="00076D79"/>
    <w:rsid w:val="000776E1"/>
    <w:rsid w:val="0008005A"/>
    <w:rsid w:val="00080098"/>
    <w:rsid w:val="00080241"/>
    <w:rsid w:val="0008050E"/>
    <w:rsid w:val="000806AB"/>
    <w:rsid w:val="00080FE1"/>
    <w:rsid w:val="00081390"/>
    <w:rsid w:val="00081549"/>
    <w:rsid w:val="0008161D"/>
    <w:rsid w:val="00081778"/>
    <w:rsid w:val="00081B6C"/>
    <w:rsid w:val="00081C10"/>
    <w:rsid w:val="00081C40"/>
    <w:rsid w:val="00081C47"/>
    <w:rsid w:val="00081E9D"/>
    <w:rsid w:val="00081F93"/>
    <w:rsid w:val="000826B5"/>
    <w:rsid w:val="00082AD9"/>
    <w:rsid w:val="00082B10"/>
    <w:rsid w:val="0008306B"/>
    <w:rsid w:val="00083FCB"/>
    <w:rsid w:val="00084569"/>
    <w:rsid w:val="00084E9A"/>
    <w:rsid w:val="00085E7A"/>
    <w:rsid w:val="00086581"/>
    <w:rsid w:val="000870B6"/>
    <w:rsid w:val="00087340"/>
    <w:rsid w:val="00087427"/>
    <w:rsid w:val="0008743C"/>
    <w:rsid w:val="00087526"/>
    <w:rsid w:val="00087D98"/>
    <w:rsid w:val="00087E23"/>
    <w:rsid w:val="00087E24"/>
    <w:rsid w:val="00087F5B"/>
    <w:rsid w:val="000900C4"/>
    <w:rsid w:val="00090219"/>
    <w:rsid w:val="0009030E"/>
    <w:rsid w:val="00090569"/>
    <w:rsid w:val="00090613"/>
    <w:rsid w:val="00090952"/>
    <w:rsid w:val="00090B8D"/>
    <w:rsid w:val="00090BD1"/>
    <w:rsid w:val="00091857"/>
    <w:rsid w:val="00091AFC"/>
    <w:rsid w:val="00091BAB"/>
    <w:rsid w:val="00091C59"/>
    <w:rsid w:val="0009228D"/>
    <w:rsid w:val="00092A21"/>
    <w:rsid w:val="00092E32"/>
    <w:rsid w:val="0009346C"/>
    <w:rsid w:val="000937C6"/>
    <w:rsid w:val="00093D9A"/>
    <w:rsid w:val="000944EF"/>
    <w:rsid w:val="0009460F"/>
    <w:rsid w:val="00094656"/>
    <w:rsid w:val="000949F7"/>
    <w:rsid w:val="00094A03"/>
    <w:rsid w:val="000952B3"/>
    <w:rsid w:val="000953C3"/>
    <w:rsid w:val="000954AE"/>
    <w:rsid w:val="000956E9"/>
    <w:rsid w:val="000960AC"/>
    <w:rsid w:val="00096205"/>
    <w:rsid w:val="000965A4"/>
    <w:rsid w:val="0009661A"/>
    <w:rsid w:val="00096B52"/>
    <w:rsid w:val="0009718D"/>
    <w:rsid w:val="000972AA"/>
    <w:rsid w:val="00097B3E"/>
    <w:rsid w:val="000A03D5"/>
    <w:rsid w:val="000A05D4"/>
    <w:rsid w:val="000A07B9"/>
    <w:rsid w:val="000A0901"/>
    <w:rsid w:val="000A0BAD"/>
    <w:rsid w:val="000A0F37"/>
    <w:rsid w:val="000A10BF"/>
    <w:rsid w:val="000A15EF"/>
    <w:rsid w:val="000A1813"/>
    <w:rsid w:val="000A230A"/>
    <w:rsid w:val="000A2ACD"/>
    <w:rsid w:val="000A2B65"/>
    <w:rsid w:val="000A2CCE"/>
    <w:rsid w:val="000A2DA8"/>
    <w:rsid w:val="000A2F6E"/>
    <w:rsid w:val="000A3039"/>
    <w:rsid w:val="000A3127"/>
    <w:rsid w:val="000A329C"/>
    <w:rsid w:val="000A35AC"/>
    <w:rsid w:val="000A3872"/>
    <w:rsid w:val="000A44D2"/>
    <w:rsid w:val="000A484C"/>
    <w:rsid w:val="000A49C5"/>
    <w:rsid w:val="000A4A61"/>
    <w:rsid w:val="000A4B80"/>
    <w:rsid w:val="000A4E3B"/>
    <w:rsid w:val="000A4FD4"/>
    <w:rsid w:val="000A502C"/>
    <w:rsid w:val="000A59A8"/>
    <w:rsid w:val="000A5C47"/>
    <w:rsid w:val="000A629E"/>
    <w:rsid w:val="000A6343"/>
    <w:rsid w:val="000A65CC"/>
    <w:rsid w:val="000A6654"/>
    <w:rsid w:val="000A67AD"/>
    <w:rsid w:val="000A68BB"/>
    <w:rsid w:val="000A692D"/>
    <w:rsid w:val="000A699D"/>
    <w:rsid w:val="000A6B30"/>
    <w:rsid w:val="000A7226"/>
    <w:rsid w:val="000B00D1"/>
    <w:rsid w:val="000B020D"/>
    <w:rsid w:val="000B06B8"/>
    <w:rsid w:val="000B0772"/>
    <w:rsid w:val="000B07FB"/>
    <w:rsid w:val="000B0AFE"/>
    <w:rsid w:val="000B1315"/>
    <w:rsid w:val="000B1342"/>
    <w:rsid w:val="000B13CC"/>
    <w:rsid w:val="000B1438"/>
    <w:rsid w:val="000B146E"/>
    <w:rsid w:val="000B1481"/>
    <w:rsid w:val="000B170B"/>
    <w:rsid w:val="000B1C91"/>
    <w:rsid w:val="000B1CC5"/>
    <w:rsid w:val="000B1DD4"/>
    <w:rsid w:val="000B1F77"/>
    <w:rsid w:val="000B2003"/>
    <w:rsid w:val="000B2C87"/>
    <w:rsid w:val="000B301F"/>
    <w:rsid w:val="000B3330"/>
    <w:rsid w:val="000B3389"/>
    <w:rsid w:val="000B33C6"/>
    <w:rsid w:val="000B37F3"/>
    <w:rsid w:val="000B390A"/>
    <w:rsid w:val="000B475B"/>
    <w:rsid w:val="000B4D82"/>
    <w:rsid w:val="000B4E19"/>
    <w:rsid w:val="000B4F71"/>
    <w:rsid w:val="000B5183"/>
    <w:rsid w:val="000B5599"/>
    <w:rsid w:val="000B64A7"/>
    <w:rsid w:val="000B6CF0"/>
    <w:rsid w:val="000B6DF3"/>
    <w:rsid w:val="000B720C"/>
    <w:rsid w:val="000B7217"/>
    <w:rsid w:val="000B72A7"/>
    <w:rsid w:val="000B74ED"/>
    <w:rsid w:val="000B7665"/>
    <w:rsid w:val="000B7817"/>
    <w:rsid w:val="000C0358"/>
    <w:rsid w:val="000C06C9"/>
    <w:rsid w:val="000C0B2E"/>
    <w:rsid w:val="000C10C4"/>
    <w:rsid w:val="000C1678"/>
    <w:rsid w:val="000C1D11"/>
    <w:rsid w:val="000C22C0"/>
    <w:rsid w:val="000C267A"/>
    <w:rsid w:val="000C29F8"/>
    <w:rsid w:val="000C2DE7"/>
    <w:rsid w:val="000C2F8C"/>
    <w:rsid w:val="000C32CC"/>
    <w:rsid w:val="000C32FB"/>
    <w:rsid w:val="000C3859"/>
    <w:rsid w:val="000C39B9"/>
    <w:rsid w:val="000C44F1"/>
    <w:rsid w:val="000C45C2"/>
    <w:rsid w:val="000C45F3"/>
    <w:rsid w:val="000C4C1D"/>
    <w:rsid w:val="000C54EC"/>
    <w:rsid w:val="000C552D"/>
    <w:rsid w:val="000C5A27"/>
    <w:rsid w:val="000C5BD4"/>
    <w:rsid w:val="000C5DFE"/>
    <w:rsid w:val="000C6332"/>
    <w:rsid w:val="000C66ED"/>
    <w:rsid w:val="000C6948"/>
    <w:rsid w:val="000C6950"/>
    <w:rsid w:val="000C7201"/>
    <w:rsid w:val="000C7C46"/>
    <w:rsid w:val="000D034E"/>
    <w:rsid w:val="000D0627"/>
    <w:rsid w:val="000D0B43"/>
    <w:rsid w:val="000D102D"/>
    <w:rsid w:val="000D1187"/>
    <w:rsid w:val="000D12AA"/>
    <w:rsid w:val="000D12C9"/>
    <w:rsid w:val="000D1392"/>
    <w:rsid w:val="000D1551"/>
    <w:rsid w:val="000D1927"/>
    <w:rsid w:val="000D1992"/>
    <w:rsid w:val="000D1B52"/>
    <w:rsid w:val="000D1CF1"/>
    <w:rsid w:val="000D1D94"/>
    <w:rsid w:val="000D215B"/>
    <w:rsid w:val="000D22C4"/>
    <w:rsid w:val="000D246D"/>
    <w:rsid w:val="000D2536"/>
    <w:rsid w:val="000D2B96"/>
    <w:rsid w:val="000D3720"/>
    <w:rsid w:val="000D425F"/>
    <w:rsid w:val="000D4C1B"/>
    <w:rsid w:val="000D4DC2"/>
    <w:rsid w:val="000D5523"/>
    <w:rsid w:val="000D55D2"/>
    <w:rsid w:val="000D5689"/>
    <w:rsid w:val="000D5E56"/>
    <w:rsid w:val="000D6007"/>
    <w:rsid w:val="000D6059"/>
    <w:rsid w:val="000D60DA"/>
    <w:rsid w:val="000D6443"/>
    <w:rsid w:val="000D657C"/>
    <w:rsid w:val="000D65C7"/>
    <w:rsid w:val="000D6800"/>
    <w:rsid w:val="000D759F"/>
    <w:rsid w:val="000D7D5A"/>
    <w:rsid w:val="000E0147"/>
    <w:rsid w:val="000E035C"/>
    <w:rsid w:val="000E03DC"/>
    <w:rsid w:val="000E084E"/>
    <w:rsid w:val="000E0B9C"/>
    <w:rsid w:val="000E1124"/>
    <w:rsid w:val="000E12A1"/>
    <w:rsid w:val="000E1521"/>
    <w:rsid w:val="000E1785"/>
    <w:rsid w:val="000E1902"/>
    <w:rsid w:val="000E25BF"/>
    <w:rsid w:val="000E2B17"/>
    <w:rsid w:val="000E2BA5"/>
    <w:rsid w:val="000E3241"/>
    <w:rsid w:val="000E32E6"/>
    <w:rsid w:val="000E3B77"/>
    <w:rsid w:val="000E4254"/>
    <w:rsid w:val="000E4472"/>
    <w:rsid w:val="000E4AD2"/>
    <w:rsid w:val="000E4BF2"/>
    <w:rsid w:val="000E514A"/>
    <w:rsid w:val="000E5350"/>
    <w:rsid w:val="000E5531"/>
    <w:rsid w:val="000E5651"/>
    <w:rsid w:val="000E5689"/>
    <w:rsid w:val="000E5926"/>
    <w:rsid w:val="000E5CB6"/>
    <w:rsid w:val="000E6151"/>
    <w:rsid w:val="000E6410"/>
    <w:rsid w:val="000E65AF"/>
    <w:rsid w:val="000E678B"/>
    <w:rsid w:val="000E7761"/>
    <w:rsid w:val="000E7EB4"/>
    <w:rsid w:val="000F0A67"/>
    <w:rsid w:val="000F13A4"/>
    <w:rsid w:val="000F141F"/>
    <w:rsid w:val="000F1620"/>
    <w:rsid w:val="000F181D"/>
    <w:rsid w:val="000F1823"/>
    <w:rsid w:val="000F1A4C"/>
    <w:rsid w:val="000F2D16"/>
    <w:rsid w:val="000F2DC3"/>
    <w:rsid w:val="000F2E01"/>
    <w:rsid w:val="000F3326"/>
    <w:rsid w:val="000F41E1"/>
    <w:rsid w:val="000F503C"/>
    <w:rsid w:val="000F5854"/>
    <w:rsid w:val="000F5A54"/>
    <w:rsid w:val="000F5B74"/>
    <w:rsid w:val="000F6067"/>
    <w:rsid w:val="000F6251"/>
    <w:rsid w:val="000F6457"/>
    <w:rsid w:val="000F66CA"/>
    <w:rsid w:val="000F6971"/>
    <w:rsid w:val="000F6B87"/>
    <w:rsid w:val="000F73F2"/>
    <w:rsid w:val="000F73F7"/>
    <w:rsid w:val="000F7866"/>
    <w:rsid w:val="000F7987"/>
    <w:rsid w:val="000F7DD4"/>
    <w:rsid w:val="000F7F22"/>
    <w:rsid w:val="0010044A"/>
    <w:rsid w:val="0010051C"/>
    <w:rsid w:val="00100899"/>
    <w:rsid w:val="0010168E"/>
    <w:rsid w:val="00101A58"/>
    <w:rsid w:val="00101A98"/>
    <w:rsid w:val="00102A3C"/>
    <w:rsid w:val="00102B58"/>
    <w:rsid w:val="00103244"/>
    <w:rsid w:val="00103296"/>
    <w:rsid w:val="001033B5"/>
    <w:rsid w:val="0010448B"/>
    <w:rsid w:val="0010457B"/>
    <w:rsid w:val="00104E22"/>
    <w:rsid w:val="001050B4"/>
    <w:rsid w:val="0010521F"/>
    <w:rsid w:val="001059EF"/>
    <w:rsid w:val="00105A8B"/>
    <w:rsid w:val="00105EB8"/>
    <w:rsid w:val="00105F09"/>
    <w:rsid w:val="001060EA"/>
    <w:rsid w:val="0010625A"/>
    <w:rsid w:val="0010693C"/>
    <w:rsid w:val="00107085"/>
    <w:rsid w:val="00107468"/>
    <w:rsid w:val="00107524"/>
    <w:rsid w:val="001077D9"/>
    <w:rsid w:val="00107811"/>
    <w:rsid w:val="0010784D"/>
    <w:rsid w:val="00107B15"/>
    <w:rsid w:val="00107DCD"/>
    <w:rsid w:val="00107E07"/>
    <w:rsid w:val="00107EF0"/>
    <w:rsid w:val="00110047"/>
    <w:rsid w:val="001100F4"/>
    <w:rsid w:val="001101B4"/>
    <w:rsid w:val="00111348"/>
    <w:rsid w:val="00111417"/>
    <w:rsid w:val="0011187F"/>
    <w:rsid w:val="00111980"/>
    <w:rsid w:val="00111AEE"/>
    <w:rsid w:val="00111C25"/>
    <w:rsid w:val="00112BAD"/>
    <w:rsid w:val="00112D5E"/>
    <w:rsid w:val="00112F65"/>
    <w:rsid w:val="0011311B"/>
    <w:rsid w:val="001137C1"/>
    <w:rsid w:val="00113C60"/>
    <w:rsid w:val="00113CAE"/>
    <w:rsid w:val="0011417B"/>
    <w:rsid w:val="00114677"/>
    <w:rsid w:val="001146EC"/>
    <w:rsid w:val="00114C3B"/>
    <w:rsid w:val="0011513B"/>
    <w:rsid w:val="00115547"/>
    <w:rsid w:val="00115691"/>
    <w:rsid w:val="001158A8"/>
    <w:rsid w:val="00115D80"/>
    <w:rsid w:val="00115F32"/>
    <w:rsid w:val="00116286"/>
    <w:rsid w:val="00117039"/>
    <w:rsid w:val="001175B4"/>
    <w:rsid w:val="001178C1"/>
    <w:rsid w:val="00117F04"/>
    <w:rsid w:val="00120383"/>
    <w:rsid w:val="00120697"/>
    <w:rsid w:val="0012092D"/>
    <w:rsid w:val="00120BD3"/>
    <w:rsid w:val="00120BF0"/>
    <w:rsid w:val="00120C51"/>
    <w:rsid w:val="00121DEB"/>
    <w:rsid w:val="001222EE"/>
    <w:rsid w:val="001223A4"/>
    <w:rsid w:val="00122AE3"/>
    <w:rsid w:val="00122EE1"/>
    <w:rsid w:val="0012309A"/>
    <w:rsid w:val="00123368"/>
    <w:rsid w:val="00123658"/>
    <w:rsid w:val="001237AF"/>
    <w:rsid w:val="00124106"/>
    <w:rsid w:val="001247EB"/>
    <w:rsid w:val="00124A72"/>
    <w:rsid w:val="00124AF8"/>
    <w:rsid w:val="00124F3C"/>
    <w:rsid w:val="001250A2"/>
    <w:rsid w:val="0012534C"/>
    <w:rsid w:val="001254A3"/>
    <w:rsid w:val="00125641"/>
    <w:rsid w:val="00125B61"/>
    <w:rsid w:val="00126122"/>
    <w:rsid w:val="0012630E"/>
    <w:rsid w:val="00126634"/>
    <w:rsid w:val="001271ED"/>
    <w:rsid w:val="0012764F"/>
    <w:rsid w:val="001301BC"/>
    <w:rsid w:val="001304C6"/>
    <w:rsid w:val="00130586"/>
    <w:rsid w:val="001305B7"/>
    <w:rsid w:val="001309B0"/>
    <w:rsid w:val="00130A99"/>
    <w:rsid w:val="00130B7B"/>
    <w:rsid w:val="00130C22"/>
    <w:rsid w:val="0013124F"/>
    <w:rsid w:val="00131AC0"/>
    <w:rsid w:val="00131D45"/>
    <w:rsid w:val="00131DD1"/>
    <w:rsid w:val="001320F0"/>
    <w:rsid w:val="00132534"/>
    <w:rsid w:val="001327D3"/>
    <w:rsid w:val="0013294A"/>
    <w:rsid w:val="00132B85"/>
    <w:rsid w:val="00132C1A"/>
    <w:rsid w:val="0013319F"/>
    <w:rsid w:val="0013343D"/>
    <w:rsid w:val="00133653"/>
    <w:rsid w:val="001336D2"/>
    <w:rsid w:val="001336E0"/>
    <w:rsid w:val="00133797"/>
    <w:rsid w:val="00133969"/>
    <w:rsid w:val="00133BE7"/>
    <w:rsid w:val="00133D99"/>
    <w:rsid w:val="00133F15"/>
    <w:rsid w:val="00133F34"/>
    <w:rsid w:val="001342D5"/>
    <w:rsid w:val="00134824"/>
    <w:rsid w:val="00134CE4"/>
    <w:rsid w:val="00134F4B"/>
    <w:rsid w:val="00135050"/>
    <w:rsid w:val="00135273"/>
    <w:rsid w:val="0013535E"/>
    <w:rsid w:val="001356DF"/>
    <w:rsid w:val="00135B4A"/>
    <w:rsid w:val="00135E3D"/>
    <w:rsid w:val="00135FA2"/>
    <w:rsid w:val="00135FC9"/>
    <w:rsid w:val="00136DC9"/>
    <w:rsid w:val="001371FA"/>
    <w:rsid w:val="001409C6"/>
    <w:rsid w:val="00140F3B"/>
    <w:rsid w:val="001412D6"/>
    <w:rsid w:val="00141466"/>
    <w:rsid w:val="001416A6"/>
    <w:rsid w:val="00141F8C"/>
    <w:rsid w:val="0014267F"/>
    <w:rsid w:val="00142932"/>
    <w:rsid w:val="00142AD3"/>
    <w:rsid w:val="00142E36"/>
    <w:rsid w:val="00142F25"/>
    <w:rsid w:val="00143478"/>
    <w:rsid w:val="001436DA"/>
    <w:rsid w:val="00143829"/>
    <w:rsid w:val="00143F2F"/>
    <w:rsid w:val="001442AB"/>
    <w:rsid w:val="0014551C"/>
    <w:rsid w:val="00145AAD"/>
    <w:rsid w:val="00145FBD"/>
    <w:rsid w:val="0014615F"/>
    <w:rsid w:val="00146624"/>
    <w:rsid w:val="00146F63"/>
    <w:rsid w:val="00147112"/>
    <w:rsid w:val="001473E6"/>
    <w:rsid w:val="00147494"/>
    <w:rsid w:val="0014757B"/>
    <w:rsid w:val="001476CF"/>
    <w:rsid w:val="00147704"/>
    <w:rsid w:val="00147ACA"/>
    <w:rsid w:val="00150376"/>
    <w:rsid w:val="00150D35"/>
    <w:rsid w:val="00150E0A"/>
    <w:rsid w:val="0015164D"/>
    <w:rsid w:val="001519A1"/>
    <w:rsid w:val="001519AB"/>
    <w:rsid w:val="00151B0B"/>
    <w:rsid w:val="00151B18"/>
    <w:rsid w:val="00151DBD"/>
    <w:rsid w:val="00152250"/>
    <w:rsid w:val="0015262F"/>
    <w:rsid w:val="0015279A"/>
    <w:rsid w:val="00152873"/>
    <w:rsid w:val="00152BA5"/>
    <w:rsid w:val="001531D6"/>
    <w:rsid w:val="00153725"/>
    <w:rsid w:val="00153E40"/>
    <w:rsid w:val="00153FDD"/>
    <w:rsid w:val="0015431F"/>
    <w:rsid w:val="00155434"/>
    <w:rsid w:val="00155BDA"/>
    <w:rsid w:val="00155FBC"/>
    <w:rsid w:val="0015614C"/>
    <w:rsid w:val="00156FA7"/>
    <w:rsid w:val="001573F5"/>
    <w:rsid w:val="00157619"/>
    <w:rsid w:val="001576AE"/>
    <w:rsid w:val="001576B7"/>
    <w:rsid w:val="00157906"/>
    <w:rsid w:val="00157963"/>
    <w:rsid w:val="00157C87"/>
    <w:rsid w:val="0016015F"/>
    <w:rsid w:val="0016021B"/>
    <w:rsid w:val="0016023A"/>
    <w:rsid w:val="001611A4"/>
    <w:rsid w:val="001619BF"/>
    <w:rsid w:val="001625CB"/>
    <w:rsid w:val="001629AC"/>
    <w:rsid w:val="00162A47"/>
    <w:rsid w:val="00162DBF"/>
    <w:rsid w:val="00162E48"/>
    <w:rsid w:val="00163138"/>
    <w:rsid w:val="00163447"/>
    <w:rsid w:val="001637B9"/>
    <w:rsid w:val="00163D58"/>
    <w:rsid w:val="00164127"/>
    <w:rsid w:val="00164377"/>
    <w:rsid w:val="0016487D"/>
    <w:rsid w:val="00164CF8"/>
    <w:rsid w:val="00164DD4"/>
    <w:rsid w:val="00165157"/>
    <w:rsid w:val="00165310"/>
    <w:rsid w:val="001653AE"/>
    <w:rsid w:val="001669EE"/>
    <w:rsid w:val="001670BC"/>
    <w:rsid w:val="001677B9"/>
    <w:rsid w:val="00167CB2"/>
    <w:rsid w:val="00167D27"/>
    <w:rsid w:val="0017000B"/>
    <w:rsid w:val="001703AE"/>
    <w:rsid w:val="00170745"/>
    <w:rsid w:val="00170800"/>
    <w:rsid w:val="00170C76"/>
    <w:rsid w:val="00170D5B"/>
    <w:rsid w:val="00170F96"/>
    <w:rsid w:val="0017156E"/>
    <w:rsid w:val="00171BB8"/>
    <w:rsid w:val="00171D44"/>
    <w:rsid w:val="00171D76"/>
    <w:rsid w:val="001720AA"/>
    <w:rsid w:val="00172807"/>
    <w:rsid w:val="00172866"/>
    <w:rsid w:val="001728CF"/>
    <w:rsid w:val="00172B8F"/>
    <w:rsid w:val="0017316C"/>
    <w:rsid w:val="00173343"/>
    <w:rsid w:val="001736F8"/>
    <w:rsid w:val="001737A6"/>
    <w:rsid w:val="00173D85"/>
    <w:rsid w:val="0017404D"/>
    <w:rsid w:val="001743EA"/>
    <w:rsid w:val="00174BE3"/>
    <w:rsid w:val="00174E01"/>
    <w:rsid w:val="00174ECD"/>
    <w:rsid w:val="00174F82"/>
    <w:rsid w:val="00174FD4"/>
    <w:rsid w:val="00175267"/>
    <w:rsid w:val="001755E9"/>
    <w:rsid w:val="00175A0F"/>
    <w:rsid w:val="00175DC3"/>
    <w:rsid w:val="0017699E"/>
    <w:rsid w:val="00176DEB"/>
    <w:rsid w:val="001771DD"/>
    <w:rsid w:val="00177455"/>
    <w:rsid w:val="00177951"/>
    <w:rsid w:val="0018067F"/>
    <w:rsid w:val="00180837"/>
    <w:rsid w:val="001808DF"/>
    <w:rsid w:val="00180916"/>
    <w:rsid w:val="00181035"/>
    <w:rsid w:val="00181BA2"/>
    <w:rsid w:val="001820FB"/>
    <w:rsid w:val="0018254F"/>
    <w:rsid w:val="001831E2"/>
    <w:rsid w:val="00183326"/>
    <w:rsid w:val="00183A5E"/>
    <w:rsid w:val="00183B6A"/>
    <w:rsid w:val="001848C7"/>
    <w:rsid w:val="00184947"/>
    <w:rsid w:val="00184BAE"/>
    <w:rsid w:val="00184CCF"/>
    <w:rsid w:val="00184D7C"/>
    <w:rsid w:val="00184F76"/>
    <w:rsid w:val="00185073"/>
    <w:rsid w:val="001851BD"/>
    <w:rsid w:val="001855E2"/>
    <w:rsid w:val="001857CC"/>
    <w:rsid w:val="00185B3B"/>
    <w:rsid w:val="00186417"/>
    <w:rsid w:val="00186C1D"/>
    <w:rsid w:val="00186E78"/>
    <w:rsid w:val="00186F6E"/>
    <w:rsid w:val="00187132"/>
    <w:rsid w:val="001872A4"/>
    <w:rsid w:val="0018737D"/>
    <w:rsid w:val="0018769C"/>
    <w:rsid w:val="00187861"/>
    <w:rsid w:val="00187A29"/>
    <w:rsid w:val="00187A45"/>
    <w:rsid w:val="001902AB"/>
    <w:rsid w:val="00190E73"/>
    <w:rsid w:val="001910AF"/>
    <w:rsid w:val="0019123E"/>
    <w:rsid w:val="00191E58"/>
    <w:rsid w:val="00192E09"/>
    <w:rsid w:val="00193023"/>
    <w:rsid w:val="0019362A"/>
    <w:rsid w:val="00194400"/>
    <w:rsid w:val="0019474E"/>
    <w:rsid w:val="00194B34"/>
    <w:rsid w:val="001950DC"/>
    <w:rsid w:val="00195693"/>
    <w:rsid w:val="00195728"/>
    <w:rsid w:val="001957D0"/>
    <w:rsid w:val="001959B1"/>
    <w:rsid w:val="00196381"/>
    <w:rsid w:val="001963ED"/>
    <w:rsid w:val="001968E7"/>
    <w:rsid w:val="001970C0"/>
    <w:rsid w:val="001A0357"/>
    <w:rsid w:val="001A04C7"/>
    <w:rsid w:val="001A09E9"/>
    <w:rsid w:val="001A0C2A"/>
    <w:rsid w:val="001A0CC3"/>
    <w:rsid w:val="001A0D64"/>
    <w:rsid w:val="001A1079"/>
    <w:rsid w:val="001A115E"/>
    <w:rsid w:val="001A1537"/>
    <w:rsid w:val="001A1B3F"/>
    <w:rsid w:val="001A1CB7"/>
    <w:rsid w:val="001A2AF5"/>
    <w:rsid w:val="001A2B75"/>
    <w:rsid w:val="001A2E6E"/>
    <w:rsid w:val="001A420B"/>
    <w:rsid w:val="001A4808"/>
    <w:rsid w:val="001A4ADC"/>
    <w:rsid w:val="001A4B2F"/>
    <w:rsid w:val="001A4B97"/>
    <w:rsid w:val="001A4C64"/>
    <w:rsid w:val="001A4F7D"/>
    <w:rsid w:val="001A529C"/>
    <w:rsid w:val="001A543B"/>
    <w:rsid w:val="001A5814"/>
    <w:rsid w:val="001A5B07"/>
    <w:rsid w:val="001A600F"/>
    <w:rsid w:val="001A6453"/>
    <w:rsid w:val="001A6638"/>
    <w:rsid w:val="001A6795"/>
    <w:rsid w:val="001A695F"/>
    <w:rsid w:val="001A6979"/>
    <w:rsid w:val="001A6B19"/>
    <w:rsid w:val="001A6CA3"/>
    <w:rsid w:val="001A6D5A"/>
    <w:rsid w:val="001A6ED2"/>
    <w:rsid w:val="001A708D"/>
    <w:rsid w:val="001A763D"/>
    <w:rsid w:val="001A7B42"/>
    <w:rsid w:val="001A7D8F"/>
    <w:rsid w:val="001B0102"/>
    <w:rsid w:val="001B043C"/>
    <w:rsid w:val="001B0456"/>
    <w:rsid w:val="001B155F"/>
    <w:rsid w:val="001B19B2"/>
    <w:rsid w:val="001B1AAE"/>
    <w:rsid w:val="001B1EE4"/>
    <w:rsid w:val="001B1FE4"/>
    <w:rsid w:val="001B2420"/>
    <w:rsid w:val="001B2663"/>
    <w:rsid w:val="001B2A6B"/>
    <w:rsid w:val="001B2A97"/>
    <w:rsid w:val="001B2CD4"/>
    <w:rsid w:val="001B2EBE"/>
    <w:rsid w:val="001B30ED"/>
    <w:rsid w:val="001B311E"/>
    <w:rsid w:val="001B363C"/>
    <w:rsid w:val="001B3FD0"/>
    <w:rsid w:val="001B40D4"/>
    <w:rsid w:val="001B51BF"/>
    <w:rsid w:val="001B5399"/>
    <w:rsid w:val="001B5AA7"/>
    <w:rsid w:val="001B5D20"/>
    <w:rsid w:val="001B5E84"/>
    <w:rsid w:val="001B6413"/>
    <w:rsid w:val="001B7009"/>
    <w:rsid w:val="001B7329"/>
    <w:rsid w:val="001C0632"/>
    <w:rsid w:val="001C07E9"/>
    <w:rsid w:val="001C09B1"/>
    <w:rsid w:val="001C129B"/>
    <w:rsid w:val="001C13C9"/>
    <w:rsid w:val="001C174A"/>
    <w:rsid w:val="001C1869"/>
    <w:rsid w:val="001C1B9E"/>
    <w:rsid w:val="001C1D05"/>
    <w:rsid w:val="001C2180"/>
    <w:rsid w:val="001C24FD"/>
    <w:rsid w:val="001C25E8"/>
    <w:rsid w:val="001C25F4"/>
    <w:rsid w:val="001C2603"/>
    <w:rsid w:val="001C298A"/>
    <w:rsid w:val="001C2A48"/>
    <w:rsid w:val="001C3351"/>
    <w:rsid w:val="001C3922"/>
    <w:rsid w:val="001C4159"/>
    <w:rsid w:val="001C44DC"/>
    <w:rsid w:val="001C459A"/>
    <w:rsid w:val="001C4904"/>
    <w:rsid w:val="001C4CFF"/>
    <w:rsid w:val="001C5881"/>
    <w:rsid w:val="001C5B58"/>
    <w:rsid w:val="001C5CA7"/>
    <w:rsid w:val="001C6760"/>
    <w:rsid w:val="001C69E3"/>
    <w:rsid w:val="001C6DFD"/>
    <w:rsid w:val="001C7F0C"/>
    <w:rsid w:val="001D016E"/>
    <w:rsid w:val="001D08CB"/>
    <w:rsid w:val="001D14C0"/>
    <w:rsid w:val="001D217E"/>
    <w:rsid w:val="001D240D"/>
    <w:rsid w:val="001D25A0"/>
    <w:rsid w:val="001D271F"/>
    <w:rsid w:val="001D282A"/>
    <w:rsid w:val="001D29B3"/>
    <w:rsid w:val="001D3268"/>
    <w:rsid w:val="001D32C0"/>
    <w:rsid w:val="001D33CE"/>
    <w:rsid w:val="001D39EE"/>
    <w:rsid w:val="001D3A64"/>
    <w:rsid w:val="001D3CDB"/>
    <w:rsid w:val="001D41E8"/>
    <w:rsid w:val="001D4731"/>
    <w:rsid w:val="001D4825"/>
    <w:rsid w:val="001D4971"/>
    <w:rsid w:val="001D4F6E"/>
    <w:rsid w:val="001D5101"/>
    <w:rsid w:val="001D5793"/>
    <w:rsid w:val="001D59D1"/>
    <w:rsid w:val="001D5EC9"/>
    <w:rsid w:val="001D63FA"/>
    <w:rsid w:val="001D67C0"/>
    <w:rsid w:val="001D68D9"/>
    <w:rsid w:val="001D6A38"/>
    <w:rsid w:val="001D6CC4"/>
    <w:rsid w:val="001D6CEA"/>
    <w:rsid w:val="001D74A7"/>
    <w:rsid w:val="001D766A"/>
    <w:rsid w:val="001D77EB"/>
    <w:rsid w:val="001D78BF"/>
    <w:rsid w:val="001D7A03"/>
    <w:rsid w:val="001D7A9A"/>
    <w:rsid w:val="001D7C46"/>
    <w:rsid w:val="001E01EE"/>
    <w:rsid w:val="001E0249"/>
    <w:rsid w:val="001E0464"/>
    <w:rsid w:val="001E047F"/>
    <w:rsid w:val="001E0537"/>
    <w:rsid w:val="001E05D5"/>
    <w:rsid w:val="001E0A51"/>
    <w:rsid w:val="001E0BA1"/>
    <w:rsid w:val="001E0CA0"/>
    <w:rsid w:val="001E15F2"/>
    <w:rsid w:val="001E1933"/>
    <w:rsid w:val="001E20C8"/>
    <w:rsid w:val="001E2216"/>
    <w:rsid w:val="001E22F7"/>
    <w:rsid w:val="001E2390"/>
    <w:rsid w:val="001E24E6"/>
    <w:rsid w:val="001E2852"/>
    <w:rsid w:val="001E3549"/>
    <w:rsid w:val="001E37AE"/>
    <w:rsid w:val="001E38D2"/>
    <w:rsid w:val="001E3995"/>
    <w:rsid w:val="001E3C0D"/>
    <w:rsid w:val="001E4253"/>
    <w:rsid w:val="001E465F"/>
    <w:rsid w:val="001E469D"/>
    <w:rsid w:val="001E4967"/>
    <w:rsid w:val="001E49F3"/>
    <w:rsid w:val="001E4B22"/>
    <w:rsid w:val="001E53DF"/>
    <w:rsid w:val="001E57C5"/>
    <w:rsid w:val="001E5E5B"/>
    <w:rsid w:val="001E65E2"/>
    <w:rsid w:val="001E6948"/>
    <w:rsid w:val="001E6C32"/>
    <w:rsid w:val="001E6EC1"/>
    <w:rsid w:val="001E7155"/>
    <w:rsid w:val="001E7586"/>
    <w:rsid w:val="001E77D0"/>
    <w:rsid w:val="001E7AA9"/>
    <w:rsid w:val="001E7B98"/>
    <w:rsid w:val="001E7CDC"/>
    <w:rsid w:val="001F0055"/>
    <w:rsid w:val="001F0434"/>
    <w:rsid w:val="001F04DA"/>
    <w:rsid w:val="001F123F"/>
    <w:rsid w:val="001F16E6"/>
    <w:rsid w:val="001F175B"/>
    <w:rsid w:val="001F1768"/>
    <w:rsid w:val="001F1B27"/>
    <w:rsid w:val="001F1F63"/>
    <w:rsid w:val="001F1FBC"/>
    <w:rsid w:val="001F2265"/>
    <w:rsid w:val="001F2359"/>
    <w:rsid w:val="001F25D6"/>
    <w:rsid w:val="001F2902"/>
    <w:rsid w:val="001F2AF9"/>
    <w:rsid w:val="001F3436"/>
    <w:rsid w:val="001F3451"/>
    <w:rsid w:val="001F36ED"/>
    <w:rsid w:val="001F3A3A"/>
    <w:rsid w:val="001F3CF4"/>
    <w:rsid w:val="001F3E87"/>
    <w:rsid w:val="001F3F36"/>
    <w:rsid w:val="001F41CB"/>
    <w:rsid w:val="001F4B6A"/>
    <w:rsid w:val="001F4B77"/>
    <w:rsid w:val="001F4FE5"/>
    <w:rsid w:val="001F5321"/>
    <w:rsid w:val="001F5870"/>
    <w:rsid w:val="001F5E5D"/>
    <w:rsid w:val="001F60F9"/>
    <w:rsid w:val="001F6319"/>
    <w:rsid w:val="001F658C"/>
    <w:rsid w:val="001F65E4"/>
    <w:rsid w:val="001F675C"/>
    <w:rsid w:val="001F67A0"/>
    <w:rsid w:val="001F68A9"/>
    <w:rsid w:val="001F6A3C"/>
    <w:rsid w:val="001F6A86"/>
    <w:rsid w:val="001F6F44"/>
    <w:rsid w:val="001F733B"/>
    <w:rsid w:val="001F744F"/>
    <w:rsid w:val="001F7563"/>
    <w:rsid w:val="001FC110"/>
    <w:rsid w:val="002005FF"/>
    <w:rsid w:val="002007B6"/>
    <w:rsid w:val="00200910"/>
    <w:rsid w:val="00201447"/>
    <w:rsid w:val="0020172B"/>
    <w:rsid w:val="00201A8C"/>
    <w:rsid w:val="00201A92"/>
    <w:rsid w:val="00202096"/>
    <w:rsid w:val="00202328"/>
    <w:rsid w:val="0020240C"/>
    <w:rsid w:val="00202521"/>
    <w:rsid w:val="00202D6C"/>
    <w:rsid w:val="002033D2"/>
    <w:rsid w:val="00203807"/>
    <w:rsid w:val="00203AEA"/>
    <w:rsid w:val="0020423B"/>
    <w:rsid w:val="0020439D"/>
    <w:rsid w:val="002045D3"/>
    <w:rsid w:val="002048A5"/>
    <w:rsid w:val="002055EC"/>
    <w:rsid w:val="00206223"/>
    <w:rsid w:val="0020623E"/>
    <w:rsid w:val="0020651F"/>
    <w:rsid w:val="002065B0"/>
    <w:rsid w:val="002067C0"/>
    <w:rsid w:val="00206815"/>
    <w:rsid w:val="0020691E"/>
    <w:rsid w:val="00206AEC"/>
    <w:rsid w:val="00206AF7"/>
    <w:rsid w:val="00206F0A"/>
    <w:rsid w:val="00206F4F"/>
    <w:rsid w:val="0020772E"/>
    <w:rsid w:val="00207863"/>
    <w:rsid w:val="00207F59"/>
    <w:rsid w:val="002101CE"/>
    <w:rsid w:val="002102B6"/>
    <w:rsid w:val="00210331"/>
    <w:rsid w:val="002106C0"/>
    <w:rsid w:val="002108B6"/>
    <w:rsid w:val="002109B4"/>
    <w:rsid w:val="00210F9B"/>
    <w:rsid w:val="00210FFE"/>
    <w:rsid w:val="002113E4"/>
    <w:rsid w:val="0021171C"/>
    <w:rsid w:val="00211BAF"/>
    <w:rsid w:val="00211DC3"/>
    <w:rsid w:val="002127E4"/>
    <w:rsid w:val="0021292E"/>
    <w:rsid w:val="00212AD3"/>
    <w:rsid w:val="00212C68"/>
    <w:rsid w:val="002131FA"/>
    <w:rsid w:val="00213A38"/>
    <w:rsid w:val="00213E70"/>
    <w:rsid w:val="00213EB6"/>
    <w:rsid w:val="0021458A"/>
    <w:rsid w:val="00214B81"/>
    <w:rsid w:val="00214C69"/>
    <w:rsid w:val="00214D3D"/>
    <w:rsid w:val="002150F8"/>
    <w:rsid w:val="002155B6"/>
    <w:rsid w:val="002157E4"/>
    <w:rsid w:val="00215808"/>
    <w:rsid w:val="002158BA"/>
    <w:rsid w:val="00215AFB"/>
    <w:rsid w:val="00215C21"/>
    <w:rsid w:val="00215DEA"/>
    <w:rsid w:val="0021633D"/>
    <w:rsid w:val="002165DB"/>
    <w:rsid w:val="00216F8E"/>
    <w:rsid w:val="002175E8"/>
    <w:rsid w:val="002200B7"/>
    <w:rsid w:val="002200D8"/>
    <w:rsid w:val="00220110"/>
    <w:rsid w:val="00220200"/>
    <w:rsid w:val="00220522"/>
    <w:rsid w:val="00220B79"/>
    <w:rsid w:val="002210E4"/>
    <w:rsid w:val="00222033"/>
    <w:rsid w:val="002228FF"/>
    <w:rsid w:val="00222FD3"/>
    <w:rsid w:val="00223224"/>
    <w:rsid w:val="0022344B"/>
    <w:rsid w:val="0022352D"/>
    <w:rsid w:val="00223637"/>
    <w:rsid w:val="00223664"/>
    <w:rsid w:val="00223A56"/>
    <w:rsid w:val="00223B1A"/>
    <w:rsid w:val="00223BA3"/>
    <w:rsid w:val="00224028"/>
    <w:rsid w:val="002241B6"/>
    <w:rsid w:val="0022445E"/>
    <w:rsid w:val="002244A4"/>
    <w:rsid w:val="0022451F"/>
    <w:rsid w:val="00224652"/>
    <w:rsid w:val="00224A81"/>
    <w:rsid w:val="00224D4B"/>
    <w:rsid w:val="00224E8A"/>
    <w:rsid w:val="002256C2"/>
    <w:rsid w:val="00225833"/>
    <w:rsid w:val="002259A5"/>
    <w:rsid w:val="00225A38"/>
    <w:rsid w:val="00226095"/>
    <w:rsid w:val="002260D9"/>
    <w:rsid w:val="002269A7"/>
    <w:rsid w:val="00226CE8"/>
    <w:rsid w:val="00226ED9"/>
    <w:rsid w:val="00226F66"/>
    <w:rsid w:val="002271BD"/>
    <w:rsid w:val="002277FF"/>
    <w:rsid w:val="002278CF"/>
    <w:rsid w:val="00227944"/>
    <w:rsid w:val="00227AE9"/>
    <w:rsid w:val="00227B89"/>
    <w:rsid w:val="00227CC8"/>
    <w:rsid w:val="00227E2A"/>
    <w:rsid w:val="00227E9F"/>
    <w:rsid w:val="00227F43"/>
    <w:rsid w:val="0023018C"/>
    <w:rsid w:val="002302C0"/>
    <w:rsid w:val="0023059C"/>
    <w:rsid w:val="00230F92"/>
    <w:rsid w:val="002311BA"/>
    <w:rsid w:val="00231207"/>
    <w:rsid w:val="00231400"/>
    <w:rsid w:val="00231C9A"/>
    <w:rsid w:val="002322A2"/>
    <w:rsid w:val="002328EF"/>
    <w:rsid w:val="002328F7"/>
    <w:rsid w:val="00232FE1"/>
    <w:rsid w:val="00233255"/>
    <w:rsid w:val="002336F9"/>
    <w:rsid w:val="00233C23"/>
    <w:rsid w:val="00234640"/>
    <w:rsid w:val="0023493A"/>
    <w:rsid w:val="00234B83"/>
    <w:rsid w:val="00234CA1"/>
    <w:rsid w:val="00234D8C"/>
    <w:rsid w:val="00235700"/>
    <w:rsid w:val="00235E80"/>
    <w:rsid w:val="0023650E"/>
    <w:rsid w:val="00236703"/>
    <w:rsid w:val="0023673F"/>
    <w:rsid w:val="00236E68"/>
    <w:rsid w:val="00237371"/>
    <w:rsid w:val="002373C9"/>
    <w:rsid w:val="002375D6"/>
    <w:rsid w:val="00237A2F"/>
    <w:rsid w:val="00237B65"/>
    <w:rsid w:val="00237D1A"/>
    <w:rsid w:val="00240106"/>
    <w:rsid w:val="00240E5E"/>
    <w:rsid w:val="00240EEF"/>
    <w:rsid w:val="002411C7"/>
    <w:rsid w:val="002411E0"/>
    <w:rsid w:val="00241D5A"/>
    <w:rsid w:val="00241DBC"/>
    <w:rsid w:val="00241ED1"/>
    <w:rsid w:val="002422A1"/>
    <w:rsid w:val="00242408"/>
    <w:rsid w:val="00242480"/>
    <w:rsid w:val="002425A9"/>
    <w:rsid w:val="002426CE"/>
    <w:rsid w:val="002427A6"/>
    <w:rsid w:val="00242C5D"/>
    <w:rsid w:val="00242F4E"/>
    <w:rsid w:val="00243765"/>
    <w:rsid w:val="00243A15"/>
    <w:rsid w:val="00243A69"/>
    <w:rsid w:val="00243B0E"/>
    <w:rsid w:val="00243B95"/>
    <w:rsid w:val="00243DA3"/>
    <w:rsid w:val="00244178"/>
    <w:rsid w:val="002441C6"/>
    <w:rsid w:val="00244B4F"/>
    <w:rsid w:val="002452A0"/>
    <w:rsid w:val="002454F0"/>
    <w:rsid w:val="00245D6E"/>
    <w:rsid w:val="00245FCB"/>
    <w:rsid w:val="002460F1"/>
    <w:rsid w:val="002463A6"/>
    <w:rsid w:val="002463DB"/>
    <w:rsid w:val="00246ADB"/>
    <w:rsid w:val="00246DB6"/>
    <w:rsid w:val="00246E1C"/>
    <w:rsid w:val="00246EB5"/>
    <w:rsid w:val="00247005"/>
    <w:rsid w:val="002472B0"/>
    <w:rsid w:val="00247404"/>
    <w:rsid w:val="002477DA"/>
    <w:rsid w:val="002477F9"/>
    <w:rsid w:val="00247ED4"/>
    <w:rsid w:val="00247FD7"/>
    <w:rsid w:val="00250700"/>
    <w:rsid w:val="0025074B"/>
    <w:rsid w:val="002508CD"/>
    <w:rsid w:val="00250C63"/>
    <w:rsid w:val="00250DBE"/>
    <w:rsid w:val="002512B0"/>
    <w:rsid w:val="002513B1"/>
    <w:rsid w:val="002517A5"/>
    <w:rsid w:val="00251F6C"/>
    <w:rsid w:val="0025249C"/>
    <w:rsid w:val="002534AE"/>
    <w:rsid w:val="002539ED"/>
    <w:rsid w:val="00253EC3"/>
    <w:rsid w:val="0025422A"/>
    <w:rsid w:val="0025440D"/>
    <w:rsid w:val="0025450E"/>
    <w:rsid w:val="002545E1"/>
    <w:rsid w:val="00254AD2"/>
    <w:rsid w:val="00254EC0"/>
    <w:rsid w:val="0025514F"/>
    <w:rsid w:val="00255152"/>
    <w:rsid w:val="0025554E"/>
    <w:rsid w:val="00255A0F"/>
    <w:rsid w:val="00256404"/>
    <w:rsid w:val="00257DFC"/>
    <w:rsid w:val="002602D6"/>
    <w:rsid w:val="00260714"/>
    <w:rsid w:val="00260A51"/>
    <w:rsid w:val="0026131F"/>
    <w:rsid w:val="00261BAF"/>
    <w:rsid w:val="00261E17"/>
    <w:rsid w:val="002625E3"/>
    <w:rsid w:val="00262CAD"/>
    <w:rsid w:val="002630B1"/>
    <w:rsid w:val="0026379E"/>
    <w:rsid w:val="002638F4"/>
    <w:rsid w:val="002639D5"/>
    <w:rsid w:val="002647B0"/>
    <w:rsid w:val="00264B73"/>
    <w:rsid w:val="00265271"/>
    <w:rsid w:val="002653D5"/>
    <w:rsid w:val="0026576D"/>
    <w:rsid w:val="002659BC"/>
    <w:rsid w:val="002661A2"/>
    <w:rsid w:val="00266234"/>
    <w:rsid w:val="00266364"/>
    <w:rsid w:val="00266B7E"/>
    <w:rsid w:val="00266DDE"/>
    <w:rsid w:val="00266E11"/>
    <w:rsid w:val="002671FB"/>
    <w:rsid w:val="002672C5"/>
    <w:rsid w:val="00267C98"/>
    <w:rsid w:val="002703D8"/>
    <w:rsid w:val="002705CA"/>
    <w:rsid w:val="00270797"/>
    <w:rsid w:val="002707A5"/>
    <w:rsid w:val="0027087B"/>
    <w:rsid w:val="0027122C"/>
    <w:rsid w:val="00271496"/>
    <w:rsid w:val="0027160C"/>
    <w:rsid w:val="00271831"/>
    <w:rsid w:val="00271AC0"/>
    <w:rsid w:val="00271F22"/>
    <w:rsid w:val="00272353"/>
    <w:rsid w:val="0027246D"/>
    <w:rsid w:val="002728C1"/>
    <w:rsid w:val="002729AA"/>
    <w:rsid w:val="00272F56"/>
    <w:rsid w:val="00273357"/>
    <w:rsid w:val="00273CFB"/>
    <w:rsid w:val="00273EB2"/>
    <w:rsid w:val="0027407B"/>
    <w:rsid w:val="0027407D"/>
    <w:rsid w:val="00274688"/>
    <w:rsid w:val="00274D62"/>
    <w:rsid w:val="002750BC"/>
    <w:rsid w:val="002751D1"/>
    <w:rsid w:val="00275209"/>
    <w:rsid w:val="002756A6"/>
    <w:rsid w:val="00275B2C"/>
    <w:rsid w:val="00275B95"/>
    <w:rsid w:val="00275C26"/>
    <w:rsid w:val="00275F01"/>
    <w:rsid w:val="002764E8"/>
    <w:rsid w:val="00276ACD"/>
    <w:rsid w:val="00276BAE"/>
    <w:rsid w:val="00277197"/>
    <w:rsid w:val="00280877"/>
    <w:rsid w:val="00280D60"/>
    <w:rsid w:val="00280DD9"/>
    <w:rsid w:val="002813A0"/>
    <w:rsid w:val="00281FA6"/>
    <w:rsid w:val="00282972"/>
    <w:rsid w:val="00282EE7"/>
    <w:rsid w:val="0028331A"/>
    <w:rsid w:val="002835CF"/>
    <w:rsid w:val="00283816"/>
    <w:rsid w:val="002838A9"/>
    <w:rsid w:val="00283C69"/>
    <w:rsid w:val="00283F1E"/>
    <w:rsid w:val="00284340"/>
    <w:rsid w:val="002846DA"/>
    <w:rsid w:val="002849D1"/>
    <w:rsid w:val="00284B43"/>
    <w:rsid w:val="00284E1B"/>
    <w:rsid w:val="002850B1"/>
    <w:rsid w:val="00285160"/>
    <w:rsid w:val="0028528B"/>
    <w:rsid w:val="00285A18"/>
    <w:rsid w:val="00285A65"/>
    <w:rsid w:val="00285BDA"/>
    <w:rsid w:val="00285FBD"/>
    <w:rsid w:val="00286BF0"/>
    <w:rsid w:val="00286FED"/>
    <w:rsid w:val="0028763C"/>
    <w:rsid w:val="0028787B"/>
    <w:rsid w:val="00287E78"/>
    <w:rsid w:val="00290676"/>
    <w:rsid w:val="00290AEF"/>
    <w:rsid w:val="00290B2F"/>
    <w:rsid w:val="00290C8A"/>
    <w:rsid w:val="00290EBE"/>
    <w:rsid w:val="002912DA"/>
    <w:rsid w:val="00291462"/>
    <w:rsid w:val="00291572"/>
    <w:rsid w:val="002915A2"/>
    <w:rsid w:val="002922E1"/>
    <w:rsid w:val="00292741"/>
    <w:rsid w:val="0029280D"/>
    <w:rsid w:val="00292A64"/>
    <w:rsid w:val="00292E4C"/>
    <w:rsid w:val="00293086"/>
    <w:rsid w:val="0029313D"/>
    <w:rsid w:val="00293837"/>
    <w:rsid w:val="00293D3A"/>
    <w:rsid w:val="00294249"/>
    <w:rsid w:val="00294500"/>
    <w:rsid w:val="00294938"/>
    <w:rsid w:val="00294BD7"/>
    <w:rsid w:val="00294D7B"/>
    <w:rsid w:val="00295542"/>
    <w:rsid w:val="00295890"/>
    <w:rsid w:val="002958F9"/>
    <w:rsid w:val="00295A02"/>
    <w:rsid w:val="00295DF1"/>
    <w:rsid w:val="002961F2"/>
    <w:rsid w:val="00296C64"/>
    <w:rsid w:val="00296EE7"/>
    <w:rsid w:val="0029704D"/>
    <w:rsid w:val="002972BB"/>
    <w:rsid w:val="0029747E"/>
    <w:rsid w:val="00297518"/>
    <w:rsid w:val="0029757C"/>
    <w:rsid w:val="002979D2"/>
    <w:rsid w:val="00297AA9"/>
    <w:rsid w:val="00297AD5"/>
    <w:rsid w:val="00297BB0"/>
    <w:rsid w:val="00297ECF"/>
    <w:rsid w:val="0029F3FA"/>
    <w:rsid w:val="002A037D"/>
    <w:rsid w:val="002A03D6"/>
    <w:rsid w:val="002A04B4"/>
    <w:rsid w:val="002A0CA7"/>
    <w:rsid w:val="002A0CFC"/>
    <w:rsid w:val="002A0E3E"/>
    <w:rsid w:val="002A0E50"/>
    <w:rsid w:val="002A13D9"/>
    <w:rsid w:val="002A141D"/>
    <w:rsid w:val="002A145B"/>
    <w:rsid w:val="002A1564"/>
    <w:rsid w:val="002A16C6"/>
    <w:rsid w:val="002A16D5"/>
    <w:rsid w:val="002A18BE"/>
    <w:rsid w:val="002A1B15"/>
    <w:rsid w:val="002A2C54"/>
    <w:rsid w:val="002A2CE8"/>
    <w:rsid w:val="002A3028"/>
    <w:rsid w:val="002A3094"/>
    <w:rsid w:val="002A339A"/>
    <w:rsid w:val="002A3450"/>
    <w:rsid w:val="002A3494"/>
    <w:rsid w:val="002A35EF"/>
    <w:rsid w:val="002A36F6"/>
    <w:rsid w:val="002A3736"/>
    <w:rsid w:val="002A3A8A"/>
    <w:rsid w:val="002A404C"/>
    <w:rsid w:val="002A4084"/>
    <w:rsid w:val="002A4474"/>
    <w:rsid w:val="002A45C4"/>
    <w:rsid w:val="002A48B7"/>
    <w:rsid w:val="002A4A9D"/>
    <w:rsid w:val="002A4AD6"/>
    <w:rsid w:val="002A4B49"/>
    <w:rsid w:val="002A4D8A"/>
    <w:rsid w:val="002A500A"/>
    <w:rsid w:val="002A5210"/>
    <w:rsid w:val="002A53BE"/>
    <w:rsid w:val="002A5573"/>
    <w:rsid w:val="002A5684"/>
    <w:rsid w:val="002A5B41"/>
    <w:rsid w:val="002A61A0"/>
    <w:rsid w:val="002A63B2"/>
    <w:rsid w:val="002A63D0"/>
    <w:rsid w:val="002A63EF"/>
    <w:rsid w:val="002A6577"/>
    <w:rsid w:val="002A694F"/>
    <w:rsid w:val="002A6A10"/>
    <w:rsid w:val="002A6CE5"/>
    <w:rsid w:val="002A7196"/>
    <w:rsid w:val="002A71B6"/>
    <w:rsid w:val="002A75F0"/>
    <w:rsid w:val="002A767A"/>
    <w:rsid w:val="002A76AE"/>
    <w:rsid w:val="002A76BB"/>
    <w:rsid w:val="002A79A3"/>
    <w:rsid w:val="002A7B67"/>
    <w:rsid w:val="002A7F5C"/>
    <w:rsid w:val="002B0139"/>
    <w:rsid w:val="002B0234"/>
    <w:rsid w:val="002B0671"/>
    <w:rsid w:val="002B09A3"/>
    <w:rsid w:val="002B0DE4"/>
    <w:rsid w:val="002B112A"/>
    <w:rsid w:val="002B1384"/>
    <w:rsid w:val="002B1E71"/>
    <w:rsid w:val="002B21D8"/>
    <w:rsid w:val="002B233B"/>
    <w:rsid w:val="002B2A91"/>
    <w:rsid w:val="002B2C68"/>
    <w:rsid w:val="002B2EDD"/>
    <w:rsid w:val="002B3462"/>
    <w:rsid w:val="002B3463"/>
    <w:rsid w:val="002B3681"/>
    <w:rsid w:val="002B377C"/>
    <w:rsid w:val="002B38DC"/>
    <w:rsid w:val="002B3BE1"/>
    <w:rsid w:val="002B3CE9"/>
    <w:rsid w:val="002B4D82"/>
    <w:rsid w:val="002B5554"/>
    <w:rsid w:val="002B5740"/>
    <w:rsid w:val="002B5EB3"/>
    <w:rsid w:val="002B667C"/>
    <w:rsid w:val="002B6A46"/>
    <w:rsid w:val="002B7B8B"/>
    <w:rsid w:val="002C045D"/>
    <w:rsid w:val="002C07F7"/>
    <w:rsid w:val="002C0925"/>
    <w:rsid w:val="002C0E24"/>
    <w:rsid w:val="002C0EDF"/>
    <w:rsid w:val="002C11CA"/>
    <w:rsid w:val="002C1407"/>
    <w:rsid w:val="002C1609"/>
    <w:rsid w:val="002C24AC"/>
    <w:rsid w:val="002C24C1"/>
    <w:rsid w:val="002C2A6B"/>
    <w:rsid w:val="002C2DCF"/>
    <w:rsid w:val="002C3338"/>
    <w:rsid w:val="002C3480"/>
    <w:rsid w:val="002C368E"/>
    <w:rsid w:val="002C3869"/>
    <w:rsid w:val="002C404A"/>
    <w:rsid w:val="002C40BD"/>
    <w:rsid w:val="002C45E8"/>
    <w:rsid w:val="002C49BA"/>
    <w:rsid w:val="002C5147"/>
    <w:rsid w:val="002C5527"/>
    <w:rsid w:val="002C55E1"/>
    <w:rsid w:val="002C5707"/>
    <w:rsid w:val="002C57CB"/>
    <w:rsid w:val="002C5EA6"/>
    <w:rsid w:val="002C69C5"/>
    <w:rsid w:val="002C6ED4"/>
    <w:rsid w:val="002C70CE"/>
    <w:rsid w:val="002D0054"/>
    <w:rsid w:val="002D0185"/>
    <w:rsid w:val="002D172F"/>
    <w:rsid w:val="002D2399"/>
    <w:rsid w:val="002D2C56"/>
    <w:rsid w:val="002D3CE7"/>
    <w:rsid w:val="002D3D22"/>
    <w:rsid w:val="002D480B"/>
    <w:rsid w:val="002D480D"/>
    <w:rsid w:val="002D4A4F"/>
    <w:rsid w:val="002D5097"/>
    <w:rsid w:val="002D55E4"/>
    <w:rsid w:val="002D5702"/>
    <w:rsid w:val="002D5AFA"/>
    <w:rsid w:val="002D5CD1"/>
    <w:rsid w:val="002D6749"/>
    <w:rsid w:val="002D690D"/>
    <w:rsid w:val="002D6C27"/>
    <w:rsid w:val="002D6E0C"/>
    <w:rsid w:val="002D7112"/>
    <w:rsid w:val="002D7741"/>
    <w:rsid w:val="002D7B54"/>
    <w:rsid w:val="002E0A6E"/>
    <w:rsid w:val="002E0FE0"/>
    <w:rsid w:val="002E1437"/>
    <w:rsid w:val="002E178D"/>
    <w:rsid w:val="002E181F"/>
    <w:rsid w:val="002E1853"/>
    <w:rsid w:val="002E1A40"/>
    <w:rsid w:val="002E1CA6"/>
    <w:rsid w:val="002E1F9D"/>
    <w:rsid w:val="002E2689"/>
    <w:rsid w:val="002E2755"/>
    <w:rsid w:val="002E2892"/>
    <w:rsid w:val="002E2A3B"/>
    <w:rsid w:val="002E2A86"/>
    <w:rsid w:val="002E2DCE"/>
    <w:rsid w:val="002E33B1"/>
    <w:rsid w:val="002E3BEB"/>
    <w:rsid w:val="002E44A5"/>
    <w:rsid w:val="002E47B1"/>
    <w:rsid w:val="002E5252"/>
    <w:rsid w:val="002E55AF"/>
    <w:rsid w:val="002E572E"/>
    <w:rsid w:val="002E592A"/>
    <w:rsid w:val="002E5C0E"/>
    <w:rsid w:val="002E5D45"/>
    <w:rsid w:val="002E6315"/>
    <w:rsid w:val="002E63BE"/>
    <w:rsid w:val="002E6A23"/>
    <w:rsid w:val="002E72A7"/>
    <w:rsid w:val="002E72F2"/>
    <w:rsid w:val="002E7775"/>
    <w:rsid w:val="002E79E9"/>
    <w:rsid w:val="002E7AD2"/>
    <w:rsid w:val="002E7BD6"/>
    <w:rsid w:val="002F0547"/>
    <w:rsid w:val="002F05C3"/>
    <w:rsid w:val="002F077E"/>
    <w:rsid w:val="002F0B63"/>
    <w:rsid w:val="002F0BC0"/>
    <w:rsid w:val="002F0D52"/>
    <w:rsid w:val="002F1399"/>
    <w:rsid w:val="002F161F"/>
    <w:rsid w:val="002F1630"/>
    <w:rsid w:val="002F1C79"/>
    <w:rsid w:val="002F1EA8"/>
    <w:rsid w:val="002F2532"/>
    <w:rsid w:val="002F2593"/>
    <w:rsid w:val="002F2CA9"/>
    <w:rsid w:val="002F32FB"/>
    <w:rsid w:val="002F382B"/>
    <w:rsid w:val="002F3A4F"/>
    <w:rsid w:val="002F3C64"/>
    <w:rsid w:val="002F4464"/>
    <w:rsid w:val="002F4847"/>
    <w:rsid w:val="002F49C8"/>
    <w:rsid w:val="002F4C98"/>
    <w:rsid w:val="002F5611"/>
    <w:rsid w:val="002F5A3A"/>
    <w:rsid w:val="002F5A73"/>
    <w:rsid w:val="002F5F5E"/>
    <w:rsid w:val="002F5F85"/>
    <w:rsid w:val="002F67EE"/>
    <w:rsid w:val="002F6811"/>
    <w:rsid w:val="002F693F"/>
    <w:rsid w:val="002F71A4"/>
    <w:rsid w:val="002F72D0"/>
    <w:rsid w:val="002F7B59"/>
    <w:rsid w:val="002F7F24"/>
    <w:rsid w:val="0030018D"/>
    <w:rsid w:val="003008CC"/>
    <w:rsid w:val="0030096B"/>
    <w:rsid w:val="00301409"/>
    <w:rsid w:val="00301489"/>
    <w:rsid w:val="00301763"/>
    <w:rsid w:val="00301BFD"/>
    <w:rsid w:val="00302252"/>
    <w:rsid w:val="0030299B"/>
    <w:rsid w:val="00302A35"/>
    <w:rsid w:val="00302E79"/>
    <w:rsid w:val="003032D9"/>
    <w:rsid w:val="00303C60"/>
    <w:rsid w:val="00303E55"/>
    <w:rsid w:val="00303F0F"/>
    <w:rsid w:val="003049C5"/>
    <w:rsid w:val="00304B11"/>
    <w:rsid w:val="00304FB8"/>
    <w:rsid w:val="0030531D"/>
    <w:rsid w:val="0030547F"/>
    <w:rsid w:val="0030559F"/>
    <w:rsid w:val="003055E4"/>
    <w:rsid w:val="00305CA6"/>
    <w:rsid w:val="00306234"/>
    <w:rsid w:val="00306821"/>
    <w:rsid w:val="00306E29"/>
    <w:rsid w:val="00307299"/>
    <w:rsid w:val="0030730E"/>
    <w:rsid w:val="003073A1"/>
    <w:rsid w:val="003075BD"/>
    <w:rsid w:val="00307675"/>
    <w:rsid w:val="00310017"/>
    <w:rsid w:val="00310094"/>
    <w:rsid w:val="00310122"/>
    <w:rsid w:val="0031014F"/>
    <w:rsid w:val="00310B9B"/>
    <w:rsid w:val="00310C3F"/>
    <w:rsid w:val="00310DBD"/>
    <w:rsid w:val="00311261"/>
    <w:rsid w:val="00311484"/>
    <w:rsid w:val="00311A7A"/>
    <w:rsid w:val="00311C20"/>
    <w:rsid w:val="003123EA"/>
    <w:rsid w:val="003128DB"/>
    <w:rsid w:val="00312A34"/>
    <w:rsid w:val="00313062"/>
    <w:rsid w:val="0031327E"/>
    <w:rsid w:val="00313405"/>
    <w:rsid w:val="0031393E"/>
    <w:rsid w:val="00313A48"/>
    <w:rsid w:val="00313E45"/>
    <w:rsid w:val="003140D2"/>
    <w:rsid w:val="00314266"/>
    <w:rsid w:val="00314632"/>
    <w:rsid w:val="00314C32"/>
    <w:rsid w:val="00314CD3"/>
    <w:rsid w:val="00315143"/>
    <w:rsid w:val="003168B5"/>
    <w:rsid w:val="00316A6B"/>
    <w:rsid w:val="00316BA1"/>
    <w:rsid w:val="00317714"/>
    <w:rsid w:val="0031777A"/>
    <w:rsid w:val="00317C4C"/>
    <w:rsid w:val="00320611"/>
    <w:rsid w:val="0032085C"/>
    <w:rsid w:val="00320863"/>
    <w:rsid w:val="00320A17"/>
    <w:rsid w:val="00320B18"/>
    <w:rsid w:val="00320BBE"/>
    <w:rsid w:val="0032169A"/>
    <w:rsid w:val="00321BFE"/>
    <w:rsid w:val="00321F81"/>
    <w:rsid w:val="00322065"/>
    <w:rsid w:val="00322829"/>
    <w:rsid w:val="00322B3C"/>
    <w:rsid w:val="00322B45"/>
    <w:rsid w:val="00322D81"/>
    <w:rsid w:val="00322DA9"/>
    <w:rsid w:val="00322E80"/>
    <w:rsid w:val="00323048"/>
    <w:rsid w:val="00323361"/>
    <w:rsid w:val="00323473"/>
    <w:rsid w:val="003238A5"/>
    <w:rsid w:val="00323A7E"/>
    <w:rsid w:val="00323AF6"/>
    <w:rsid w:val="003240CD"/>
    <w:rsid w:val="0032419D"/>
    <w:rsid w:val="003251C2"/>
    <w:rsid w:val="0032584B"/>
    <w:rsid w:val="00325DF0"/>
    <w:rsid w:val="00325F0D"/>
    <w:rsid w:val="00325FA0"/>
    <w:rsid w:val="003266EA"/>
    <w:rsid w:val="00326F1C"/>
    <w:rsid w:val="00327162"/>
    <w:rsid w:val="0032790C"/>
    <w:rsid w:val="00327CFB"/>
    <w:rsid w:val="00327D07"/>
    <w:rsid w:val="00327D85"/>
    <w:rsid w:val="00327DFF"/>
    <w:rsid w:val="003303BB"/>
    <w:rsid w:val="0033098E"/>
    <w:rsid w:val="00330A0A"/>
    <w:rsid w:val="00331308"/>
    <w:rsid w:val="00331409"/>
    <w:rsid w:val="00331692"/>
    <w:rsid w:val="00331842"/>
    <w:rsid w:val="00331901"/>
    <w:rsid w:val="003327D8"/>
    <w:rsid w:val="003328A9"/>
    <w:rsid w:val="00332CE2"/>
    <w:rsid w:val="003335F2"/>
    <w:rsid w:val="0033396A"/>
    <w:rsid w:val="00333B50"/>
    <w:rsid w:val="0033431D"/>
    <w:rsid w:val="00334345"/>
    <w:rsid w:val="0033511C"/>
    <w:rsid w:val="003353FA"/>
    <w:rsid w:val="00335B07"/>
    <w:rsid w:val="00335F72"/>
    <w:rsid w:val="00336338"/>
    <w:rsid w:val="00336357"/>
    <w:rsid w:val="003364A6"/>
    <w:rsid w:val="00336737"/>
    <w:rsid w:val="00336C38"/>
    <w:rsid w:val="00336D57"/>
    <w:rsid w:val="00336E89"/>
    <w:rsid w:val="003371B5"/>
    <w:rsid w:val="00337208"/>
    <w:rsid w:val="003375D6"/>
    <w:rsid w:val="00337A0E"/>
    <w:rsid w:val="00337BAF"/>
    <w:rsid w:val="00340341"/>
    <w:rsid w:val="00340957"/>
    <w:rsid w:val="003417CB"/>
    <w:rsid w:val="00341C09"/>
    <w:rsid w:val="00342518"/>
    <w:rsid w:val="00342791"/>
    <w:rsid w:val="00342DCA"/>
    <w:rsid w:val="003432BB"/>
    <w:rsid w:val="0034356B"/>
    <w:rsid w:val="003435A9"/>
    <w:rsid w:val="00343CAF"/>
    <w:rsid w:val="00343D32"/>
    <w:rsid w:val="00343F41"/>
    <w:rsid w:val="00344236"/>
    <w:rsid w:val="0034436B"/>
    <w:rsid w:val="00344649"/>
    <w:rsid w:val="00344824"/>
    <w:rsid w:val="00344CDF"/>
    <w:rsid w:val="00345496"/>
    <w:rsid w:val="00345BCF"/>
    <w:rsid w:val="00345F4F"/>
    <w:rsid w:val="003462FA"/>
    <w:rsid w:val="003464E9"/>
    <w:rsid w:val="003466F9"/>
    <w:rsid w:val="00346993"/>
    <w:rsid w:val="00346F77"/>
    <w:rsid w:val="003471BA"/>
    <w:rsid w:val="003475BF"/>
    <w:rsid w:val="00347CB7"/>
    <w:rsid w:val="00347EFB"/>
    <w:rsid w:val="00350092"/>
    <w:rsid w:val="0035019E"/>
    <w:rsid w:val="00350298"/>
    <w:rsid w:val="00350343"/>
    <w:rsid w:val="003505B2"/>
    <w:rsid w:val="0035084B"/>
    <w:rsid w:val="003511DF"/>
    <w:rsid w:val="003519AD"/>
    <w:rsid w:val="00351C9D"/>
    <w:rsid w:val="00351E0E"/>
    <w:rsid w:val="00351E54"/>
    <w:rsid w:val="00352321"/>
    <w:rsid w:val="00352B5D"/>
    <w:rsid w:val="00352E47"/>
    <w:rsid w:val="003532E4"/>
    <w:rsid w:val="003543C6"/>
    <w:rsid w:val="003543CA"/>
    <w:rsid w:val="003543DD"/>
    <w:rsid w:val="00354660"/>
    <w:rsid w:val="0035469C"/>
    <w:rsid w:val="003546BD"/>
    <w:rsid w:val="00354708"/>
    <w:rsid w:val="00354D72"/>
    <w:rsid w:val="00354E0A"/>
    <w:rsid w:val="00354EA0"/>
    <w:rsid w:val="00354EB4"/>
    <w:rsid w:val="00354F4F"/>
    <w:rsid w:val="00354FB7"/>
    <w:rsid w:val="0035516A"/>
    <w:rsid w:val="00355525"/>
    <w:rsid w:val="003555D4"/>
    <w:rsid w:val="00355C1D"/>
    <w:rsid w:val="00356D29"/>
    <w:rsid w:val="00356F55"/>
    <w:rsid w:val="003571C2"/>
    <w:rsid w:val="00357AD4"/>
    <w:rsid w:val="00357BD2"/>
    <w:rsid w:val="00357EA7"/>
    <w:rsid w:val="00357F09"/>
    <w:rsid w:val="00360B75"/>
    <w:rsid w:val="00360F1E"/>
    <w:rsid w:val="00361303"/>
    <w:rsid w:val="00361E71"/>
    <w:rsid w:val="00362202"/>
    <w:rsid w:val="0036298B"/>
    <w:rsid w:val="00363A3F"/>
    <w:rsid w:val="00363DD7"/>
    <w:rsid w:val="003640A7"/>
    <w:rsid w:val="0036441B"/>
    <w:rsid w:val="003649EB"/>
    <w:rsid w:val="00364D10"/>
    <w:rsid w:val="00364E98"/>
    <w:rsid w:val="0036502A"/>
    <w:rsid w:val="00365447"/>
    <w:rsid w:val="0036557F"/>
    <w:rsid w:val="003657BF"/>
    <w:rsid w:val="0036637B"/>
    <w:rsid w:val="003668A2"/>
    <w:rsid w:val="00366B48"/>
    <w:rsid w:val="00366E0D"/>
    <w:rsid w:val="0036794E"/>
    <w:rsid w:val="00367A3C"/>
    <w:rsid w:val="00367E9D"/>
    <w:rsid w:val="00370456"/>
    <w:rsid w:val="003705BD"/>
    <w:rsid w:val="0037080C"/>
    <w:rsid w:val="00370907"/>
    <w:rsid w:val="003709B7"/>
    <w:rsid w:val="00370B4D"/>
    <w:rsid w:val="00370F87"/>
    <w:rsid w:val="0037157F"/>
    <w:rsid w:val="00371B18"/>
    <w:rsid w:val="00371F0E"/>
    <w:rsid w:val="003728B4"/>
    <w:rsid w:val="00372C35"/>
    <w:rsid w:val="00372F84"/>
    <w:rsid w:val="0037329A"/>
    <w:rsid w:val="00373450"/>
    <w:rsid w:val="003736E8"/>
    <w:rsid w:val="003739E7"/>
    <w:rsid w:val="00373E54"/>
    <w:rsid w:val="00374019"/>
    <w:rsid w:val="00374095"/>
    <w:rsid w:val="0037479D"/>
    <w:rsid w:val="00375610"/>
    <w:rsid w:val="00375954"/>
    <w:rsid w:val="00375A95"/>
    <w:rsid w:val="00375B7D"/>
    <w:rsid w:val="00375B7F"/>
    <w:rsid w:val="00376118"/>
    <w:rsid w:val="00376165"/>
    <w:rsid w:val="0037638A"/>
    <w:rsid w:val="00376BE4"/>
    <w:rsid w:val="00377079"/>
    <w:rsid w:val="0037712F"/>
    <w:rsid w:val="003773DC"/>
    <w:rsid w:val="00377751"/>
    <w:rsid w:val="00377B93"/>
    <w:rsid w:val="00377E50"/>
    <w:rsid w:val="0038057C"/>
    <w:rsid w:val="00380B47"/>
    <w:rsid w:val="00380EFE"/>
    <w:rsid w:val="00380F76"/>
    <w:rsid w:val="00380F94"/>
    <w:rsid w:val="00381134"/>
    <w:rsid w:val="0038146C"/>
    <w:rsid w:val="0038174A"/>
    <w:rsid w:val="00381A3D"/>
    <w:rsid w:val="00381F4A"/>
    <w:rsid w:val="00382609"/>
    <w:rsid w:val="00382F17"/>
    <w:rsid w:val="00383EA8"/>
    <w:rsid w:val="0038448A"/>
    <w:rsid w:val="003847BF"/>
    <w:rsid w:val="003849CA"/>
    <w:rsid w:val="003849D3"/>
    <w:rsid w:val="00385516"/>
    <w:rsid w:val="0038563D"/>
    <w:rsid w:val="00385C90"/>
    <w:rsid w:val="00385E8F"/>
    <w:rsid w:val="00386124"/>
    <w:rsid w:val="003864D5"/>
    <w:rsid w:val="0038664B"/>
    <w:rsid w:val="00386BBD"/>
    <w:rsid w:val="00386BC3"/>
    <w:rsid w:val="00387728"/>
    <w:rsid w:val="00387B3A"/>
    <w:rsid w:val="00387D4D"/>
    <w:rsid w:val="003904C9"/>
    <w:rsid w:val="00390567"/>
    <w:rsid w:val="00390BF3"/>
    <w:rsid w:val="00390CE7"/>
    <w:rsid w:val="00390EF2"/>
    <w:rsid w:val="00391354"/>
    <w:rsid w:val="003927E6"/>
    <w:rsid w:val="00392BDC"/>
    <w:rsid w:val="00392E94"/>
    <w:rsid w:val="00392ED1"/>
    <w:rsid w:val="00393882"/>
    <w:rsid w:val="00393884"/>
    <w:rsid w:val="00393E10"/>
    <w:rsid w:val="00393FB9"/>
    <w:rsid w:val="003944A3"/>
    <w:rsid w:val="003946A3"/>
    <w:rsid w:val="00394BE3"/>
    <w:rsid w:val="003950C9"/>
    <w:rsid w:val="00395BC9"/>
    <w:rsid w:val="00396340"/>
    <w:rsid w:val="003966F6"/>
    <w:rsid w:val="00396759"/>
    <w:rsid w:val="0039677D"/>
    <w:rsid w:val="003972C9"/>
    <w:rsid w:val="00397406"/>
    <w:rsid w:val="003A0660"/>
    <w:rsid w:val="003A0B3E"/>
    <w:rsid w:val="003A0D52"/>
    <w:rsid w:val="003A147D"/>
    <w:rsid w:val="003A1A5B"/>
    <w:rsid w:val="003A1B1C"/>
    <w:rsid w:val="003A2545"/>
    <w:rsid w:val="003A2572"/>
    <w:rsid w:val="003A2CD7"/>
    <w:rsid w:val="003A2ED1"/>
    <w:rsid w:val="003A3867"/>
    <w:rsid w:val="003A3B64"/>
    <w:rsid w:val="003A455D"/>
    <w:rsid w:val="003A4C1A"/>
    <w:rsid w:val="003A4C47"/>
    <w:rsid w:val="003A5770"/>
    <w:rsid w:val="003A57F2"/>
    <w:rsid w:val="003A65EB"/>
    <w:rsid w:val="003A6724"/>
    <w:rsid w:val="003A6904"/>
    <w:rsid w:val="003A6E1A"/>
    <w:rsid w:val="003A758E"/>
    <w:rsid w:val="003A77FE"/>
    <w:rsid w:val="003A7800"/>
    <w:rsid w:val="003B006A"/>
    <w:rsid w:val="003B0667"/>
    <w:rsid w:val="003B06F6"/>
    <w:rsid w:val="003B079F"/>
    <w:rsid w:val="003B0B4A"/>
    <w:rsid w:val="003B0BA1"/>
    <w:rsid w:val="003B0CA8"/>
    <w:rsid w:val="003B11FB"/>
    <w:rsid w:val="003B1424"/>
    <w:rsid w:val="003B148C"/>
    <w:rsid w:val="003B1BD7"/>
    <w:rsid w:val="003B23C8"/>
    <w:rsid w:val="003B2431"/>
    <w:rsid w:val="003B28B5"/>
    <w:rsid w:val="003B2953"/>
    <w:rsid w:val="003B2D53"/>
    <w:rsid w:val="003B4066"/>
    <w:rsid w:val="003B4157"/>
    <w:rsid w:val="003B4357"/>
    <w:rsid w:val="003B44E3"/>
    <w:rsid w:val="003B4599"/>
    <w:rsid w:val="003B4B3B"/>
    <w:rsid w:val="003B50B3"/>
    <w:rsid w:val="003B5144"/>
    <w:rsid w:val="003B518D"/>
    <w:rsid w:val="003B5344"/>
    <w:rsid w:val="003B575D"/>
    <w:rsid w:val="003B59D3"/>
    <w:rsid w:val="003B5B13"/>
    <w:rsid w:val="003B61B7"/>
    <w:rsid w:val="003B6641"/>
    <w:rsid w:val="003B689C"/>
    <w:rsid w:val="003C10C1"/>
    <w:rsid w:val="003C1240"/>
    <w:rsid w:val="003C14E4"/>
    <w:rsid w:val="003C152D"/>
    <w:rsid w:val="003C15D6"/>
    <w:rsid w:val="003C16A5"/>
    <w:rsid w:val="003C18C0"/>
    <w:rsid w:val="003C1AE2"/>
    <w:rsid w:val="003C1F77"/>
    <w:rsid w:val="003C21EE"/>
    <w:rsid w:val="003C221A"/>
    <w:rsid w:val="003C24DB"/>
    <w:rsid w:val="003C28E1"/>
    <w:rsid w:val="003C2C64"/>
    <w:rsid w:val="003C2CF9"/>
    <w:rsid w:val="003C2DAB"/>
    <w:rsid w:val="003C2DC6"/>
    <w:rsid w:val="003C31AB"/>
    <w:rsid w:val="003C33DA"/>
    <w:rsid w:val="003C34A3"/>
    <w:rsid w:val="003C38E4"/>
    <w:rsid w:val="003C3A7D"/>
    <w:rsid w:val="003C4427"/>
    <w:rsid w:val="003C46A1"/>
    <w:rsid w:val="003C4700"/>
    <w:rsid w:val="003C4C05"/>
    <w:rsid w:val="003C4F8F"/>
    <w:rsid w:val="003C5108"/>
    <w:rsid w:val="003C5407"/>
    <w:rsid w:val="003C540B"/>
    <w:rsid w:val="003C59C1"/>
    <w:rsid w:val="003C5D18"/>
    <w:rsid w:val="003C603C"/>
    <w:rsid w:val="003C60B6"/>
    <w:rsid w:val="003C61EC"/>
    <w:rsid w:val="003C643B"/>
    <w:rsid w:val="003C6670"/>
    <w:rsid w:val="003C671A"/>
    <w:rsid w:val="003C6A82"/>
    <w:rsid w:val="003C6B59"/>
    <w:rsid w:val="003C6D18"/>
    <w:rsid w:val="003C6D46"/>
    <w:rsid w:val="003C702E"/>
    <w:rsid w:val="003D0177"/>
    <w:rsid w:val="003D05EA"/>
    <w:rsid w:val="003D0DF9"/>
    <w:rsid w:val="003D0EFE"/>
    <w:rsid w:val="003D2000"/>
    <w:rsid w:val="003D2322"/>
    <w:rsid w:val="003D2492"/>
    <w:rsid w:val="003D28F4"/>
    <w:rsid w:val="003D299E"/>
    <w:rsid w:val="003D2B15"/>
    <w:rsid w:val="003D2BD9"/>
    <w:rsid w:val="003D33D3"/>
    <w:rsid w:val="003D3512"/>
    <w:rsid w:val="003D3761"/>
    <w:rsid w:val="003D395C"/>
    <w:rsid w:val="003D3B03"/>
    <w:rsid w:val="003D413C"/>
    <w:rsid w:val="003D4232"/>
    <w:rsid w:val="003D4B47"/>
    <w:rsid w:val="003D4BB5"/>
    <w:rsid w:val="003D55E1"/>
    <w:rsid w:val="003D5B2C"/>
    <w:rsid w:val="003D636C"/>
    <w:rsid w:val="003D641A"/>
    <w:rsid w:val="003D672B"/>
    <w:rsid w:val="003D6ACA"/>
    <w:rsid w:val="003D71EB"/>
    <w:rsid w:val="003D7BC0"/>
    <w:rsid w:val="003DBD24"/>
    <w:rsid w:val="003E0086"/>
    <w:rsid w:val="003E0658"/>
    <w:rsid w:val="003E0AD0"/>
    <w:rsid w:val="003E0B9F"/>
    <w:rsid w:val="003E0F06"/>
    <w:rsid w:val="003E10FC"/>
    <w:rsid w:val="003E13A6"/>
    <w:rsid w:val="003E15D0"/>
    <w:rsid w:val="003E1F25"/>
    <w:rsid w:val="003E22CA"/>
    <w:rsid w:val="003E22CB"/>
    <w:rsid w:val="003E2343"/>
    <w:rsid w:val="003E276D"/>
    <w:rsid w:val="003E2950"/>
    <w:rsid w:val="003E29D2"/>
    <w:rsid w:val="003E2C87"/>
    <w:rsid w:val="003E36C1"/>
    <w:rsid w:val="003E3AFD"/>
    <w:rsid w:val="003E3D55"/>
    <w:rsid w:val="003E3D79"/>
    <w:rsid w:val="003E406B"/>
    <w:rsid w:val="003E40F4"/>
    <w:rsid w:val="003E4159"/>
    <w:rsid w:val="003E4191"/>
    <w:rsid w:val="003E41D4"/>
    <w:rsid w:val="003E48DB"/>
    <w:rsid w:val="003E4F96"/>
    <w:rsid w:val="003E521D"/>
    <w:rsid w:val="003E5361"/>
    <w:rsid w:val="003E57BA"/>
    <w:rsid w:val="003E5CCA"/>
    <w:rsid w:val="003E64B0"/>
    <w:rsid w:val="003E6547"/>
    <w:rsid w:val="003E69D4"/>
    <w:rsid w:val="003E7773"/>
    <w:rsid w:val="003E7CB5"/>
    <w:rsid w:val="003F03BF"/>
    <w:rsid w:val="003F08F3"/>
    <w:rsid w:val="003F0E18"/>
    <w:rsid w:val="003F1060"/>
    <w:rsid w:val="003F115E"/>
    <w:rsid w:val="003F14C2"/>
    <w:rsid w:val="003F1698"/>
    <w:rsid w:val="003F1DC4"/>
    <w:rsid w:val="003F2210"/>
    <w:rsid w:val="003F26AD"/>
    <w:rsid w:val="003F3145"/>
    <w:rsid w:val="003F326C"/>
    <w:rsid w:val="003F32CA"/>
    <w:rsid w:val="003F32FE"/>
    <w:rsid w:val="003F34A4"/>
    <w:rsid w:val="003F38B0"/>
    <w:rsid w:val="003F3AD0"/>
    <w:rsid w:val="003F3C03"/>
    <w:rsid w:val="003F4050"/>
    <w:rsid w:val="003F4704"/>
    <w:rsid w:val="003F4AE4"/>
    <w:rsid w:val="003F4E67"/>
    <w:rsid w:val="003F4E6E"/>
    <w:rsid w:val="003F5093"/>
    <w:rsid w:val="003F5290"/>
    <w:rsid w:val="003F535C"/>
    <w:rsid w:val="003F5FBE"/>
    <w:rsid w:val="003F60FE"/>
    <w:rsid w:val="003F683F"/>
    <w:rsid w:val="003F68CF"/>
    <w:rsid w:val="003F68E5"/>
    <w:rsid w:val="003F6F39"/>
    <w:rsid w:val="003F70EF"/>
    <w:rsid w:val="003F7196"/>
    <w:rsid w:val="003F73C4"/>
    <w:rsid w:val="003F7722"/>
    <w:rsid w:val="003F7D87"/>
    <w:rsid w:val="00400401"/>
    <w:rsid w:val="00400458"/>
    <w:rsid w:val="0040084D"/>
    <w:rsid w:val="004008AF"/>
    <w:rsid w:val="00400A01"/>
    <w:rsid w:val="00400B5F"/>
    <w:rsid w:val="00400C89"/>
    <w:rsid w:val="004013B9"/>
    <w:rsid w:val="00401457"/>
    <w:rsid w:val="004018BE"/>
    <w:rsid w:val="00401A7F"/>
    <w:rsid w:val="00401BBB"/>
    <w:rsid w:val="00401CFA"/>
    <w:rsid w:val="00401DBF"/>
    <w:rsid w:val="004022E5"/>
    <w:rsid w:val="004022E6"/>
    <w:rsid w:val="004027EF"/>
    <w:rsid w:val="004029F9"/>
    <w:rsid w:val="00402A03"/>
    <w:rsid w:val="00402A11"/>
    <w:rsid w:val="004033D9"/>
    <w:rsid w:val="004034CC"/>
    <w:rsid w:val="00403663"/>
    <w:rsid w:val="0040429E"/>
    <w:rsid w:val="004043FA"/>
    <w:rsid w:val="00404889"/>
    <w:rsid w:val="00404A94"/>
    <w:rsid w:val="00404CFE"/>
    <w:rsid w:val="00405392"/>
    <w:rsid w:val="0040551F"/>
    <w:rsid w:val="00405A2E"/>
    <w:rsid w:val="00405A91"/>
    <w:rsid w:val="004064EE"/>
    <w:rsid w:val="00406896"/>
    <w:rsid w:val="0040691D"/>
    <w:rsid w:val="0040771F"/>
    <w:rsid w:val="00407940"/>
    <w:rsid w:val="00407B28"/>
    <w:rsid w:val="0041002D"/>
    <w:rsid w:val="0041004F"/>
    <w:rsid w:val="004101DA"/>
    <w:rsid w:val="00410976"/>
    <w:rsid w:val="00410AA7"/>
    <w:rsid w:val="00410D97"/>
    <w:rsid w:val="004111F7"/>
    <w:rsid w:val="004117E4"/>
    <w:rsid w:val="00411ABE"/>
    <w:rsid w:val="00411DC6"/>
    <w:rsid w:val="0041217D"/>
    <w:rsid w:val="0041232C"/>
    <w:rsid w:val="0041246E"/>
    <w:rsid w:val="004125C6"/>
    <w:rsid w:val="0041275F"/>
    <w:rsid w:val="00412D35"/>
    <w:rsid w:val="00412F4A"/>
    <w:rsid w:val="004132E6"/>
    <w:rsid w:val="0041376B"/>
    <w:rsid w:val="00413A8C"/>
    <w:rsid w:val="00413C90"/>
    <w:rsid w:val="00414197"/>
    <w:rsid w:val="00414652"/>
    <w:rsid w:val="0041496E"/>
    <w:rsid w:val="00414A15"/>
    <w:rsid w:val="00414A89"/>
    <w:rsid w:val="00414FBD"/>
    <w:rsid w:val="0041543C"/>
    <w:rsid w:val="00415442"/>
    <w:rsid w:val="00415513"/>
    <w:rsid w:val="004155B0"/>
    <w:rsid w:val="0041581C"/>
    <w:rsid w:val="00415842"/>
    <w:rsid w:val="00415863"/>
    <w:rsid w:val="004161EA"/>
    <w:rsid w:val="0041625C"/>
    <w:rsid w:val="004168D6"/>
    <w:rsid w:val="004175B4"/>
    <w:rsid w:val="004176E4"/>
    <w:rsid w:val="004178D3"/>
    <w:rsid w:val="00417992"/>
    <w:rsid w:val="00417AE5"/>
    <w:rsid w:val="00417AF0"/>
    <w:rsid w:val="004202FE"/>
    <w:rsid w:val="00421A89"/>
    <w:rsid w:val="00421C0C"/>
    <w:rsid w:val="00421EBC"/>
    <w:rsid w:val="00421F60"/>
    <w:rsid w:val="00421FB1"/>
    <w:rsid w:val="00422EB6"/>
    <w:rsid w:val="0042304B"/>
    <w:rsid w:val="00423FE9"/>
    <w:rsid w:val="00424084"/>
    <w:rsid w:val="004247E5"/>
    <w:rsid w:val="00424C87"/>
    <w:rsid w:val="004252C3"/>
    <w:rsid w:val="004254CD"/>
    <w:rsid w:val="00426229"/>
    <w:rsid w:val="004262E5"/>
    <w:rsid w:val="004263D7"/>
    <w:rsid w:val="0042659E"/>
    <w:rsid w:val="004265F3"/>
    <w:rsid w:val="00426B80"/>
    <w:rsid w:val="004273AD"/>
    <w:rsid w:val="00427714"/>
    <w:rsid w:val="00427ED6"/>
    <w:rsid w:val="0043007E"/>
    <w:rsid w:val="004305AE"/>
    <w:rsid w:val="0043084C"/>
    <w:rsid w:val="00430853"/>
    <w:rsid w:val="00430A85"/>
    <w:rsid w:val="00430F11"/>
    <w:rsid w:val="004311EB"/>
    <w:rsid w:val="004313CC"/>
    <w:rsid w:val="0043149A"/>
    <w:rsid w:val="00431800"/>
    <w:rsid w:val="00431B7E"/>
    <w:rsid w:val="00431F68"/>
    <w:rsid w:val="00433047"/>
    <w:rsid w:val="00433541"/>
    <w:rsid w:val="00433B4C"/>
    <w:rsid w:val="00433DD7"/>
    <w:rsid w:val="00433FB4"/>
    <w:rsid w:val="004340F4"/>
    <w:rsid w:val="0043448A"/>
    <w:rsid w:val="004345DB"/>
    <w:rsid w:val="00434750"/>
    <w:rsid w:val="00434B4B"/>
    <w:rsid w:val="004350EA"/>
    <w:rsid w:val="00436514"/>
    <w:rsid w:val="00436E16"/>
    <w:rsid w:val="00436F88"/>
    <w:rsid w:val="0043774F"/>
    <w:rsid w:val="00437A96"/>
    <w:rsid w:val="00440FFB"/>
    <w:rsid w:val="004413A1"/>
    <w:rsid w:val="00441F14"/>
    <w:rsid w:val="00441F87"/>
    <w:rsid w:val="004423F7"/>
    <w:rsid w:val="004429C8"/>
    <w:rsid w:val="00442A49"/>
    <w:rsid w:val="00442EBF"/>
    <w:rsid w:val="00442EDE"/>
    <w:rsid w:val="00443268"/>
    <w:rsid w:val="0044343B"/>
    <w:rsid w:val="0044386C"/>
    <w:rsid w:val="00443CA3"/>
    <w:rsid w:val="00444111"/>
    <w:rsid w:val="00444A91"/>
    <w:rsid w:val="00445A89"/>
    <w:rsid w:val="00445AEE"/>
    <w:rsid w:val="00445B4F"/>
    <w:rsid w:val="00445E64"/>
    <w:rsid w:val="00445F36"/>
    <w:rsid w:val="0044690B"/>
    <w:rsid w:val="004469E0"/>
    <w:rsid w:val="00446B6C"/>
    <w:rsid w:val="00446BBE"/>
    <w:rsid w:val="00446BC9"/>
    <w:rsid w:val="00446D6F"/>
    <w:rsid w:val="00447680"/>
    <w:rsid w:val="0044782C"/>
    <w:rsid w:val="00447D1C"/>
    <w:rsid w:val="00447D6C"/>
    <w:rsid w:val="0045093D"/>
    <w:rsid w:val="00450AE2"/>
    <w:rsid w:val="00450AFE"/>
    <w:rsid w:val="00450E5C"/>
    <w:rsid w:val="0045149F"/>
    <w:rsid w:val="00451645"/>
    <w:rsid w:val="00451665"/>
    <w:rsid w:val="00451717"/>
    <w:rsid w:val="004517DB"/>
    <w:rsid w:val="0045191F"/>
    <w:rsid w:val="004519D7"/>
    <w:rsid w:val="00452127"/>
    <w:rsid w:val="0045216D"/>
    <w:rsid w:val="004524EF"/>
    <w:rsid w:val="004525AB"/>
    <w:rsid w:val="0045327F"/>
    <w:rsid w:val="00453315"/>
    <w:rsid w:val="00453B69"/>
    <w:rsid w:val="004542F1"/>
    <w:rsid w:val="004545A8"/>
    <w:rsid w:val="004547E1"/>
    <w:rsid w:val="00454F8E"/>
    <w:rsid w:val="00455390"/>
    <w:rsid w:val="004553AB"/>
    <w:rsid w:val="00455548"/>
    <w:rsid w:val="00455653"/>
    <w:rsid w:val="00455656"/>
    <w:rsid w:val="004559AD"/>
    <w:rsid w:val="00455DA0"/>
    <w:rsid w:val="00456386"/>
    <w:rsid w:val="00456A36"/>
    <w:rsid w:val="00456F5D"/>
    <w:rsid w:val="00456F75"/>
    <w:rsid w:val="00457510"/>
    <w:rsid w:val="004578E6"/>
    <w:rsid w:val="00457A6C"/>
    <w:rsid w:val="00457C82"/>
    <w:rsid w:val="0046089E"/>
    <w:rsid w:val="004619FF"/>
    <w:rsid w:val="00461A8E"/>
    <w:rsid w:val="00461B8A"/>
    <w:rsid w:val="00461C01"/>
    <w:rsid w:val="00462778"/>
    <w:rsid w:val="00463041"/>
    <w:rsid w:val="0046336D"/>
    <w:rsid w:val="00463A99"/>
    <w:rsid w:val="004642B4"/>
    <w:rsid w:val="004647AF"/>
    <w:rsid w:val="00464853"/>
    <w:rsid w:val="00464EBB"/>
    <w:rsid w:val="00464F6C"/>
    <w:rsid w:val="004651E4"/>
    <w:rsid w:val="00465291"/>
    <w:rsid w:val="004653BF"/>
    <w:rsid w:val="004654A1"/>
    <w:rsid w:val="00465663"/>
    <w:rsid w:val="00466245"/>
    <w:rsid w:val="004663AF"/>
    <w:rsid w:val="004668ED"/>
    <w:rsid w:val="004679CE"/>
    <w:rsid w:val="00467D73"/>
    <w:rsid w:val="004703CC"/>
    <w:rsid w:val="00470BED"/>
    <w:rsid w:val="00470E42"/>
    <w:rsid w:val="00470F92"/>
    <w:rsid w:val="00471579"/>
    <w:rsid w:val="0047179C"/>
    <w:rsid w:val="00471D0D"/>
    <w:rsid w:val="00473208"/>
    <w:rsid w:val="00473218"/>
    <w:rsid w:val="00473ED4"/>
    <w:rsid w:val="004741FE"/>
    <w:rsid w:val="00474369"/>
    <w:rsid w:val="004746BA"/>
    <w:rsid w:val="0047488B"/>
    <w:rsid w:val="00474E01"/>
    <w:rsid w:val="0047515B"/>
    <w:rsid w:val="004757A4"/>
    <w:rsid w:val="00475A83"/>
    <w:rsid w:val="00475E14"/>
    <w:rsid w:val="00475F3B"/>
    <w:rsid w:val="00475FE3"/>
    <w:rsid w:val="00476184"/>
    <w:rsid w:val="00476882"/>
    <w:rsid w:val="00477497"/>
    <w:rsid w:val="00477858"/>
    <w:rsid w:val="004778EC"/>
    <w:rsid w:val="004779B6"/>
    <w:rsid w:val="00477AD5"/>
    <w:rsid w:val="00477CBA"/>
    <w:rsid w:val="00477D54"/>
    <w:rsid w:val="004805A9"/>
    <w:rsid w:val="00480CD1"/>
    <w:rsid w:val="00481708"/>
    <w:rsid w:val="00481864"/>
    <w:rsid w:val="00481978"/>
    <w:rsid w:val="0048197D"/>
    <w:rsid w:val="00481DBC"/>
    <w:rsid w:val="00482149"/>
    <w:rsid w:val="00482245"/>
    <w:rsid w:val="00482804"/>
    <w:rsid w:val="0048299C"/>
    <w:rsid w:val="00482A4E"/>
    <w:rsid w:val="00482B47"/>
    <w:rsid w:val="0048323E"/>
    <w:rsid w:val="0048338E"/>
    <w:rsid w:val="00483872"/>
    <w:rsid w:val="00483B81"/>
    <w:rsid w:val="00483CE8"/>
    <w:rsid w:val="00483F3B"/>
    <w:rsid w:val="00483F4F"/>
    <w:rsid w:val="00484B64"/>
    <w:rsid w:val="00484C8D"/>
    <w:rsid w:val="00484DC5"/>
    <w:rsid w:val="00484E5E"/>
    <w:rsid w:val="004850B9"/>
    <w:rsid w:val="00485116"/>
    <w:rsid w:val="00485675"/>
    <w:rsid w:val="0048571D"/>
    <w:rsid w:val="00485868"/>
    <w:rsid w:val="0048590F"/>
    <w:rsid w:val="00485BF3"/>
    <w:rsid w:val="00485EBC"/>
    <w:rsid w:val="004865DB"/>
    <w:rsid w:val="004866A0"/>
    <w:rsid w:val="004868DD"/>
    <w:rsid w:val="00486F93"/>
    <w:rsid w:val="004875D6"/>
    <w:rsid w:val="004877DD"/>
    <w:rsid w:val="00487B2A"/>
    <w:rsid w:val="00487C85"/>
    <w:rsid w:val="00487D0B"/>
    <w:rsid w:val="00487E2D"/>
    <w:rsid w:val="00490DC4"/>
    <w:rsid w:val="004917DF"/>
    <w:rsid w:val="00491A0F"/>
    <w:rsid w:val="0049224B"/>
    <w:rsid w:val="0049230D"/>
    <w:rsid w:val="00492D21"/>
    <w:rsid w:val="00492D2E"/>
    <w:rsid w:val="0049306C"/>
    <w:rsid w:val="00493413"/>
    <w:rsid w:val="004936B7"/>
    <w:rsid w:val="00493C78"/>
    <w:rsid w:val="00493D98"/>
    <w:rsid w:val="00493F2B"/>
    <w:rsid w:val="00494C60"/>
    <w:rsid w:val="00494F18"/>
    <w:rsid w:val="00494F64"/>
    <w:rsid w:val="004955AC"/>
    <w:rsid w:val="00495C66"/>
    <w:rsid w:val="00495FB9"/>
    <w:rsid w:val="004962A0"/>
    <w:rsid w:val="00497B9F"/>
    <w:rsid w:val="00497CBE"/>
    <w:rsid w:val="004A0007"/>
    <w:rsid w:val="004A0378"/>
    <w:rsid w:val="004A05FA"/>
    <w:rsid w:val="004A0F51"/>
    <w:rsid w:val="004A1091"/>
    <w:rsid w:val="004A17A7"/>
    <w:rsid w:val="004A1B06"/>
    <w:rsid w:val="004A2084"/>
    <w:rsid w:val="004A2551"/>
    <w:rsid w:val="004A2D86"/>
    <w:rsid w:val="004A306D"/>
    <w:rsid w:val="004A3EFE"/>
    <w:rsid w:val="004A4430"/>
    <w:rsid w:val="004A46B3"/>
    <w:rsid w:val="004A4836"/>
    <w:rsid w:val="004A4FDF"/>
    <w:rsid w:val="004A5133"/>
    <w:rsid w:val="004A5425"/>
    <w:rsid w:val="004A5489"/>
    <w:rsid w:val="004A5594"/>
    <w:rsid w:val="004A5E73"/>
    <w:rsid w:val="004A663A"/>
    <w:rsid w:val="004A69D2"/>
    <w:rsid w:val="004A6A02"/>
    <w:rsid w:val="004A6C1F"/>
    <w:rsid w:val="004A700F"/>
    <w:rsid w:val="004A7A52"/>
    <w:rsid w:val="004A7AC1"/>
    <w:rsid w:val="004A7E38"/>
    <w:rsid w:val="004B04E6"/>
    <w:rsid w:val="004B0679"/>
    <w:rsid w:val="004B0A91"/>
    <w:rsid w:val="004B0B51"/>
    <w:rsid w:val="004B120F"/>
    <w:rsid w:val="004B1228"/>
    <w:rsid w:val="004B14C6"/>
    <w:rsid w:val="004B1817"/>
    <w:rsid w:val="004B18DD"/>
    <w:rsid w:val="004B19FE"/>
    <w:rsid w:val="004B1C54"/>
    <w:rsid w:val="004B2038"/>
    <w:rsid w:val="004B20D5"/>
    <w:rsid w:val="004B2482"/>
    <w:rsid w:val="004B2A4D"/>
    <w:rsid w:val="004B2A60"/>
    <w:rsid w:val="004B2D16"/>
    <w:rsid w:val="004B2F45"/>
    <w:rsid w:val="004B2FDB"/>
    <w:rsid w:val="004B306B"/>
    <w:rsid w:val="004B33C2"/>
    <w:rsid w:val="004B35CB"/>
    <w:rsid w:val="004B36B4"/>
    <w:rsid w:val="004B39FF"/>
    <w:rsid w:val="004B3EDA"/>
    <w:rsid w:val="004B4214"/>
    <w:rsid w:val="004B445A"/>
    <w:rsid w:val="004B4627"/>
    <w:rsid w:val="004B49AB"/>
    <w:rsid w:val="004B5397"/>
    <w:rsid w:val="004B5C72"/>
    <w:rsid w:val="004B60AD"/>
    <w:rsid w:val="004B65D8"/>
    <w:rsid w:val="004B663D"/>
    <w:rsid w:val="004B66FD"/>
    <w:rsid w:val="004B67AB"/>
    <w:rsid w:val="004B689D"/>
    <w:rsid w:val="004B6A24"/>
    <w:rsid w:val="004B6A66"/>
    <w:rsid w:val="004B6CDD"/>
    <w:rsid w:val="004B744F"/>
    <w:rsid w:val="004B787F"/>
    <w:rsid w:val="004B78DB"/>
    <w:rsid w:val="004B79C0"/>
    <w:rsid w:val="004C062C"/>
    <w:rsid w:val="004C07C9"/>
    <w:rsid w:val="004C0925"/>
    <w:rsid w:val="004C0E06"/>
    <w:rsid w:val="004C0E97"/>
    <w:rsid w:val="004C11B6"/>
    <w:rsid w:val="004C17C3"/>
    <w:rsid w:val="004C1D33"/>
    <w:rsid w:val="004C2854"/>
    <w:rsid w:val="004C295D"/>
    <w:rsid w:val="004C2DE6"/>
    <w:rsid w:val="004C2EDA"/>
    <w:rsid w:val="004C2F46"/>
    <w:rsid w:val="004C33E6"/>
    <w:rsid w:val="004C3ACC"/>
    <w:rsid w:val="004C3F01"/>
    <w:rsid w:val="004C4292"/>
    <w:rsid w:val="004C4481"/>
    <w:rsid w:val="004C45CA"/>
    <w:rsid w:val="004C4799"/>
    <w:rsid w:val="004C48C8"/>
    <w:rsid w:val="004C5157"/>
    <w:rsid w:val="004C598D"/>
    <w:rsid w:val="004C61BB"/>
    <w:rsid w:val="004C720A"/>
    <w:rsid w:val="004C72A7"/>
    <w:rsid w:val="004C735B"/>
    <w:rsid w:val="004C7444"/>
    <w:rsid w:val="004C752D"/>
    <w:rsid w:val="004C7EA9"/>
    <w:rsid w:val="004C7F61"/>
    <w:rsid w:val="004D050A"/>
    <w:rsid w:val="004D098B"/>
    <w:rsid w:val="004D0C80"/>
    <w:rsid w:val="004D10A5"/>
    <w:rsid w:val="004D12C5"/>
    <w:rsid w:val="004D12DC"/>
    <w:rsid w:val="004D1328"/>
    <w:rsid w:val="004D1D1C"/>
    <w:rsid w:val="004D1F5B"/>
    <w:rsid w:val="004D20D3"/>
    <w:rsid w:val="004D25D9"/>
    <w:rsid w:val="004D2973"/>
    <w:rsid w:val="004D2AB2"/>
    <w:rsid w:val="004D2B2D"/>
    <w:rsid w:val="004D2FBA"/>
    <w:rsid w:val="004D35F4"/>
    <w:rsid w:val="004D367C"/>
    <w:rsid w:val="004D3897"/>
    <w:rsid w:val="004D3FB1"/>
    <w:rsid w:val="004D4425"/>
    <w:rsid w:val="004D4B37"/>
    <w:rsid w:val="004D4B55"/>
    <w:rsid w:val="004D4E94"/>
    <w:rsid w:val="004D535A"/>
    <w:rsid w:val="004D56F6"/>
    <w:rsid w:val="004D59B3"/>
    <w:rsid w:val="004D65D4"/>
    <w:rsid w:val="004D67A8"/>
    <w:rsid w:val="004D6AE5"/>
    <w:rsid w:val="004D6CD3"/>
    <w:rsid w:val="004D6FA7"/>
    <w:rsid w:val="004D7A11"/>
    <w:rsid w:val="004D7E93"/>
    <w:rsid w:val="004E00C6"/>
    <w:rsid w:val="004E021A"/>
    <w:rsid w:val="004E0B42"/>
    <w:rsid w:val="004E0EE5"/>
    <w:rsid w:val="004E0F0D"/>
    <w:rsid w:val="004E1261"/>
    <w:rsid w:val="004E1E3F"/>
    <w:rsid w:val="004E20F8"/>
    <w:rsid w:val="004E2427"/>
    <w:rsid w:val="004E27A4"/>
    <w:rsid w:val="004E2929"/>
    <w:rsid w:val="004E2BD6"/>
    <w:rsid w:val="004E2BED"/>
    <w:rsid w:val="004E2F33"/>
    <w:rsid w:val="004E3031"/>
    <w:rsid w:val="004E3091"/>
    <w:rsid w:val="004E30D8"/>
    <w:rsid w:val="004E3556"/>
    <w:rsid w:val="004E39B7"/>
    <w:rsid w:val="004E3B18"/>
    <w:rsid w:val="004E3E60"/>
    <w:rsid w:val="004E3F40"/>
    <w:rsid w:val="004E4DF3"/>
    <w:rsid w:val="004E4F18"/>
    <w:rsid w:val="004E50FE"/>
    <w:rsid w:val="004E5157"/>
    <w:rsid w:val="004E5888"/>
    <w:rsid w:val="004E6276"/>
    <w:rsid w:val="004E6AFC"/>
    <w:rsid w:val="004E6DFD"/>
    <w:rsid w:val="004E7892"/>
    <w:rsid w:val="004E792A"/>
    <w:rsid w:val="004E7B27"/>
    <w:rsid w:val="004F02C3"/>
    <w:rsid w:val="004F08E2"/>
    <w:rsid w:val="004F0B60"/>
    <w:rsid w:val="004F0C7D"/>
    <w:rsid w:val="004F0D55"/>
    <w:rsid w:val="004F0DA0"/>
    <w:rsid w:val="004F1202"/>
    <w:rsid w:val="004F1337"/>
    <w:rsid w:val="004F14B0"/>
    <w:rsid w:val="004F2D2C"/>
    <w:rsid w:val="004F2FB2"/>
    <w:rsid w:val="004F31BA"/>
    <w:rsid w:val="004F4174"/>
    <w:rsid w:val="004F4286"/>
    <w:rsid w:val="004F49E7"/>
    <w:rsid w:val="004F51CA"/>
    <w:rsid w:val="004F5DAC"/>
    <w:rsid w:val="004F685A"/>
    <w:rsid w:val="004F6AD3"/>
    <w:rsid w:val="004F6C8F"/>
    <w:rsid w:val="004F6D67"/>
    <w:rsid w:val="004F7239"/>
    <w:rsid w:val="004F7B2B"/>
    <w:rsid w:val="004F7F77"/>
    <w:rsid w:val="00500CDA"/>
    <w:rsid w:val="0050107B"/>
    <w:rsid w:val="00501386"/>
    <w:rsid w:val="005014FE"/>
    <w:rsid w:val="00501541"/>
    <w:rsid w:val="00501BD9"/>
    <w:rsid w:val="00501C25"/>
    <w:rsid w:val="00501E19"/>
    <w:rsid w:val="005025A7"/>
    <w:rsid w:val="005026B5"/>
    <w:rsid w:val="00502772"/>
    <w:rsid w:val="005027A6"/>
    <w:rsid w:val="00502DAE"/>
    <w:rsid w:val="00502FFB"/>
    <w:rsid w:val="005038A0"/>
    <w:rsid w:val="00503C88"/>
    <w:rsid w:val="00503E8B"/>
    <w:rsid w:val="00504A40"/>
    <w:rsid w:val="00504A82"/>
    <w:rsid w:val="00504BC5"/>
    <w:rsid w:val="00505118"/>
    <w:rsid w:val="00505316"/>
    <w:rsid w:val="005057A4"/>
    <w:rsid w:val="00505BCE"/>
    <w:rsid w:val="00505DE3"/>
    <w:rsid w:val="00505E19"/>
    <w:rsid w:val="0050607B"/>
    <w:rsid w:val="00506148"/>
    <w:rsid w:val="00506317"/>
    <w:rsid w:val="00506351"/>
    <w:rsid w:val="00506781"/>
    <w:rsid w:val="005069E9"/>
    <w:rsid w:val="00506BCB"/>
    <w:rsid w:val="00506CCD"/>
    <w:rsid w:val="0050770B"/>
    <w:rsid w:val="00507725"/>
    <w:rsid w:val="0051005E"/>
    <w:rsid w:val="005103C5"/>
    <w:rsid w:val="00510446"/>
    <w:rsid w:val="00510519"/>
    <w:rsid w:val="0051058A"/>
    <w:rsid w:val="00510A34"/>
    <w:rsid w:val="00510C56"/>
    <w:rsid w:val="00510D16"/>
    <w:rsid w:val="00510EF2"/>
    <w:rsid w:val="0051101C"/>
    <w:rsid w:val="0051116D"/>
    <w:rsid w:val="0051133D"/>
    <w:rsid w:val="00511736"/>
    <w:rsid w:val="00511937"/>
    <w:rsid w:val="00511CBD"/>
    <w:rsid w:val="00511D4C"/>
    <w:rsid w:val="00511E1F"/>
    <w:rsid w:val="00512146"/>
    <w:rsid w:val="005124BE"/>
    <w:rsid w:val="005125F3"/>
    <w:rsid w:val="0051312F"/>
    <w:rsid w:val="00513154"/>
    <w:rsid w:val="005131D3"/>
    <w:rsid w:val="0051352C"/>
    <w:rsid w:val="005138BF"/>
    <w:rsid w:val="00514122"/>
    <w:rsid w:val="00514234"/>
    <w:rsid w:val="00514273"/>
    <w:rsid w:val="005144E8"/>
    <w:rsid w:val="00514F97"/>
    <w:rsid w:val="00514FC2"/>
    <w:rsid w:val="0051514E"/>
    <w:rsid w:val="005154D3"/>
    <w:rsid w:val="00515888"/>
    <w:rsid w:val="005158CD"/>
    <w:rsid w:val="00515914"/>
    <w:rsid w:val="00515A3B"/>
    <w:rsid w:val="00515BFA"/>
    <w:rsid w:val="00515C1F"/>
    <w:rsid w:val="00515F8C"/>
    <w:rsid w:val="0051638D"/>
    <w:rsid w:val="00517A86"/>
    <w:rsid w:val="00517C13"/>
    <w:rsid w:val="00517F83"/>
    <w:rsid w:val="00520D50"/>
    <w:rsid w:val="00520F25"/>
    <w:rsid w:val="00521850"/>
    <w:rsid w:val="00521A99"/>
    <w:rsid w:val="00521B17"/>
    <w:rsid w:val="00521FC3"/>
    <w:rsid w:val="005223A2"/>
    <w:rsid w:val="005223DF"/>
    <w:rsid w:val="00522747"/>
    <w:rsid w:val="00522767"/>
    <w:rsid w:val="00522859"/>
    <w:rsid w:val="00522B55"/>
    <w:rsid w:val="00522C02"/>
    <w:rsid w:val="00522E5E"/>
    <w:rsid w:val="00522EF7"/>
    <w:rsid w:val="00522FB7"/>
    <w:rsid w:val="0052314E"/>
    <w:rsid w:val="0052315C"/>
    <w:rsid w:val="0052349D"/>
    <w:rsid w:val="0052444F"/>
    <w:rsid w:val="0052455A"/>
    <w:rsid w:val="0052468D"/>
    <w:rsid w:val="00524BE8"/>
    <w:rsid w:val="00524C73"/>
    <w:rsid w:val="00524F2E"/>
    <w:rsid w:val="0052575D"/>
    <w:rsid w:val="0052591D"/>
    <w:rsid w:val="00525998"/>
    <w:rsid w:val="005259B4"/>
    <w:rsid w:val="00525FC0"/>
    <w:rsid w:val="0052602B"/>
    <w:rsid w:val="005260A8"/>
    <w:rsid w:val="00526191"/>
    <w:rsid w:val="00526496"/>
    <w:rsid w:val="00526585"/>
    <w:rsid w:val="005266EF"/>
    <w:rsid w:val="00526733"/>
    <w:rsid w:val="005269D7"/>
    <w:rsid w:val="00526A11"/>
    <w:rsid w:val="00526C92"/>
    <w:rsid w:val="00526D57"/>
    <w:rsid w:val="00526E9F"/>
    <w:rsid w:val="00526F5F"/>
    <w:rsid w:val="0052725D"/>
    <w:rsid w:val="005275FC"/>
    <w:rsid w:val="0052768C"/>
    <w:rsid w:val="00527796"/>
    <w:rsid w:val="00527CE7"/>
    <w:rsid w:val="00527E0A"/>
    <w:rsid w:val="005302EE"/>
    <w:rsid w:val="00530896"/>
    <w:rsid w:val="0053100F"/>
    <w:rsid w:val="005310AF"/>
    <w:rsid w:val="00531517"/>
    <w:rsid w:val="005318B7"/>
    <w:rsid w:val="00531DBF"/>
    <w:rsid w:val="00532497"/>
    <w:rsid w:val="005325B5"/>
    <w:rsid w:val="005328D9"/>
    <w:rsid w:val="00532AC1"/>
    <w:rsid w:val="00532B84"/>
    <w:rsid w:val="005331FC"/>
    <w:rsid w:val="005336DB"/>
    <w:rsid w:val="005337EE"/>
    <w:rsid w:val="00533ACC"/>
    <w:rsid w:val="00533F3C"/>
    <w:rsid w:val="0053414E"/>
    <w:rsid w:val="0053416E"/>
    <w:rsid w:val="00534299"/>
    <w:rsid w:val="005342C3"/>
    <w:rsid w:val="00534707"/>
    <w:rsid w:val="00534816"/>
    <w:rsid w:val="005348D3"/>
    <w:rsid w:val="00534A2A"/>
    <w:rsid w:val="00534ABB"/>
    <w:rsid w:val="00534C3A"/>
    <w:rsid w:val="00535D2E"/>
    <w:rsid w:val="00535E71"/>
    <w:rsid w:val="00535FE0"/>
    <w:rsid w:val="005362F5"/>
    <w:rsid w:val="005363AC"/>
    <w:rsid w:val="005365B7"/>
    <w:rsid w:val="0053725B"/>
    <w:rsid w:val="00537325"/>
    <w:rsid w:val="00537AD8"/>
    <w:rsid w:val="00537AF8"/>
    <w:rsid w:val="00537CF3"/>
    <w:rsid w:val="00540776"/>
    <w:rsid w:val="005407B1"/>
    <w:rsid w:val="00540A46"/>
    <w:rsid w:val="00540C57"/>
    <w:rsid w:val="00540EED"/>
    <w:rsid w:val="0054142E"/>
    <w:rsid w:val="00541D2E"/>
    <w:rsid w:val="00541E04"/>
    <w:rsid w:val="005422FE"/>
    <w:rsid w:val="005431D3"/>
    <w:rsid w:val="00543631"/>
    <w:rsid w:val="00543FC8"/>
    <w:rsid w:val="00544198"/>
    <w:rsid w:val="005445A9"/>
    <w:rsid w:val="00544CBB"/>
    <w:rsid w:val="00544CBC"/>
    <w:rsid w:val="005457F7"/>
    <w:rsid w:val="005458EC"/>
    <w:rsid w:val="00545B93"/>
    <w:rsid w:val="00545E2B"/>
    <w:rsid w:val="00545F6A"/>
    <w:rsid w:val="005464CE"/>
    <w:rsid w:val="00547017"/>
    <w:rsid w:val="005479D8"/>
    <w:rsid w:val="00550216"/>
    <w:rsid w:val="0055028D"/>
    <w:rsid w:val="00550AC4"/>
    <w:rsid w:val="00550ACA"/>
    <w:rsid w:val="00550FFE"/>
    <w:rsid w:val="0055104F"/>
    <w:rsid w:val="00551055"/>
    <w:rsid w:val="005513D7"/>
    <w:rsid w:val="00551B35"/>
    <w:rsid w:val="00551E13"/>
    <w:rsid w:val="00551FBC"/>
    <w:rsid w:val="0055292B"/>
    <w:rsid w:val="005531BD"/>
    <w:rsid w:val="0055379B"/>
    <w:rsid w:val="005537F0"/>
    <w:rsid w:val="00553CB7"/>
    <w:rsid w:val="00553E71"/>
    <w:rsid w:val="00553FA7"/>
    <w:rsid w:val="005540DA"/>
    <w:rsid w:val="005546C3"/>
    <w:rsid w:val="0055480F"/>
    <w:rsid w:val="00554ADE"/>
    <w:rsid w:val="00554B4B"/>
    <w:rsid w:val="00554B7E"/>
    <w:rsid w:val="005556E0"/>
    <w:rsid w:val="00555729"/>
    <w:rsid w:val="00555858"/>
    <w:rsid w:val="00555BE0"/>
    <w:rsid w:val="00555E2D"/>
    <w:rsid w:val="00555FC5"/>
    <w:rsid w:val="00556315"/>
    <w:rsid w:val="005567B2"/>
    <w:rsid w:val="0055691E"/>
    <w:rsid w:val="00556BEF"/>
    <w:rsid w:val="0055766C"/>
    <w:rsid w:val="00557870"/>
    <w:rsid w:val="0055790C"/>
    <w:rsid w:val="00557F4B"/>
    <w:rsid w:val="00560277"/>
    <w:rsid w:val="005602E2"/>
    <w:rsid w:val="00560938"/>
    <w:rsid w:val="00560AF1"/>
    <w:rsid w:val="00561562"/>
    <w:rsid w:val="0056179D"/>
    <w:rsid w:val="0056207C"/>
    <w:rsid w:val="0056223E"/>
    <w:rsid w:val="00562529"/>
    <w:rsid w:val="005629B4"/>
    <w:rsid w:val="00562D8F"/>
    <w:rsid w:val="00562FDC"/>
    <w:rsid w:val="00563163"/>
    <w:rsid w:val="00563DE6"/>
    <w:rsid w:val="00563F84"/>
    <w:rsid w:val="0056452B"/>
    <w:rsid w:val="0056496E"/>
    <w:rsid w:val="00564A0C"/>
    <w:rsid w:val="0056528D"/>
    <w:rsid w:val="005657C7"/>
    <w:rsid w:val="00565EC3"/>
    <w:rsid w:val="0056628B"/>
    <w:rsid w:val="00566298"/>
    <w:rsid w:val="005666CE"/>
    <w:rsid w:val="00566873"/>
    <w:rsid w:val="005669A2"/>
    <w:rsid w:val="005669FB"/>
    <w:rsid w:val="00566DFB"/>
    <w:rsid w:val="005671DB"/>
    <w:rsid w:val="005673E2"/>
    <w:rsid w:val="0056799D"/>
    <w:rsid w:val="00567EF4"/>
    <w:rsid w:val="00570272"/>
    <w:rsid w:val="0057045D"/>
    <w:rsid w:val="005706FA"/>
    <w:rsid w:val="0057091E"/>
    <w:rsid w:val="00570C23"/>
    <w:rsid w:val="00570FFE"/>
    <w:rsid w:val="005711EB"/>
    <w:rsid w:val="00571879"/>
    <w:rsid w:val="00571F90"/>
    <w:rsid w:val="00571FDC"/>
    <w:rsid w:val="005721A8"/>
    <w:rsid w:val="005723D6"/>
    <w:rsid w:val="005727C5"/>
    <w:rsid w:val="00572B70"/>
    <w:rsid w:val="00572FCB"/>
    <w:rsid w:val="00573A17"/>
    <w:rsid w:val="005740C3"/>
    <w:rsid w:val="005741FB"/>
    <w:rsid w:val="0057440C"/>
    <w:rsid w:val="005748DA"/>
    <w:rsid w:val="00574A6E"/>
    <w:rsid w:val="00574DE5"/>
    <w:rsid w:val="00574FD5"/>
    <w:rsid w:val="005750EE"/>
    <w:rsid w:val="00575116"/>
    <w:rsid w:val="00575395"/>
    <w:rsid w:val="005753A2"/>
    <w:rsid w:val="0057541E"/>
    <w:rsid w:val="00575B29"/>
    <w:rsid w:val="0057645B"/>
    <w:rsid w:val="005767D9"/>
    <w:rsid w:val="00577145"/>
    <w:rsid w:val="005773BE"/>
    <w:rsid w:val="00580285"/>
    <w:rsid w:val="00580843"/>
    <w:rsid w:val="00580951"/>
    <w:rsid w:val="00580A1B"/>
    <w:rsid w:val="00580C1C"/>
    <w:rsid w:val="00580E9D"/>
    <w:rsid w:val="00581CF3"/>
    <w:rsid w:val="00582341"/>
    <w:rsid w:val="00582365"/>
    <w:rsid w:val="00582C4E"/>
    <w:rsid w:val="00582D1F"/>
    <w:rsid w:val="00583290"/>
    <w:rsid w:val="00583724"/>
    <w:rsid w:val="0058389B"/>
    <w:rsid w:val="005839A4"/>
    <w:rsid w:val="00583DAC"/>
    <w:rsid w:val="00583DF6"/>
    <w:rsid w:val="00584314"/>
    <w:rsid w:val="005845B5"/>
    <w:rsid w:val="0058488F"/>
    <w:rsid w:val="0058543B"/>
    <w:rsid w:val="00585530"/>
    <w:rsid w:val="00585C1B"/>
    <w:rsid w:val="00585D53"/>
    <w:rsid w:val="00585E3B"/>
    <w:rsid w:val="005865A8"/>
    <w:rsid w:val="005866EA"/>
    <w:rsid w:val="00586825"/>
    <w:rsid w:val="00586CDD"/>
    <w:rsid w:val="00586D62"/>
    <w:rsid w:val="00586D7F"/>
    <w:rsid w:val="005871A2"/>
    <w:rsid w:val="00587639"/>
    <w:rsid w:val="0058785B"/>
    <w:rsid w:val="00587C0A"/>
    <w:rsid w:val="00590051"/>
    <w:rsid w:val="00590903"/>
    <w:rsid w:val="00590A58"/>
    <w:rsid w:val="00590CCD"/>
    <w:rsid w:val="00590DF1"/>
    <w:rsid w:val="00590F18"/>
    <w:rsid w:val="00590FAE"/>
    <w:rsid w:val="00591495"/>
    <w:rsid w:val="00591BBC"/>
    <w:rsid w:val="005921E7"/>
    <w:rsid w:val="005922C6"/>
    <w:rsid w:val="00592638"/>
    <w:rsid w:val="0059275C"/>
    <w:rsid w:val="00593138"/>
    <w:rsid w:val="00593141"/>
    <w:rsid w:val="005933DC"/>
    <w:rsid w:val="005933E9"/>
    <w:rsid w:val="00593A33"/>
    <w:rsid w:val="005947B5"/>
    <w:rsid w:val="00594900"/>
    <w:rsid w:val="00594AA0"/>
    <w:rsid w:val="00594D94"/>
    <w:rsid w:val="00594EB3"/>
    <w:rsid w:val="00594F3C"/>
    <w:rsid w:val="0059518D"/>
    <w:rsid w:val="00595228"/>
    <w:rsid w:val="00596024"/>
    <w:rsid w:val="005960BB"/>
    <w:rsid w:val="005968C0"/>
    <w:rsid w:val="00596A50"/>
    <w:rsid w:val="005972FB"/>
    <w:rsid w:val="00597407"/>
    <w:rsid w:val="00597633"/>
    <w:rsid w:val="00597B88"/>
    <w:rsid w:val="00597B8C"/>
    <w:rsid w:val="005A0496"/>
    <w:rsid w:val="005A0726"/>
    <w:rsid w:val="005A0FA7"/>
    <w:rsid w:val="005A12AF"/>
    <w:rsid w:val="005A13E7"/>
    <w:rsid w:val="005A1493"/>
    <w:rsid w:val="005A1FC8"/>
    <w:rsid w:val="005A261F"/>
    <w:rsid w:val="005A2BAB"/>
    <w:rsid w:val="005A3D36"/>
    <w:rsid w:val="005A3E20"/>
    <w:rsid w:val="005A3F6E"/>
    <w:rsid w:val="005A4047"/>
    <w:rsid w:val="005A4384"/>
    <w:rsid w:val="005A4522"/>
    <w:rsid w:val="005A4F58"/>
    <w:rsid w:val="005A507E"/>
    <w:rsid w:val="005A5C08"/>
    <w:rsid w:val="005A5FFC"/>
    <w:rsid w:val="005A6297"/>
    <w:rsid w:val="005A65D8"/>
    <w:rsid w:val="005A6BD9"/>
    <w:rsid w:val="005A6DE8"/>
    <w:rsid w:val="005A6ED9"/>
    <w:rsid w:val="005A7012"/>
    <w:rsid w:val="005A7078"/>
    <w:rsid w:val="005A7226"/>
    <w:rsid w:val="005A7A5E"/>
    <w:rsid w:val="005B00EC"/>
    <w:rsid w:val="005B014E"/>
    <w:rsid w:val="005B099F"/>
    <w:rsid w:val="005B0B1D"/>
    <w:rsid w:val="005B116C"/>
    <w:rsid w:val="005B14C7"/>
    <w:rsid w:val="005B18D6"/>
    <w:rsid w:val="005B1C07"/>
    <w:rsid w:val="005B2188"/>
    <w:rsid w:val="005B2432"/>
    <w:rsid w:val="005B2833"/>
    <w:rsid w:val="005B2E86"/>
    <w:rsid w:val="005B2EBB"/>
    <w:rsid w:val="005B2EE1"/>
    <w:rsid w:val="005B3432"/>
    <w:rsid w:val="005B35A8"/>
    <w:rsid w:val="005B382D"/>
    <w:rsid w:val="005B3BD6"/>
    <w:rsid w:val="005B3CAA"/>
    <w:rsid w:val="005B4308"/>
    <w:rsid w:val="005B48C6"/>
    <w:rsid w:val="005B4B35"/>
    <w:rsid w:val="005B4C1B"/>
    <w:rsid w:val="005B4F75"/>
    <w:rsid w:val="005B51AB"/>
    <w:rsid w:val="005B56C2"/>
    <w:rsid w:val="005B57DF"/>
    <w:rsid w:val="005B5C88"/>
    <w:rsid w:val="005B5EFF"/>
    <w:rsid w:val="005B6C8E"/>
    <w:rsid w:val="005B6D8D"/>
    <w:rsid w:val="005B7982"/>
    <w:rsid w:val="005B79E5"/>
    <w:rsid w:val="005B7CAF"/>
    <w:rsid w:val="005B7D6C"/>
    <w:rsid w:val="005B7EEB"/>
    <w:rsid w:val="005C0F3F"/>
    <w:rsid w:val="005C0F71"/>
    <w:rsid w:val="005C1088"/>
    <w:rsid w:val="005C172F"/>
    <w:rsid w:val="005C1A33"/>
    <w:rsid w:val="005C2047"/>
    <w:rsid w:val="005C23CA"/>
    <w:rsid w:val="005C24F9"/>
    <w:rsid w:val="005C250F"/>
    <w:rsid w:val="005C282B"/>
    <w:rsid w:val="005C28D4"/>
    <w:rsid w:val="005C2E93"/>
    <w:rsid w:val="005C2F8A"/>
    <w:rsid w:val="005C3179"/>
    <w:rsid w:val="005C389A"/>
    <w:rsid w:val="005C3DAB"/>
    <w:rsid w:val="005C3FB1"/>
    <w:rsid w:val="005C41D6"/>
    <w:rsid w:val="005C4B3E"/>
    <w:rsid w:val="005C4BF6"/>
    <w:rsid w:val="005C4FE4"/>
    <w:rsid w:val="005C5A95"/>
    <w:rsid w:val="005C5B12"/>
    <w:rsid w:val="005C5CA1"/>
    <w:rsid w:val="005C618E"/>
    <w:rsid w:val="005C679D"/>
    <w:rsid w:val="005C68CA"/>
    <w:rsid w:val="005C7215"/>
    <w:rsid w:val="005C723F"/>
    <w:rsid w:val="005C7301"/>
    <w:rsid w:val="005C7333"/>
    <w:rsid w:val="005C73C4"/>
    <w:rsid w:val="005C74C0"/>
    <w:rsid w:val="005C7BFC"/>
    <w:rsid w:val="005D00EA"/>
    <w:rsid w:val="005D01DB"/>
    <w:rsid w:val="005D023B"/>
    <w:rsid w:val="005D02C4"/>
    <w:rsid w:val="005D05D0"/>
    <w:rsid w:val="005D0704"/>
    <w:rsid w:val="005D0C04"/>
    <w:rsid w:val="005D13F8"/>
    <w:rsid w:val="005D14FE"/>
    <w:rsid w:val="005D1CA2"/>
    <w:rsid w:val="005D1EB8"/>
    <w:rsid w:val="005D221C"/>
    <w:rsid w:val="005D2304"/>
    <w:rsid w:val="005D254F"/>
    <w:rsid w:val="005D2788"/>
    <w:rsid w:val="005D2903"/>
    <w:rsid w:val="005D2945"/>
    <w:rsid w:val="005D2A24"/>
    <w:rsid w:val="005D2B7E"/>
    <w:rsid w:val="005D3893"/>
    <w:rsid w:val="005D3969"/>
    <w:rsid w:val="005D3A04"/>
    <w:rsid w:val="005D3B2E"/>
    <w:rsid w:val="005D4864"/>
    <w:rsid w:val="005D48FE"/>
    <w:rsid w:val="005D4D86"/>
    <w:rsid w:val="005D5106"/>
    <w:rsid w:val="005D5136"/>
    <w:rsid w:val="005D5337"/>
    <w:rsid w:val="005D5A7C"/>
    <w:rsid w:val="005D5E9B"/>
    <w:rsid w:val="005D61BE"/>
    <w:rsid w:val="005D6539"/>
    <w:rsid w:val="005D6D56"/>
    <w:rsid w:val="005D7247"/>
    <w:rsid w:val="005D726D"/>
    <w:rsid w:val="005D73BE"/>
    <w:rsid w:val="005D7471"/>
    <w:rsid w:val="005D749D"/>
    <w:rsid w:val="005D7818"/>
    <w:rsid w:val="005E0917"/>
    <w:rsid w:val="005E0DAB"/>
    <w:rsid w:val="005E1154"/>
    <w:rsid w:val="005E1231"/>
    <w:rsid w:val="005E1282"/>
    <w:rsid w:val="005E1414"/>
    <w:rsid w:val="005E15C4"/>
    <w:rsid w:val="005E1731"/>
    <w:rsid w:val="005E1759"/>
    <w:rsid w:val="005E18FF"/>
    <w:rsid w:val="005E1D58"/>
    <w:rsid w:val="005E1F96"/>
    <w:rsid w:val="005E2702"/>
    <w:rsid w:val="005E298A"/>
    <w:rsid w:val="005E29BD"/>
    <w:rsid w:val="005E2B3D"/>
    <w:rsid w:val="005E3451"/>
    <w:rsid w:val="005E35FE"/>
    <w:rsid w:val="005E3816"/>
    <w:rsid w:val="005E3AA4"/>
    <w:rsid w:val="005E407D"/>
    <w:rsid w:val="005E4186"/>
    <w:rsid w:val="005E453D"/>
    <w:rsid w:val="005E4EAA"/>
    <w:rsid w:val="005E5874"/>
    <w:rsid w:val="005E5912"/>
    <w:rsid w:val="005E5936"/>
    <w:rsid w:val="005E5CB7"/>
    <w:rsid w:val="005E5CF8"/>
    <w:rsid w:val="005E5D88"/>
    <w:rsid w:val="005E64D8"/>
    <w:rsid w:val="005E6CE4"/>
    <w:rsid w:val="005E6E62"/>
    <w:rsid w:val="005E701A"/>
    <w:rsid w:val="005E710B"/>
    <w:rsid w:val="005E75D5"/>
    <w:rsid w:val="005E7EDC"/>
    <w:rsid w:val="005F0211"/>
    <w:rsid w:val="005F03BC"/>
    <w:rsid w:val="005F1290"/>
    <w:rsid w:val="005F13F2"/>
    <w:rsid w:val="005F1454"/>
    <w:rsid w:val="005F1555"/>
    <w:rsid w:val="005F15F5"/>
    <w:rsid w:val="005F20FD"/>
    <w:rsid w:val="005F23BE"/>
    <w:rsid w:val="005F269D"/>
    <w:rsid w:val="005F2978"/>
    <w:rsid w:val="005F2B8B"/>
    <w:rsid w:val="005F2EA6"/>
    <w:rsid w:val="005F38D8"/>
    <w:rsid w:val="005F3B67"/>
    <w:rsid w:val="005F3B97"/>
    <w:rsid w:val="005F3F39"/>
    <w:rsid w:val="005F44D8"/>
    <w:rsid w:val="005F4670"/>
    <w:rsid w:val="005F4679"/>
    <w:rsid w:val="005F4721"/>
    <w:rsid w:val="005F47CE"/>
    <w:rsid w:val="005F489F"/>
    <w:rsid w:val="005F4CD5"/>
    <w:rsid w:val="005F558B"/>
    <w:rsid w:val="005F55B7"/>
    <w:rsid w:val="005F5ADA"/>
    <w:rsid w:val="005F6220"/>
    <w:rsid w:val="005F674B"/>
    <w:rsid w:val="005F6A7C"/>
    <w:rsid w:val="005F7073"/>
    <w:rsid w:val="005F720A"/>
    <w:rsid w:val="005F7A79"/>
    <w:rsid w:val="005F7B60"/>
    <w:rsid w:val="0060009F"/>
    <w:rsid w:val="006001EA"/>
    <w:rsid w:val="006007A3"/>
    <w:rsid w:val="00600BA1"/>
    <w:rsid w:val="00600E0E"/>
    <w:rsid w:val="00600EB5"/>
    <w:rsid w:val="0060129A"/>
    <w:rsid w:val="006016CB"/>
    <w:rsid w:val="006018A0"/>
    <w:rsid w:val="00601CC2"/>
    <w:rsid w:val="00601E22"/>
    <w:rsid w:val="00601F21"/>
    <w:rsid w:val="00602037"/>
    <w:rsid w:val="006021B6"/>
    <w:rsid w:val="006024AC"/>
    <w:rsid w:val="00602A59"/>
    <w:rsid w:val="00602F43"/>
    <w:rsid w:val="00603414"/>
    <w:rsid w:val="00603B08"/>
    <w:rsid w:val="00604548"/>
    <w:rsid w:val="00604582"/>
    <w:rsid w:val="00604A27"/>
    <w:rsid w:val="0060555E"/>
    <w:rsid w:val="00605776"/>
    <w:rsid w:val="00605801"/>
    <w:rsid w:val="00605CB9"/>
    <w:rsid w:val="00606E3D"/>
    <w:rsid w:val="00607054"/>
    <w:rsid w:val="0060770D"/>
    <w:rsid w:val="00607874"/>
    <w:rsid w:val="006079E0"/>
    <w:rsid w:val="00607AF6"/>
    <w:rsid w:val="00607EA5"/>
    <w:rsid w:val="00610162"/>
    <w:rsid w:val="00610ABA"/>
    <w:rsid w:val="006113EC"/>
    <w:rsid w:val="00611744"/>
    <w:rsid w:val="006118F4"/>
    <w:rsid w:val="00611C91"/>
    <w:rsid w:val="00611E73"/>
    <w:rsid w:val="006127F1"/>
    <w:rsid w:val="00612E78"/>
    <w:rsid w:val="00613037"/>
    <w:rsid w:val="006132BD"/>
    <w:rsid w:val="00613319"/>
    <w:rsid w:val="0061338F"/>
    <w:rsid w:val="006134CA"/>
    <w:rsid w:val="00613530"/>
    <w:rsid w:val="006135AB"/>
    <w:rsid w:val="006136E7"/>
    <w:rsid w:val="006138E4"/>
    <w:rsid w:val="00613D28"/>
    <w:rsid w:val="00613F43"/>
    <w:rsid w:val="006144B1"/>
    <w:rsid w:val="006144F6"/>
    <w:rsid w:val="006147F3"/>
    <w:rsid w:val="00614859"/>
    <w:rsid w:val="00614BA5"/>
    <w:rsid w:val="00614C87"/>
    <w:rsid w:val="00614C93"/>
    <w:rsid w:val="00614CF4"/>
    <w:rsid w:val="00615047"/>
    <w:rsid w:val="006155E3"/>
    <w:rsid w:val="006155FD"/>
    <w:rsid w:val="00615828"/>
    <w:rsid w:val="00615FCA"/>
    <w:rsid w:val="0061612B"/>
    <w:rsid w:val="00616407"/>
    <w:rsid w:val="006169FF"/>
    <w:rsid w:val="00617021"/>
    <w:rsid w:val="0061708A"/>
    <w:rsid w:val="00617179"/>
    <w:rsid w:val="00617386"/>
    <w:rsid w:val="006177A0"/>
    <w:rsid w:val="00620E5A"/>
    <w:rsid w:val="006219EA"/>
    <w:rsid w:val="00621F15"/>
    <w:rsid w:val="0062271B"/>
    <w:rsid w:val="00622752"/>
    <w:rsid w:val="00622F39"/>
    <w:rsid w:val="00624355"/>
    <w:rsid w:val="0062442F"/>
    <w:rsid w:val="00624B57"/>
    <w:rsid w:val="00624BEE"/>
    <w:rsid w:val="00624DA0"/>
    <w:rsid w:val="00624FBC"/>
    <w:rsid w:val="00625044"/>
    <w:rsid w:val="006250E9"/>
    <w:rsid w:val="00625ABB"/>
    <w:rsid w:val="00625E49"/>
    <w:rsid w:val="00626263"/>
    <w:rsid w:val="006262E3"/>
    <w:rsid w:val="00626337"/>
    <w:rsid w:val="00626BD6"/>
    <w:rsid w:val="00626C1D"/>
    <w:rsid w:val="0062796E"/>
    <w:rsid w:val="00627F5E"/>
    <w:rsid w:val="00630318"/>
    <w:rsid w:val="00630548"/>
    <w:rsid w:val="00630C9B"/>
    <w:rsid w:val="00630D39"/>
    <w:rsid w:val="006312DC"/>
    <w:rsid w:val="006313E9"/>
    <w:rsid w:val="00631527"/>
    <w:rsid w:val="006315E8"/>
    <w:rsid w:val="00631E7C"/>
    <w:rsid w:val="006326AE"/>
    <w:rsid w:val="00632844"/>
    <w:rsid w:val="00632A11"/>
    <w:rsid w:val="00632AA0"/>
    <w:rsid w:val="00632B92"/>
    <w:rsid w:val="00633379"/>
    <w:rsid w:val="00633516"/>
    <w:rsid w:val="0063371D"/>
    <w:rsid w:val="00633B2F"/>
    <w:rsid w:val="0063480B"/>
    <w:rsid w:val="00634943"/>
    <w:rsid w:val="00634BAC"/>
    <w:rsid w:val="00634BF0"/>
    <w:rsid w:val="00634C44"/>
    <w:rsid w:val="006354BC"/>
    <w:rsid w:val="00636774"/>
    <w:rsid w:val="006368E0"/>
    <w:rsid w:val="00636C12"/>
    <w:rsid w:val="00637122"/>
    <w:rsid w:val="00637524"/>
    <w:rsid w:val="00637862"/>
    <w:rsid w:val="0064007B"/>
    <w:rsid w:val="006406F7"/>
    <w:rsid w:val="006407BE"/>
    <w:rsid w:val="00640885"/>
    <w:rsid w:val="00640C31"/>
    <w:rsid w:val="0064182A"/>
    <w:rsid w:val="006425A4"/>
    <w:rsid w:val="0064278B"/>
    <w:rsid w:val="006427DC"/>
    <w:rsid w:val="00642A5B"/>
    <w:rsid w:val="00642F29"/>
    <w:rsid w:val="00643226"/>
    <w:rsid w:val="00643A36"/>
    <w:rsid w:val="00643F39"/>
    <w:rsid w:val="00644A62"/>
    <w:rsid w:val="00644DB3"/>
    <w:rsid w:val="00644F3E"/>
    <w:rsid w:val="00645965"/>
    <w:rsid w:val="006459EF"/>
    <w:rsid w:val="006465F3"/>
    <w:rsid w:val="0064693E"/>
    <w:rsid w:val="00646A4C"/>
    <w:rsid w:val="00646E86"/>
    <w:rsid w:val="006471F8"/>
    <w:rsid w:val="006476D8"/>
    <w:rsid w:val="006476F0"/>
    <w:rsid w:val="0064787E"/>
    <w:rsid w:val="006478EF"/>
    <w:rsid w:val="00647A01"/>
    <w:rsid w:val="00647A8A"/>
    <w:rsid w:val="00647DF4"/>
    <w:rsid w:val="006501E0"/>
    <w:rsid w:val="00650228"/>
    <w:rsid w:val="00650374"/>
    <w:rsid w:val="006503C0"/>
    <w:rsid w:val="00650495"/>
    <w:rsid w:val="00650F0E"/>
    <w:rsid w:val="006510A5"/>
    <w:rsid w:val="00651191"/>
    <w:rsid w:val="00651458"/>
    <w:rsid w:val="00652524"/>
    <w:rsid w:val="00652C52"/>
    <w:rsid w:val="00652C66"/>
    <w:rsid w:val="00652FCD"/>
    <w:rsid w:val="0065330D"/>
    <w:rsid w:val="0065330F"/>
    <w:rsid w:val="006534BF"/>
    <w:rsid w:val="006537D7"/>
    <w:rsid w:val="00653A56"/>
    <w:rsid w:val="00653D54"/>
    <w:rsid w:val="0065444A"/>
    <w:rsid w:val="006545B3"/>
    <w:rsid w:val="00654800"/>
    <w:rsid w:val="00654933"/>
    <w:rsid w:val="00654E99"/>
    <w:rsid w:val="00654F68"/>
    <w:rsid w:val="006553C6"/>
    <w:rsid w:val="0065542A"/>
    <w:rsid w:val="00655623"/>
    <w:rsid w:val="0065577B"/>
    <w:rsid w:val="00655AD4"/>
    <w:rsid w:val="00655AFF"/>
    <w:rsid w:val="00655BAD"/>
    <w:rsid w:val="00655CF9"/>
    <w:rsid w:val="00655D45"/>
    <w:rsid w:val="00655E88"/>
    <w:rsid w:val="00656010"/>
    <w:rsid w:val="006562DA"/>
    <w:rsid w:val="0065647B"/>
    <w:rsid w:val="0065656E"/>
    <w:rsid w:val="00656EC4"/>
    <w:rsid w:val="00657049"/>
    <w:rsid w:val="0065714C"/>
    <w:rsid w:val="00657BAE"/>
    <w:rsid w:val="006601D0"/>
    <w:rsid w:val="00660612"/>
    <w:rsid w:val="0066082F"/>
    <w:rsid w:val="00660A74"/>
    <w:rsid w:val="006611D6"/>
    <w:rsid w:val="006616AF"/>
    <w:rsid w:val="006618C9"/>
    <w:rsid w:val="00661D19"/>
    <w:rsid w:val="00662514"/>
    <w:rsid w:val="0066274C"/>
    <w:rsid w:val="00662C5C"/>
    <w:rsid w:val="00662E5F"/>
    <w:rsid w:val="00662EFE"/>
    <w:rsid w:val="00663132"/>
    <w:rsid w:val="00663292"/>
    <w:rsid w:val="006634A9"/>
    <w:rsid w:val="006635A4"/>
    <w:rsid w:val="00663719"/>
    <w:rsid w:val="006639EB"/>
    <w:rsid w:val="00663AD7"/>
    <w:rsid w:val="00664434"/>
    <w:rsid w:val="006645B2"/>
    <w:rsid w:val="006646B3"/>
    <w:rsid w:val="0066493E"/>
    <w:rsid w:val="00664ACE"/>
    <w:rsid w:val="0066561F"/>
    <w:rsid w:val="00665E69"/>
    <w:rsid w:val="006660F1"/>
    <w:rsid w:val="0066635C"/>
    <w:rsid w:val="0066641E"/>
    <w:rsid w:val="00666A52"/>
    <w:rsid w:val="00666A58"/>
    <w:rsid w:val="00666E81"/>
    <w:rsid w:val="00666EEE"/>
    <w:rsid w:val="00666F3E"/>
    <w:rsid w:val="0066765B"/>
    <w:rsid w:val="00667E81"/>
    <w:rsid w:val="0067023D"/>
    <w:rsid w:val="00670650"/>
    <w:rsid w:val="00670736"/>
    <w:rsid w:val="00670B04"/>
    <w:rsid w:val="00670DE6"/>
    <w:rsid w:val="00670E08"/>
    <w:rsid w:val="0067104F"/>
    <w:rsid w:val="0067124D"/>
    <w:rsid w:val="006712C0"/>
    <w:rsid w:val="006717D8"/>
    <w:rsid w:val="00672024"/>
    <w:rsid w:val="006721D0"/>
    <w:rsid w:val="006725FE"/>
    <w:rsid w:val="0067276F"/>
    <w:rsid w:val="00672969"/>
    <w:rsid w:val="00672986"/>
    <w:rsid w:val="0067357B"/>
    <w:rsid w:val="00673E2E"/>
    <w:rsid w:val="00673EC7"/>
    <w:rsid w:val="0067411C"/>
    <w:rsid w:val="0067441F"/>
    <w:rsid w:val="006744AC"/>
    <w:rsid w:val="00674C7D"/>
    <w:rsid w:val="00674D00"/>
    <w:rsid w:val="0067526B"/>
    <w:rsid w:val="00675579"/>
    <w:rsid w:val="00675631"/>
    <w:rsid w:val="006759C1"/>
    <w:rsid w:val="00676431"/>
    <w:rsid w:val="00676737"/>
    <w:rsid w:val="00676856"/>
    <w:rsid w:val="006776A0"/>
    <w:rsid w:val="006778EA"/>
    <w:rsid w:val="00677CC4"/>
    <w:rsid w:val="00677DF7"/>
    <w:rsid w:val="0068043C"/>
    <w:rsid w:val="00680561"/>
    <w:rsid w:val="00680B40"/>
    <w:rsid w:val="006816A5"/>
    <w:rsid w:val="00681EC9"/>
    <w:rsid w:val="006822FA"/>
    <w:rsid w:val="0068288C"/>
    <w:rsid w:val="00682FF7"/>
    <w:rsid w:val="0068309C"/>
    <w:rsid w:val="00683949"/>
    <w:rsid w:val="00683F36"/>
    <w:rsid w:val="006841F3"/>
    <w:rsid w:val="006842FD"/>
    <w:rsid w:val="006853ED"/>
    <w:rsid w:val="00685589"/>
    <w:rsid w:val="00685A1C"/>
    <w:rsid w:val="00685BB4"/>
    <w:rsid w:val="00685FDE"/>
    <w:rsid w:val="00686598"/>
    <w:rsid w:val="0068682C"/>
    <w:rsid w:val="00686858"/>
    <w:rsid w:val="006868A9"/>
    <w:rsid w:val="00686EFA"/>
    <w:rsid w:val="0068718E"/>
    <w:rsid w:val="00687294"/>
    <w:rsid w:val="00690774"/>
    <w:rsid w:val="00690DFF"/>
    <w:rsid w:val="006910CB"/>
    <w:rsid w:val="006912AD"/>
    <w:rsid w:val="0069146E"/>
    <w:rsid w:val="006919CC"/>
    <w:rsid w:val="00691D7E"/>
    <w:rsid w:val="00691E70"/>
    <w:rsid w:val="0069254D"/>
    <w:rsid w:val="0069288F"/>
    <w:rsid w:val="006929B5"/>
    <w:rsid w:val="00692EEE"/>
    <w:rsid w:val="00693163"/>
    <w:rsid w:val="006938AA"/>
    <w:rsid w:val="006939C7"/>
    <w:rsid w:val="0069474B"/>
    <w:rsid w:val="0069475D"/>
    <w:rsid w:val="00694A19"/>
    <w:rsid w:val="00694CCC"/>
    <w:rsid w:val="00694E5A"/>
    <w:rsid w:val="00695642"/>
    <w:rsid w:val="00695715"/>
    <w:rsid w:val="00695BA1"/>
    <w:rsid w:val="006964C1"/>
    <w:rsid w:val="00696B7B"/>
    <w:rsid w:val="00696BBF"/>
    <w:rsid w:val="00697966"/>
    <w:rsid w:val="00697B88"/>
    <w:rsid w:val="00697B97"/>
    <w:rsid w:val="00697FFC"/>
    <w:rsid w:val="006A0515"/>
    <w:rsid w:val="006A0A2B"/>
    <w:rsid w:val="006A0FAE"/>
    <w:rsid w:val="006A1C4B"/>
    <w:rsid w:val="006A1CFD"/>
    <w:rsid w:val="006A2110"/>
    <w:rsid w:val="006A228E"/>
    <w:rsid w:val="006A2728"/>
    <w:rsid w:val="006A2D43"/>
    <w:rsid w:val="006A2E37"/>
    <w:rsid w:val="006A3041"/>
    <w:rsid w:val="006A3208"/>
    <w:rsid w:val="006A3318"/>
    <w:rsid w:val="006A386F"/>
    <w:rsid w:val="006A3A2B"/>
    <w:rsid w:val="006A3C5C"/>
    <w:rsid w:val="006A45BA"/>
    <w:rsid w:val="006A586A"/>
    <w:rsid w:val="006A5881"/>
    <w:rsid w:val="006A5E1D"/>
    <w:rsid w:val="006A642F"/>
    <w:rsid w:val="006A6BF1"/>
    <w:rsid w:val="006A6DA9"/>
    <w:rsid w:val="006A6EA1"/>
    <w:rsid w:val="006A7124"/>
    <w:rsid w:val="006B020F"/>
    <w:rsid w:val="006B0414"/>
    <w:rsid w:val="006B09B1"/>
    <w:rsid w:val="006B09D4"/>
    <w:rsid w:val="006B0CB7"/>
    <w:rsid w:val="006B0F33"/>
    <w:rsid w:val="006B1282"/>
    <w:rsid w:val="006B1A47"/>
    <w:rsid w:val="006B1AAC"/>
    <w:rsid w:val="006B1C1F"/>
    <w:rsid w:val="006B29D6"/>
    <w:rsid w:val="006B2BB6"/>
    <w:rsid w:val="006B2E36"/>
    <w:rsid w:val="006B3032"/>
    <w:rsid w:val="006B3455"/>
    <w:rsid w:val="006B3BA8"/>
    <w:rsid w:val="006B4431"/>
    <w:rsid w:val="006B44C5"/>
    <w:rsid w:val="006B44F9"/>
    <w:rsid w:val="006B4B4A"/>
    <w:rsid w:val="006B4BA2"/>
    <w:rsid w:val="006B5E45"/>
    <w:rsid w:val="006B5F66"/>
    <w:rsid w:val="006B64C5"/>
    <w:rsid w:val="006B6E3A"/>
    <w:rsid w:val="006B6F0E"/>
    <w:rsid w:val="006B7273"/>
    <w:rsid w:val="006B75C6"/>
    <w:rsid w:val="006B76A6"/>
    <w:rsid w:val="006B7C46"/>
    <w:rsid w:val="006C04C8"/>
    <w:rsid w:val="006C0598"/>
    <w:rsid w:val="006C1607"/>
    <w:rsid w:val="006C18B5"/>
    <w:rsid w:val="006C1BAA"/>
    <w:rsid w:val="006C1D6E"/>
    <w:rsid w:val="006C1E20"/>
    <w:rsid w:val="006C1F07"/>
    <w:rsid w:val="006C2867"/>
    <w:rsid w:val="006C2F9A"/>
    <w:rsid w:val="006C2F9C"/>
    <w:rsid w:val="006C2FD4"/>
    <w:rsid w:val="006C31FE"/>
    <w:rsid w:val="006C325A"/>
    <w:rsid w:val="006C354C"/>
    <w:rsid w:val="006C38F6"/>
    <w:rsid w:val="006C3956"/>
    <w:rsid w:val="006C3B76"/>
    <w:rsid w:val="006C417F"/>
    <w:rsid w:val="006C4572"/>
    <w:rsid w:val="006C49D0"/>
    <w:rsid w:val="006C4A0A"/>
    <w:rsid w:val="006C5478"/>
    <w:rsid w:val="006C550E"/>
    <w:rsid w:val="006C5B60"/>
    <w:rsid w:val="006C5EC9"/>
    <w:rsid w:val="006C6008"/>
    <w:rsid w:val="006C64D2"/>
    <w:rsid w:val="006C6E23"/>
    <w:rsid w:val="006C744E"/>
    <w:rsid w:val="006C789E"/>
    <w:rsid w:val="006C78F9"/>
    <w:rsid w:val="006C7922"/>
    <w:rsid w:val="006C7A58"/>
    <w:rsid w:val="006C7B03"/>
    <w:rsid w:val="006C7C2E"/>
    <w:rsid w:val="006C7F34"/>
    <w:rsid w:val="006C7FD3"/>
    <w:rsid w:val="006D0343"/>
    <w:rsid w:val="006D03C3"/>
    <w:rsid w:val="006D0940"/>
    <w:rsid w:val="006D0BB4"/>
    <w:rsid w:val="006D0EC2"/>
    <w:rsid w:val="006D1055"/>
    <w:rsid w:val="006D1133"/>
    <w:rsid w:val="006D1169"/>
    <w:rsid w:val="006D1689"/>
    <w:rsid w:val="006D1693"/>
    <w:rsid w:val="006D2131"/>
    <w:rsid w:val="006D25DF"/>
    <w:rsid w:val="006D276F"/>
    <w:rsid w:val="006D2869"/>
    <w:rsid w:val="006D29F5"/>
    <w:rsid w:val="006D2FF2"/>
    <w:rsid w:val="006D30BB"/>
    <w:rsid w:val="006D34ED"/>
    <w:rsid w:val="006D35D7"/>
    <w:rsid w:val="006D3F02"/>
    <w:rsid w:val="006D45D2"/>
    <w:rsid w:val="006D4C72"/>
    <w:rsid w:val="006D4E4C"/>
    <w:rsid w:val="006D4EF9"/>
    <w:rsid w:val="006D5268"/>
    <w:rsid w:val="006D5585"/>
    <w:rsid w:val="006D5F76"/>
    <w:rsid w:val="006D667E"/>
    <w:rsid w:val="006D676D"/>
    <w:rsid w:val="006D6D96"/>
    <w:rsid w:val="006D7211"/>
    <w:rsid w:val="006D75C8"/>
    <w:rsid w:val="006E043D"/>
    <w:rsid w:val="006E05DC"/>
    <w:rsid w:val="006E0763"/>
    <w:rsid w:val="006E0827"/>
    <w:rsid w:val="006E0960"/>
    <w:rsid w:val="006E0C56"/>
    <w:rsid w:val="006E1827"/>
    <w:rsid w:val="006E1DDE"/>
    <w:rsid w:val="006E1E9D"/>
    <w:rsid w:val="006E2600"/>
    <w:rsid w:val="006E2830"/>
    <w:rsid w:val="006E2B73"/>
    <w:rsid w:val="006E3222"/>
    <w:rsid w:val="006E34D3"/>
    <w:rsid w:val="006E4794"/>
    <w:rsid w:val="006E4C74"/>
    <w:rsid w:val="006E4FB0"/>
    <w:rsid w:val="006E5310"/>
    <w:rsid w:val="006E5B92"/>
    <w:rsid w:val="006E5D2C"/>
    <w:rsid w:val="006E6CA6"/>
    <w:rsid w:val="006E740E"/>
    <w:rsid w:val="006E7C00"/>
    <w:rsid w:val="006F025B"/>
    <w:rsid w:val="006F0348"/>
    <w:rsid w:val="006F04CE"/>
    <w:rsid w:val="006F0722"/>
    <w:rsid w:val="006F09BE"/>
    <w:rsid w:val="006F0D46"/>
    <w:rsid w:val="006F1AFB"/>
    <w:rsid w:val="006F1F6B"/>
    <w:rsid w:val="006F23DD"/>
    <w:rsid w:val="006F2556"/>
    <w:rsid w:val="006F3136"/>
    <w:rsid w:val="006F35CE"/>
    <w:rsid w:val="006F3DFC"/>
    <w:rsid w:val="006F4169"/>
    <w:rsid w:val="006F461F"/>
    <w:rsid w:val="006F4AC0"/>
    <w:rsid w:val="006F4D34"/>
    <w:rsid w:val="006F5158"/>
    <w:rsid w:val="006F593C"/>
    <w:rsid w:val="006F5E94"/>
    <w:rsid w:val="006F64CE"/>
    <w:rsid w:val="006F65EF"/>
    <w:rsid w:val="006F7681"/>
    <w:rsid w:val="00700394"/>
    <w:rsid w:val="00700553"/>
    <w:rsid w:val="00700950"/>
    <w:rsid w:val="00700B39"/>
    <w:rsid w:val="00700E05"/>
    <w:rsid w:val="00701136"/>
    <w:rsid w:val="007017E1"/>
    <w:rsid w:val="00701B16"/>
    <w:rsid w:val="00701F52"/>
    <w:rsid w:val="00702140"/>
    <w:rsid w:val="007021BA"/>
    <w:rsid w:val="007024C4"/>
    <w:rsid w:val="00702FF2"/>
    <w:rsid w:val="007030B2"/>
    <w:rsid w:val="0070319A"/>
    <w:rsid w:val="007032D7"/>
    <w:rsid w:val="00703B53"/>
    <w:rsid w:val="00703C80"/>
    <w:rsid w:val="00703CB4"/>
    <w:rsid w:val="007048E2"/>
    <w:rsid w:val="00704AA8"/>
    <w:rsid w:val="00704C3B"/>
    <w:rsid w:val="00704E59"/>
    <w:rsid w:val="00704EE0"/>
    <w:rsid w:val="0070507E"/>
    <w:rsid w:val="007053B0"/>
    <w:rsid w:val="0070553B"/>
    <w:rsid w:val="00705992"/>
    <w:rsid w:val="0070650F"/>
    <w:rsid w:val="007068E3"/>
    <w:rsid w:val="0070696A"/>
    <w:rsid w:val="00706A85"/>
    <w:rsid w:val="00706E9C"/>
    <w:rsid w:val="00707424"/>
    <w:rsid w:val="0070762C"/>
    <w:rsid w:val="007076A6"/>
    <w:rsid w:val="00707882"/>
    <w:rsid w:val="00707B13"/>
    <w:rsid w:val="00707C18"/>
    <w:rsid w:val="00707EC6"/>
    <w:rsid w:val="007103A9"/>
    <w:rsid w:val="00710442"/>
    <w:rsid w:val="00710558"/>
    <w:rsid w:val="0071116B"/>
    <w:rsid w:val="00711272"/>
    <w:rsid w:val="00711F25"/>
    <w:rsid w:val="007120A8"/>
    <w:rsid w:val="00713294"/>
    <w:rsid w:val="00713A13"/>
    <w:rsid w:val="00713AAF"/>
    <w:rsid w:val="00713C75"/>
    <w:rsid w:val="00714022"/>
    <w:rsid w:val="0071435F"/>
    <w:rsid w:val="007144E6"/>
    <w:rsid w:val="00714A49"/>
    <w:rsid w:val="007159DE"/>
    <w:rsid w:val="00715CF4"/>
    <w:rsid w:val="007162CC"/>
    <w:rsid w:val="007168A3"/>
    <w:rsid w:val="00716AD2"/>
    <w:rsid w:val="0071705A"/>
    <w:rsid w:val="0071762E"/>
    <w:rsid w:val="007176DA"/>
    <w:rsid w:val="00717917"/>
    <w:rsid w:val="00717C39"/>
    <w:rsid w:val="00717F59"/>
    <w:rsid w:val="0072031E"/>
    <w:rsid w:val="007203B1"/>
    <w:rsid w:val="007203CA"/>
    <w:rsid w:val="007204B3"/>
    <w:rsid w:val="00720616"/>
    <w:rsid w:val="007206AD"/>
    <w:rsid w:val="0072161F"/>
    <w:rsid w:val="007216B0"/>
    <w:rsid w:val="00721928"/>
    <w:rsid w:val="00722416"/>
    <w:rsid w:val="007225AF"/>
    <w:rsid w:val="00722605"/>
    <w:rsid w:val="007226F5"/>
    <w:rsid w:val="00722795"/>
    <w:rsid w:val="00722A31"/>
    <w:rsid w:val="007234AA"/>
    <w:rsid w:val="00723B2C"/>
    <w:rsid w:val="00723CBD"/>
    <w:rsid w:val="007243EC"/>
    <w:rsid w:val="00724ED0"/>
    <w:rsid w:val="00724F92"/>
    <w:rsid w:val="007250D2"/>
    <w:rsid w:val="007253D6"/>
    <w:rsid w:val="0072578A"/>
    <w:rsid w:val="0072597A"/>
    <w:rsid w:val="00725A64"/>
    <w:rsid w:val="00725AB8"/>
    <w:rsid w:val="00725AD4"/>
    <w:rsid w:val="00725CCF"/>
    <w:rsid w:val="00725D23"/>
    <w:rsid w:val="00726375"/>
    <w:rsid w:val="00726934"/>
    <w:rsid w:val="00726A4D"/>
    <w:rsid w:val="00726F1B"/>
    <w:rsid w:val="00727964"/>
    <w:rsid w:val="0073037F"/>
    <w:rsid w:val="00731028"/>
    <w:rsid w:val="0073119B"/>
    <w:rsid w:val="007314E1"/>
    <w:rsid w:val="00731C21"/>
    <w:rsid w:val="00731E41"/>
    <w:rsid w:val="00731F2D"/>
    <w:rsid w:val="00733145"/>
    <w:rsid w:val="00733470"/>
    <w:rsid w:val="00733CB6"/>
    <w:rsid w:val="00734363"/>
    <w:rsid w:val="007344CC"/>
    <w:rsid w:val="00734720"/>
    <w:rsid w:val="0073474C"/>
    <w:rsid w:val="00734AC4"/>
    <w:rsid w:val="00734CCC"/>
    <w:rsid w:val="00734EC4"/>
    <w:rsid w:val="007355B0"/>
    <w:rsid w:val="00735741"/>
    <w:rsid w:val="007369CF"/>
    <w:rsid w:val="00736A6E"/>
    <w:rsid w:val="00736ECA"/>
    <w:rsid w:val="0073764A"/>
    <w:rsid w:val="0073768D"/>
    <w:rsid w:val="0073792C"/>
    <w:rsid w:val="00740220"/>
    <w:rsid w:val="0074022E"/>
    <w:rsid w:val="00740A2A"/>
    <w:rsid w:val="0074113D"/>
    <w:rsid w:val="00741FAC"/>
    <w:rsid w:val="00741FE6"/>
    <w:rsid w:val="0074257A"/>
    <w:rsid w:val="0074272B"/>
    <w:rsid w:val="007429DF"/>
    <w:rsid w:val="00742B52"/>
    <w:rsid w:val="00742C82"/>
    <w:rsid w:val="00742F2F"/>
    <w:rsid w:val="007433F2"/>
    <w:rsid w:val="00743B74"/>
    <w:rsid w:val="007440E7"/>
    <w:rsid w:val="0074414A"/>
    <w:rsid w:val="007444DF"/>
    <w:rsid w:val="007445B7"/>
    <w:rsid w:val="0074502E"/>
    <w:rsid w:val="007450AE"/>
    <w:rsid w:val="00745108"/>
    <w:rsid w:val="0074529A"/>
    <w:rsid w:val="00745C4C"/>
    <w:rsid w:val="00745CEE"/>
    <w:rsid w:val="00745EB2"/>
    <w:rsid w:val="00746423"/>
    <w:rsid w:val="007468DE"/>
    <w:rsid w:val="00747434"/>
    <w:rsid w:val="00747722"/>
    <w:rsid w:val="0074788B"/>
    <w:rsid w:val="00747EF4"/>
    <w:rsid w:val="00747F2B"/>
    <w:rsid w:val="00750103"/>
    <w:rsid w:val="00750278"/>
    <w:rsid w:val="00750369"/>
    <w:rsid w:val="00750659"/>
    <w:rsid w:val="0075089A"/>
    <w:rsid w:val="00750C52"/>
    <w:rsid w:val="00750CE1"/>
    <w:rsid w:val="00750D6B"/>
    <w:rsid w:val="0075137C"/>
    <w:rsid w:val="00751ACA"/>
    <w:rsid w:val="007523BE"/>
    <w:rsid w:val="00752AE4"/>
    <w:rsid w:val="00752B11"/>
    <w:rsid w:val="00753156"/>
    <w:rsid w:val="00753332"/>
    <w:rsid w:val="00753384"/>
    <w:rsid w:val="007537DB"/>
    <w:rsid w:val="00753926"/>
    <w:rsid w:val="00753AA8"/>
    <w:rsid w:val="00753F17"/>
    <w:rsid w:val="0075418A"/>
    <w:rsid w:val="007541F7"/>
    <w:rsid w:val="007543A3"/>
    <w:rsid w:val="007545C2"/>
    <w:rsid w:val="0075461A"/>
    <w:rsid w:val="00754AA9"/>
    <w:rsid w:val="00754CC8"/>
    <w:rsid w:val="007559E9"/>
    <w:rsid w:val="00755BC7"/>
    <w:rsid w:val="00755ED6"/>
    <w:rsid w:val="0075651E"/>
    <w:rsid w:val="007569C0"/>
    <w:rsid w:val="00756B84"/>
    <w:rsid w:val="00756CC2"/>
    <w:rsid w:val="00756D8F"/>
    <w:rsid w:val="00757921"/>
    <w:rsid w:val="00757C32"/>
    <w:rsid w:val="00757C6D"/>
    <w:rsid w:val="00760757"/>
    <w:rsid w:val="00760816"/>
    <w:rsid w:val="0076085D"/>
    <w:rsid w:val="00760BD0"/>
    <w:rsid w:val="0076107B"/>
    <w:rsid w:val="00761CA2"/>
    <w:rsid w:val="0076260D"/>
    <w:rsid w:val="0076292D"/>
    <w:rsid w:val="007630CB"/>
    <w:rsid w:val="00763441"/>
    <w:rsid w:val="0076365B"/>
    <w:rsid w:val="00763ACD"/>
    <w:rsid w:val="00763B77"/>
    <w:rsid w:val="00763F7E"/>
    <w:rsid w:val="00763F9C"/>
    <w:rsid w:val="007647FB"/>
    <w:rsid w:val="00764836"/>
    <w:rsid w:val="00764D85"/>
    <w:rsid w:val="00764DC6"/>
    <w:rsid w:val="0076516D"/>
    <w:rsid w:val="00765412"/>
    <w:rsid w:val="007657B0"/>
    <w:rsid w:val="00765BCE"/>
    <w:rsid w:val="0076616B"/>
    <w:rsid w:val="00766276"/>
    <w:rsid w:val="0076634E"/>
    <w:rsid w:val="0076661C"/>
    <w:rsid w:val="007667C1"/>
    <w:rsid w:val="0076702C"/>
    <w:rsid w:val="00767123"/>
    <w:rsid w:val="007676ED"/>
    <w:rsid w:val="00767842"/>
    <w:rsid w:val="00767D25"/>
    <w:rsid w:val="00767F6C"/>
    <w:rsid w:val="0077011F"/>
    <w:rsid w:val="00770635"/>
    <w:rsid w:val="00770743"/>
    <w:rsid w:val="0077081F"/>
    <w:rsid w:val="00770B31"/>
    <w:rsid w:val="0077109C"/>
    <w:rsid w:val="007713D0"/>
    <w:rsid w:val="007721D5"/>
    <w:rsid w:val="00772829"/>
    <w:rsid w:val="00772BF6"/>
    <w:rsid w:val="007731AE"/>
    <w:rsid w:val="007732FD"/>
    <w:rsid w:val="0077390B"/>
    <w:rsid w:val="00773A44"/>
    <w:rsid w:val="007741C3"/>
    <w:rsid w:val="00774496"/>
    <w:rsid w:val="00774DD7"/>
    <w:rsid w:val="007753F1"/>
    <w:rsid w:val="00775544"/>
    <w:rsid w:val="00775B4D"/>
    <w:rsid w:val="00775B88"/>
    <w:rsid w:val="0077610A"/>
    <w:rsid w:val="007761A5"/>
    <w:rsid w:val="00776450"/>
    <w:rsid w:val="00776813"/>
    <w:rsid w:val="00776842"/>
    <w:rsid w:val="00776B59"/>
    <w:rsid w:val="00776EC7"/>
    <w:rsid w:val="00776EFC"/>
    <w:rsid w:val="007770C4"/>
    <w:rsid w:val="00777365"/>
    <w:rsid w:val="00777848"/>
    <w:rsid w:val="00777893"/>
    <w:rsid w:val="007807B5"/>
    <w:rsid w:val="007809CD"/>
    <w:rsid w:val="00780B54"/>
    <w:rsid w:val="00780CF5"/>
    <w:rsid w:val="00780DB1"/>
    <w:rsid w:val="00781243"/>
    <w:rsid w:val="0078125C"/>
    <w:rsid w:val="00781C4A"/>
    <w:rsid w:val="00782128"/>
    <w:rsid w:val="00782386"/>
    <w:rsid w:val="00782AEE"/>
    <w:rsid w:val="007831B8"/>
    <w:rsid w:val="007834CC"/>
    <w:rsid w:val="00783508"/>
    <w:rsid w:val="0078360A"/>
    <w:rsid w:val="007836D6"/>
    <w:rsid w:val="007837F2"/>
    <w:rsid w:val="0078380B"/>
    <w:rsid w:val="0078391B"/>
    <w:rsid w:val="00784341"/>
    <w:rsid w:val="007845B9"/>
    <w:rsid w:val="007849B7"/>
    <w:rsid w:val="007852BC"/>
    <w:rsid w:val="007852E9"/>
    <w:rsid w:val="0078573C"/>
    <w:rsid w:val="00785952"/>
    <w:rsid w:val="00785ADE"/>
    <w:rsid w:val="007861CE"/>
    <w:rsid w:val="0078657A"/>
    <w:rsid w:val="00786843"/>
    <w:rsid w:val="00786A70"/>
    <w:rsid w:val="00786A89"/>
    <w:rsid w:val="00786BD9"/>
    <w:rsid w:val="00787201"/>
    <w:rsid w:val="00787257"/>
    <w:rsid w:val="007878E1"/>
    <w:rsid w:val="00787C86"/>
    <w:rsid w:val="00787F38"/>
    <w:rsid w:val="00790267"/>
    <w:rsid w:val="00790532"/>
    <w:rsid w:val="00790A6C"/>
    <w:rsid w:val="00790B15"/>
    <w:rsid w:val="00790F49"/>
    <w:rsid w:val="00792195"/>
    <w:rsid w:val="007924AB"/>
    <w:rsid w:val="0079274A"/>
    <w:rsid w:val="007929F8"/>
    <w:rsid w:val="00792EEE"/>
    <w:rsid w:val="007931CB"/>
    <w:rsid w:val="007932FC"/>
    <w:rsid w:val="007935A2"/>
    <w:rsid w:val="00794A78"/>
    <w:rsid w:val="00794E58"/>
    <w:rsid w:val="00794FCD"/>
    <w:rsid w:val="00795072"/>
    <w:rsid w:val="007951D4"/>
    <w:rsid w:val="00795381"/>
    <w:rsid w:val="007953F0"/>
    <w:rsid w:val="0079542B"/>
    <w:rsid w:val="00795C5B"/>
    <w:rsid w:val="0079614A"/>
    <w:rsid w:val="00796534"/>
    <w:rsid w:val="0079700F"/>
    <w:rsid w:val="007971CF"/>
    <w:rsid w:val="0079752D"/>
    <w:rsid w:val="007977CC"/>
    <w:rsid w:val="007978D7"/>
    <w:rsid w:val="00797A78"/>
    <w:rsid w:val="00797BEA"/>
    <w:rsid w:val="00797C46"/>
    <w:rsid w:val="007A0523"/>
    <w:rsid w:val="007A098C"/>
    <w:rsid w:val="007A0F98"/>
    <w:rsid w:val="007A105A"/>
    <w:rsid w:val="007A19F6"/>
    <w:rsid w:val="007A1AB6"/>
    <w:rsid w:val="007A1B67"/>
    <w:rsid w:val="007A2B65"/>
    <w:rsid w:val="007A3272"/>
    <w:rsid w:val="007A3374"/>
    <w:rsid w:val="007A3FED"/>
    <w:rsid w:val="007A45A9"/>
    <w:rsid w:val="007A4810"/>
    <w:rsid w:val="007A4A14"/>
    <w:rsid w:val="007A50DD"/>
    <w:rsid w:val="007A5617"/>
    <w:rsid w:val="007A562D"/>
    <w:rsid w:val="007A5D79"/>
    <w:rsid w:val="007A62E2"/>
    <w:rsid w:val="007A64FC"/>
    <w:rsid w:val="007A6B8F"/>
    <w:rsid w:val="007A6CEC"/>
    <w:rsid w:val="007A6D0D"/>
    <w:rsid w:val="007A6D61"/>
    <w:rsid w:val="007A7BA3"/>
    <w:rsid w:val="007A7C08"/>
    <w:rsid w:val="007A7F82"/>
    <w:rsid w:val="007A7FEF"/>
    <w:rsid w:val="007B0245"/>
    <w:rsid w:val="007B02BA"/>
    <w:rsid w:val="007B0412"/>
    <w:rsid w:val="007B052A"/>
    <w:rsid w:val="007B083F"/>
    <w:rsid w:val="007B085A"/>
    <w:rsid w:val="007B0880"/>
    <w:rsid w:val="007B0BF9"/>
    <w:rsid w:val="007B0D01"/>
    <w:rsid w:val="007B0EC8"/>
    <w:rsid w:val="007B135F"/>
    <w:rsid w:val="007B2085"/>
    <w:rsid w:val="007B2CEB"/>
    <w:rsid w:val="007B2D3B"/>
    <w:rsid w:val="007B2FDC"/>
    <w:rsid w:val="007B3338"/>
    <w:rsid w:val="007B333E"/>
    <w:rsid w:val="007B38A0"/>
    <w:rsid w:val="007B38B7"/>
    <w:rsid w:val="007B3A84"/>
    <w:rsid w:val="007B4F7B"/>
    <w:rsid w:val="007B5167"/>
    <w:rsid w:val="007B583D"/>
    <w:rsid w:val="007B5AE7"/>
    <w:rsid w:val="007B5EE4"/>
    <w:rsid w:val="007B61D6"/>
    <w:rsid w:val="007B61E1"/>
    <w:rsid w:val="007B6204"/>
    <w:rsid w:val="007B63FA"/>
    <w:rsid w:val="007B6684"/>
    <w:rsid w:val="007B6850"/>
    <w:rsid w:val="007B6B21"/>
    <w:rsid w:val="007B6D8F"/>
    <w:rsid w:val="007B7024"/>
    <w:rsid w:val="007B73D9"/>
    <w:rsid w:val="007B76AE"/>
    <w:rsid w:val="007B7BAF"/>
    <w:rsid w:val="007B7D30"/>
    <w:rsid w:val="007C01CD"/>
    <w:rsid w:val="007C0390"/>
    <w:rsid w:val="007C06F3"/>
    <w:rsid w:val="007C1179"/>
    <w:rsid w:val="007C14A2"/>
    <w:rsid w:val="007C14B3"/>
    <w:rsid w:val="007C150A"/>
    <w:rsid w:val="007C1654"/>
    <w:rsid w:val="007C166D"/>
    <w:rsid w:val="007C17E1"/>
    <w:rsid w:val="007C17E7"/>
    <w:rsid w:val="007C1D70"/>
    <w:rsid w:val="007C20A8"/>
    <w:rsid w:val="007C25AC"/>
    <w:rsid w:val="007C2804"/>
    <w:rsid w:val="007C2DF7"/>
    <w:rsid w:val="007C300E"/>
    <w:rsid w:val="007C328D"/>
    <w:rsid w:val="007C336F"/>
    <w:rsid w:val="007C395A"/>
    <w:rsid w:val="007C41B1"/>
    <w:rsid w:val="007C4A6E"/>
    <w:rsid w:val="007C4B3E"/>
    <w:rsid w:val="007C4D80"/>
    <w:rsid w:val="007C4DCA"/>
    <w:rsid w:val="007C53FD"/>
    <w:rsid w:val="007C5ADD"/>
    <w:rsid w:val="007C5C21"/>
    <w:rsid w:val="007C67E0"/>
    <w:rsid w:val="007C6ED6"/>
    <w:rsid w:val="007C7017"/>
    <w:rsid w:val="007C72F4"/>
    <w:rsid w:val="007C7C10"/>
    <w:rsid w:val="007D0051"/>
    <w:rsid w:val="007D0178"/>
    <w:rsid w:val="007D03C3"/>
    <w:rsid w:val="007D1727"/>
    <w:rsid w:val="007D1B29"/>
    <w:rsid w:val="007D1E46"/>
    <w:rsid w:val="007D25DB"/>
    <w:rsid w:val="007D286E"/>
    <w:rsid w:val="007D2BBA"/>
    <w:rsid w:val="007D30B7"/>
    <w:rsid w:val="007D31CC"/>
    <w:rsid w:val="007D3219"/>
    <w:rsid w:val="007D3695"/>
    <w:rsid w:val="007D39BE"/>
    <w:rsid w:val="007D3DA6"/>
    <w:rsid w:val="007D3E9A"/>
    <w:rsid w:val="007D42FB"/>
    <w:rsid w:val="007D44ED"/>
    <w:rsid w:val="007D5D02"/>
    <w:rsid w:val="007D5FE7"/>
    <w:rsid w:val="007D60A5"/>
    <w:rsid w:val="007D6B90"/>
    <w:rsid w:val="007D6F9A"/>
    <w:rsid w:val="007D7114"/>
    <w:rsid w:val="007D746C"/>
    <w:rsid w:val="007D7870"/>
    <w:rsid w:val="007D7A0C"/>
    <w:rsid w:val="007D7B10"/>
    <w:rsid w:val="007E0827"/>
    <w:rsid w:val="007E0C93"/>
    <w:rsid w:val="007E0CE9"/>
    <w:rsid w:val="007E0F45"/>
    <w:rsid w:val="007E15AD"/>
    <w:rsid w:val="007E179E"/>
    <w:rsid w:val="007E1DA2"/>
    <w:rsid w:val="007E1DD0"/>
    <w:rsid w:val="007E25ED"/>
    <w:rsid w:val="007E2676"/>
    <w:rsid w:val="007E2AD3"/>
    <w:rsid w:val="007E2BC0"/>
    <w:rsid w:val="007E30CB"/>
    <w:rsid w:val="007E3113"/>
    <w:rsid w:val="007E31D2"/>
    <w:rsid w:val="007E3441"/>
    <w:rsid w:val="007E34EF"/>
    <w:rsid w:val="007E35BF"/>
    <w:rsid w:val="007E3C73"/>
    <w:rsid w:val="007E3D96"/>
    <w:rsid w:val="007E4418"/>
    <w:rsid w:val="007E505B"/>
    <w:rsid w:val="007E50DD"/>
    <w:rsid w:val="007E5826"/>
    <w:rsid w:val="007E595E"/>
    <w:rsid w:val="007E5FA9"/>
    <w:rsid w:val="007E61AE"/>
    <w:rsid w:val="007E640D"/>
    <w:rsid w:val="007E643B"/>
    <w:rsid w:val="007E6710"/>
    <w:rsid w:val="007E6AE6"/>
    <w:rsid w:val="007E6D5C"/>
    <w:rsid w:val="007E709A"/>
    <w:rsid w:val="007E713E"/>
    <w:rsid w:val="007E7486"/>
    <w:rsid w:val="007E773C"/>
    <w:rsid w:val="007E7759"/>
    <w:rsid w:val="007E7CB6"/>
    <w:rsid w:val="007E7CDF"/>
    <w:rsid w:val="007E7E47"/>
    <w:rsid w:val="007F034D"/>
    <w:rsid w:val="007F08EE"/>
    <w:rsid w:val="007F0A16"/>
    <w:rsid w:val="007F0C0B"/>
    <w:rsid w:val="007F16A9"/>
    <w:rsid w:val="007F1761"/>
    <w:rsid w:val="007F17A2"/>
    <w:rsid w:val="007F19BD"/>
    <w:rsid w:val="007F1A8A"/>
    <w:rsid w:val="007F1C34"/>
    <w:rsid w:val="007F1E62"/>
    <w:rsid w:val="007F2150"/>
    <w:rsid w:val="007F23F5"/>
    <w:rsid w:val="007F2E57"/>
    <w:rsid w:val="007F367F"/>
    <w:rsid w:val="007F3ACA"/>
    <w:rsid w:val="007F3C9E"/>
    <w:rsid w:val="007F3D67"/>
    <w:rsid w:val="007F3DD0"/>
    <w:rsid w:val="007F42DB"/>
    <w:rsid w:val="007F457B"/>
    <w:rsid w:val="007F4A60"/>
    <w:rsid w:val="007F4D3C"/>
    <w:rsid w:val="007F51FD"/>
    <w:rsid w:val="007F55E7"/>
    <w:rsid w:val="007F67E9"/>
    <w:rsid w:val="007F6FF5"/>
    <w:rsid w:val="007F7090"/>
    <w:rsid w:val="007F7113"/>
    <w:rsid w:val="007F7197"/>
    <w:rsid w:val="007F71DB"/>
    <w:rsid w:val="007F7C7B"/>
    <w:rsid w:val="008005D2"/>
    <w:rsid w:val="00800861"/>
    <w:rsid w:val="00800885"/>
    <w:rsid w:val="00800A90"/>
    <w:rsid w:val="00800E4E"/>
    <w:rsid w:val="00801252"/>
    <w:rsid w:val="0080144D"/>
    <w:rsid w:val="008018E8"/>
    <w:rsid w:val="00801CFE"/>
    <w:rsid w:val="00802084"/>
    <w:rsid w:val="00802921"/>
    <w:rsid w:val="00803507"/>
    <w:rsid w:val="008039DA"/>
    <w:rsid w:val="00803F7D"/>
    <w:rsid w:val="008040A2"/>
    <w:rsid w:val="008043F0"/>
    <w:rsid w:val="00804632"/>
    <w:rsid w:val="008046B4"/>
    <w:rsid w:val="00804848"/>
    <w:rsid w:val="008054D9"/>
    <w:rsid w:val="0080558C"/>
    <w:rsid w:val="008058B0"/>
    <w:rsid w:val="00806688"/>
    <w:rsid w:val="00806860"/>
    <w:rsid w:val="00806EEA"/>
    <w:rsid w:val="00807234"/>
    <w:rsid w:val="00807A3E"/>
    <w:rsid w:val="00807C84"/>
    <w:rsid w:val="00807F69"/>
    <w:rsid w:val="00810338"/>
    <w:rsid w:val="00810722"/>
    <w:rsid w:val="00810A58"/>
    <w:rsid w:val="00811011"/>
    <w:rsid w:val="0081165D"/>
    <w:rsid w:val="00811AF5"/>
    <w:rsid w:val="00812282"/>
    <w:rsid w:val="0081233D"/>
    <w:rsid w:val="00812BBB"/>
    <w:rsid w:val="00812D78"/>
    <w:rsid w:val="00812DF2"/>
    <w:rsid w:val="00812E16"/>
    <w:rsid w:val="00813115"/>
    <w:rsid w:val="00813118"/>
    <w:rsid w:val="00813595"/>
    <w:rsid w:val="00813671"/>
    <w:rsid w:val="00813A78"/>
    <w:rsid w:val="00813B8D"/>
    <w:rsid w:val="00813D9D"/>
    <w:rsid w:val="008143BC"/>
    <w:rsid w:val="008148A1"/>
    <w:rsid w:val="008148AE"/>
    <w:rsid w:val="008148E4"/>
    <w:rsid w:val="00815662"/>
    <w:rsid w:val="00815698"/>
    <w:rsid w:val="008157F1"/>
    <w:rsid w:val="00816307"/>
    <w:rsid w:val="008167D7"/>
    <w:rsid w:val="008169E2"/>
    <w:rsid w:val="00816EC2"/>
    <w:rsid w:val="008172A1"/>
    <w:rsid w:val="008172B4"/>
    <w:rsid w:val="008175AB"/>
    <w:rsid w:val="008177BB"/>
    <w:rsid w:val="00817BD1"/>
    <w:rsid w:val="00817C39"/>
    <w:rsid w:val="00820061"/>
    <w:rsid w:val="0082031E"/>
    <w:rsid w:val="0082056A"/>
    <w:rsid w:val="008208A2"/>
    <w:rsid w:val="00820C9F"/>
    <w:rsid w:val="00820DD9"/>
    <w:rsid w:val="008212D0"/>
    <w:rsid w:val="008217EB"/>
    <w:rsid w:val="00821B31"/>
    <w:rsid w:val="00821C44"/>
    <w:rsid w:val="0082227C"/>
    <w:rsid w:val="008226D2"/>
    <w:rsid w:val="00822A16"/>
    <w:rsid w:val="0082300E"/>
    <w:rsid w:val="00823147"/>
    <w:rsid w:val="00823232"/>
    <w:rsid w:val="008236E1"/>
    <w:rsid w:val="0082382D"/>
    <w:rsid w:val="00823947"/>
    <w:rsid w:val="008242B6"/>
    <w:rsid w:val="0082436A"/>
    <w:rsid w:val="00824458"/>
    <w:rsid w:val="008249F7"/>
    <w:rsid w:val="00824B74"/>
    <w:rsid w:val="00824CEE"/>
    <w:rsid w:val="00824E14"/>
    <w:rsid w:val="00824E2E"/>
    <w:rsid w:val="0082508E"/>
    <w:rsid w:val="00825300"/>
    <w:rsid w:val="00825675"/>
    <w:rsid w:val="00825A57"/>
    <w:rsid w:val="00825E1E"/>
    <w:rsid w:val="00826289"/>
    <w:rsid w:val="00826A1B"/>
    <w:rsid w:val="00827027"/>
    <w:rsid w:val="00827174"/>
    <w:rsid w:val="00827803"/>
    <w:rsid w:val="00827947"/>
    <w:rsid w:val="00827B1F"/>
    <w:rsid w:val="00827CC7"/>
    <w:rsid w:val="008305E6"/>
    <w:rsid w:val="00830842"/>
    <w:rsid w:val="00830AEC"/>
    <w:rsid w:val="00830C15"/>
    <w:rsid w:val="00831564"/>
    <w:rsid w:val="008316E6"/>
    <w:rsid w:val="00831A42"/>
    <w:rsid w:val="008320AB"/>
    <w:rsid w:val="00832193"/>
    <w:rsid w:val="008324DD"/>
    <w:rsid w:val="008327F4"/>
    <w:rsid w:val="0083313F"/>
    <w:rsid w:val="0083330C"/>
    <w:rsid w:val="008334F5"/>
    <w:rsid w:val="00833616"/>
    <w:rsid w:val="00833763"/>
    <w:rsid w:val="00833E5F"/>
    <w:rsid w:val="0083451D"/>
    <w:rsid w:val="00834581"/>
    <w:rsid w:val="008347FD"/>
    <w:rsid w:val="00834CDA"/>
    <w:rsid w:val="008352E2"/>
    <w:rsid w:val="008358B6"/>
    <w:rsid w:val="008358C4"/>
    <w:rsid w:val="00835BBE"/>
    <w:rsid w:val="00835EC9"/>
    <w:rsid w:val="00836AEF"/>
    <w:rsid w:val="00836C2B"/>
    <w:rsid w:val="00836F1F"/>
    <w:rsid w:val="00837541"/>
    <w:rsid w:val="008375D1"/>
    <w:rsid w:val="00837F21"/>
    <w:rsid w:val="00837FD8"/>
    <w:rsid w:val="008403B3"/>
    <w:rsid w:val="00840A23"/>
    <w:rsid w:val="00840C21"/>
    <w:rsid w:val="00840D87"/>
    <w:rsid w:val="00840D98"/>
    <w:rsid w:val="008410B1"/>
    <w:rsid w:val="00841388"/>
    <w:rsid w:val="00841EFB"/>
    <w:rsid w:val="00841F44"/>
    <w:rsid w:val="00842C5F"/>
    <w:rsid w:val="00842C82"/>
    <w:rsid w:val="00843216"/>
    <w:rsid w:val="008436D7"/>
    <w:rsid w:val="00843FE5"/>
    <w:rsid w:val="0084401F"/>
    <w:rsid w:val="008440FE"/>
    <w:rsid w:val="008449F1"/>
    <w:rsid w:val="00844E86"/>
    <w:rsid w:val="008454E8"/>
    <w:rsid w:val="00845650"/>
    <w:rsid w:val="0084569B"/>
    <w:rsid w:val="008456A1"/>
    <w:rsid w:val="00845A66"/>
    <w:rsid w:val="00846119"/>
    <w:rsid w:val="008464B6"/>
    <w:rsid w:val="00846757"/>
    <w:rsid w:val="008469C4"/>
    <w:rsid w:val="00846F96"/>
    <w:rsid w:val="008473DB"/>
    <w:rsid w:val="00847409"/>
    <w:rsid w:val="008474E3"/>
    <w:rsid w:val="008475B4"/>
    <w:rsid w:val="00847894"/>
    <w:rsid w:val="00847C0B"/>
    <w:rsid w:val="00847CD8"/>
    <w:rsid w:val="00847D6D"/>
    <w:rsid w:val="00850503"/>
    <w:rsid w:val="00850627"/>
    <w:rsid w:val="0085076D"/>
    <w:rsid w:val="00851E76"/>
    <w:rsid w:val="00852739"/>
    <w:rsid w:val="008527ED"/>
    <w:rsid w:val="00852A68"/>
    <w:rsid w:val="00853383"/>
    <w:rsid w:val="00853768"/>
    <w:rsid w:val="008537F7"/>
    <w:rsid w:val="00853958"/>
    <w:rsid w:val="008544C9"/>
    <w:rsid w:val="008546BE"/>
    <w:rsid w:val="00854B62"/>
    <w:rsid w:val="00854C5A"/>
    <w:rsid w:val="00854C6A"/>
    <w:rsid w:val="00854C94"/>
    <w:rsid w:val="00854CA7"/>
    <w:rsid w:val="0085545E"/>
    <w:rsid w:val="00855703"/>
    <w:rsid w:val="00855787"/>
    <w:rsid w:val="00855803"/>
    <w:rsid w:val="00856074"/>
    <w:rsid w:val="008561D0"/>
    <w:rsid w:val="00856A0F"/>
    <w:rsid w:val="00856AEA"/>
    <w:rsid w:val="00857040"/>
    <w:rsid w:val="00857353"/>
    <w:rsid w:val="00857949"/>
    <w:rsid w:val="00857DE2"/>
    <w:rsid w:val="00857E49"/>
    <w:rsid w:val="00857EEE"/>
    <w:rsid w:val="00860349"/>
    <w:rsid w:val="00860A7C"/>
    <w:rsid w:val="00861C14"/>
    <w:rsid w:val="00861CFC"/>
    <w:rsid w:val="008624EC"/>
    <w:rsid w:val="0086310C"/>
    <w:rsid w:val="00863717"/>
    <w:rsid w:val="00863C20"/>
    <w:rsid w:val="00863CA1"/>
    <w:rsid w:val="00864685"/>
    <w:rsid w:val="00864B78"/>
    <w:rsid w:val="0086527E"/>
    <w:rsid w:val="00865439"/>
    <w:rsid w:val="008655FD"/>
    <w:rsid w:val="0086584C"/>
    <w:rsid w:val="008658BE"/>
    <w:rsid w:val="00865FAD"/>
    <w:rsid w:val="0086729C"/>
    <w:rsid w:val="00867409"/>
    <w:rsid w:val="00867437"/>
    <w:rsid w:val="00867AFE"/>
    <w:rsid w:val="00867D50"/>
    <w:rsid w:val="00870720"/>
    <w:rsid w:val="008708EC"/>
    <w:rsid w:val="00871036"/>
    <w:rsid w:val="008719C2"/>
    <w:rsid w:val="0087277A"/>
    <w:rsid w:val="00872A47"/>
    <w:rsid w:val="00873176"/>
    <w:rsid w:val="00873368"/>
    <w:rsid w:val="008734F0"/>
    <w:rsid w:val="008736B0"/>
    <w:rsid w:val="008736E2"/>
    <w:rsid w:val="008736FE"/>
    <w:rsid w:val="00873918"/>
    <w:rsid w:val="00873BA9"/>
    <w:rsid w:val="00873C58"/>
    <w:rsid w:val="00874489"/>
    <w:rsid w:val="00874565"/>
    <w:rsid w:val="0087478F"/>
    <w:rsid w:val="00874AFF"/>
    <w:rsid w:val="00874BAF"/>
    <w:rsid w:val="00874EAE"/>
    <w:rsid w:val="008757FF"/>
    <w:rsid w:val="00875BB9"/>
    <w:rsid w:val="00876639"/>
    <w:rsid w:val="00876D7A"/>
    <w:rsid w:val="00877247"/>
    <w:rsid w:val="00877285"/>
    <w:rsid w:val="00877F47"/>
    <w:rsid w:val="008801AE"/>
    <w:rsid w:val="00880AA3"/>
    <w:rsid w:val="008817CC"/>
    <w:rsid w:val="00881EA5"/>
    <w:rsid w:val="008822A4"/>
    <w:rsid w:val="00882483"/>
    <w:rsid w:val="00882672"/>
    <w:rsid w:val="00882AE0"/>
    <w:rsid w:val="00882BA5"/>
    <w:rsid w:val="00883286"/>
    <w:rsid w:val="008840C6"/>
    <w:rsid w:val="0088420A"/>
    <w:rsid w:val="0088421C"/>
    <w:rsid w:val="0088445B"/>
    <w:rsid w:val="00884D75"/>
    <w:rsid w:val="00884F3F"/>
    <w:rsid w:val="008853E0"/>
    <w:rsid w:val="008855EF"/>
    <w:rsid w:val="00885CE9"/>
    <w:rsid w:val="00886753"/>
    <w:rsid w:val="00886B39"/>
    <w:rsid w:val="00887496"/>
    <w:rsid w:val="00887DB8"/>
    <w:rsid w:val="008901F3"/>
    <w:rsid w:val="008906AB"/>
    <w:rsid w:val="00890C3B"/>
    <w:rsid w:val="008915FB"/>
    <w:rsid w:val="00891A9B"/>
    <w:rsid w:val="00891AF6"/>
    <w:rsid w:val="00891BC3"/>
    <w:rsid w:val="00891BE7"/>
    <w:rsid w:val="008923F7"/>
    <w:rsid w:val="00892A25"/>
    <w:rsid w:val="00892C0B"/>
    <w:rsid w:val="00892C5F"/>
    <w:rsid w:val="008931C1"/>
    <w:rsid w:val="008931C5"/>
    <w:rsid w:val="0089359F"/>
    <w:rsid w:val="00893619"/>
    <w:rsid w:val="008937C8"/>
    <w:rsid w:val="00894029"/>
    <w:rsid w:val="008942D0"/>
    <w:rsid w:val="0089507C"/>
    <w:rsid w:val="00895CAC"/>
    <w:rsid w:val="0089636F"/>
    <w:rsid w:val="008964A0"/>
    <w:rsid w:val="00896605"/>
    <w:rsid w:val="00896793"/>
    <w:rsid w:val="008967C4"/>
    <w:rsid w:val="00896A14"/>
    <w:rsid w:val="00896E7B"/>
    <w:rsid w:val="008973A3"/>
    <w:rsid w:val="0089793D"/>
    <w:rsid w:val="00897D3D"/>
    <w:rsid w:val="008A0017"/>
    <w:rsid w:val="008A0517"/>
    <w:rsid w:val="008A07E5"/>
    <w:rsid w:val="008A0941"/>
    <w:rsid w:val="008A0D2A"/>
    <w:rsid w:val="008A1693"/>
    <w:rsid w:val="008A17F4"/>
    <w:rsid w:val="008A1B09"/>
    <w:rsid w:val="008A1DA4"/>
    <w:rsid w:val="008A22F1"/>
    <w:rsid w:val="008A2394"/>
    <w:rsid w:val="008A23B6"/>
    <w:rsid w:val="008A254F"/>
    <w:rsid w:val="008A2630"/>
    <w:rsid w:val="008A3214"/>
    <w:rsid w:val="008A335D"/>
    <w:rsid w:val="008A38F4"/>
    <w:rsid w:val="008A3F0F"/>
    <w:rsid w:val="008A4137"/>
    <w:rsid w:val="008A4389"/>
    <w:rsid w:val="008A4DC8"/>
    <w:rsid w:val="008A5065"/>
    <w:rsid w:val="008A534B"/>
    <w:rsid w:val="008A541F"/>
    <w:rsid w:val="008A5833"/>
    <w:rsid w:val="008A59EF"/>
    <w:rsid w:val="008A5C1D"/>
    <w:rsid w:val="008A5C53"/>
    <w:rsid w:val="008A5EE1"/>
    <w:rsid w:val="008A6494"/>
    <w:rsid w:val="008A6790"/>
    <w:rsid w:val="008A696E"/>
    <w:rsid w:val="008A6BC7"/>
    <w:rsid w:val="008A7F91"/>
    <w:rsid w:val="008B0177"/>
    <w:rsid w:val="008B0859"/>
    <w:rsid w:val="008B08A3"/>
    <w:rsid w:val="008B09C5"/>
    <w:rsid w:val="008B0FE3"/>
    <w:rsid w:val="008B16DD"/>
    <w:rsid w:val="008B171B"/>
    <w:rsid w:val="008B223F"/>
    <w:rsid w:val="008B2CE4"/>
    <w:rsid w:val="008B2CF0"/>
    <w:rsid w:val="008B2FB8"/>
    <w:rsid w:val="008B319C"/>
    <w:rsid w:val="008B340F"/>
    <w:rsid w:val="008B3691"/>
    <w:rsid w:val="008B3A0B"/>
    <w:rsid w:val="008B3A88"/>
    <w:rsid w:val="008B3E21"/>
    <w:rsid w:val="008B4554"/>
    <w:rsid w:val="008B46E0"/>
    <w:rsid w:val="008B470A"/>
    <w:rsid w:val="008B490E"/>
    <w:rsid w:val="008B4BB1"/>
    <w:rsid w:val="008B4BFC"/>
    <w:rsid w:val="008B4DCD"/>
    <w:rsid w:val="008B5079"/>
    <w:rsid w:val="008B50BD"/>
    <w:rsid w:val="008B518C"/>
    <w:rsid w:val="008B51B4"/>
    <w:rsid w:val="008B5261"/>
    <w:rsid w:val="008B528D"/>
    <w:rsid w:val="008B56DB"/>
    <w:rsid w:val="008B5B67"/>
    <w:rsid w:val="008B5D7A"/>
    <w:rsid w:val="008B5F69"/>
    <w:rsid w:val="008B6296"/>
    <w:rsid w:val="008B66E3"/>
    <w:rsid w:val="008B778C"/>
    <w:rsid w:val="008B7848"/>
    <w:rsid w:val="008B7AE4"/>
    <w:rsid w:val="008B7BAA"/>
    <w:rsid w:val="008B7E94"/>
    <w:rsid w:val="008B7F2A"/>
    <w:rsid w:val="008B7F8F"/>
    <w:rsid w:val="008C0087"/>
    <w:rsid w:val="008C0927"/>
    <w:rsid w:val="008C1695"/>
    <w:rsid w:val="008C1758"/>
    <w:rsid w:val="008C1C80"/>
    <w:rsid w:val="008C1CD5"/>
    <w:rsid w:val="008C1E05"/>
    <w:rsid w:val="008C1E7E"/>
    <w:rsid w:val="008C320A"/>
    <w:rsid w:val="008C34BB"/>
    <w:rsid w:val="008C35B6"/>
    <w:rsid w:val="008C376F"/>
    <w:rsid w:val="008C3B0B"/>
    <w:rsid w:val="008C3B0F"/>
    <w:rsid w:val="008C3FD9"/>
    <w:rsid w:val="008C4244"/>
    <w:rsid w:val="008C45E2"/>
    <w:rsid w:val="008C4993"/>
    <w:rsid w:val="008C4C53"/>
    <w:rsid w:val="008C5068"/>
    <w:rsid w:val="008C57CB"/>
    <w:rsid w:val="008C5906"/>
    <w:rsid w:val="008C5E6F"/>
    <w:rsid w:val="008C6448"/>
    <w:rsid w:val="008C6482"/>
    <w:rsid w:val="008C6688"/>
    <w:rsid w:val="008C7062"/>
    <w:rsid w:val="008C74BD"/>
    <w:rsid w:val="008C74BF"/>
    <w:rsid w:val="008C758A"/>
    <w:rsid w:val="008C7705"/>
    <w:rsid w:val="008C7852"/>
    <w:rsid w:val="008D00C8"/>
    <w:rsid w:val="008D032A"/>
    <w:rsid w:val="008D0E03"/>
    <w:rsid w:val="008D1618"/>
    <w:rsid w:val="008D16DB"/>
    <w:rsid w:val="008D1E49"/>
    <w:rsid w:val="008D27C4"/>
    <w:rsid w:val="008D2EA1"/>
    <w:rsid w:val="008D2FC0"/>
    <w:rsid w:val="008D3726"/>
    <w:rsid w:val="008D37BF"/>
    <w:rsid w:val="008D3C68"/>
    <w:rsid w:val="008D3F6D"/>
    <w:rsid w:val="008D4245"/>
    <w:rsid w:val="008D4820"/>
    <w:rsid w:val="008D4A11"/>
    <w:rsid w:val="008D4C02"/>
    <w:rsid w:val="008D4CB0"/>
    <w:rsid w:val="008D4D33"/>
    <w:rsid w:val="008D51C7"/>
    <w:rsid w:val="008D53F1"/>
    <w:rsid w:val="008D5981"/>
    <w:rsid w:val="008D5CC4"/>
    <w:rsid w:val="008D5D56"/>
    <w:rsid w:val="008D5EB1"/>
    <w:rsid w:val="008D6311"/>
    <w:rsid w:val="008D6397"/>
    <w:rsid w:val="008D72D2"/>
    <w:rsid w:val="008D73C9"/>
    <w:rsid w:val="008D75B3"/>
    <w:rsid w:val="008D7B8F"/>
    <w:rsid w:val="008DCB7B"/>
    <w:rsid w:val="008E0083"/>
    <w:rsid w:val="008E12C5"/>
    <w:rsid w:val="008E16BF"/>
    <w:rsid w:val="008E1C6D"/>
    <w:rsid w:val="008E1FFF"/>
    <w:rsid w:val="008E2A4B"/>
    <w:rsid w:val="008E2DF1"/>
    <w:rsid w:val="008E2E5C"/>
    <w:rsid w:val="008E3049"/>
    <w:rsid w:val="008E31FB"/>
    <w:rsid w:val="008E31FD"/>
    <w:rsid w:val="008E35A3"/>
    <w:rsid w:val="008E36BC"/>
    <w:rsid w:val="008E3897"/>
    <w:rsid w:val="008E38FE"/>
    <w:rsid w:val="008E3D97"/>
    <w:rsid w:val="008E413F"/>
    <w:rsid w:val="008E4387"/>
    <w:rsid w:val="008E4CC7"/>
    <w:rsid w:val="008E4F5E"/>
    <w:rsid w:val="008E5619"/>
    <w:rsid w:val="008E5ED5"/>
    <w:rsid w:val="008E633F"/>
    <w:rsid w:val="008E68BC"/>
    <w:rsid w:val="008E6A28"/>
    <w:rsid w:val="008E6C49"/>
    <w:rsid w:val="008E6D6C"/>
    <w:rsid w:val="008E714F"/>
    <w:rsid w:val="008E7274"/>
    <w:rsid w:val="008E736B"/>
    <w:rsid w:val="008E74F9"/>
    <w:rsid w:val="008F021D"/>
    <w:rsid w:val="008F0268"/>
    <w:rsid w:val="008F02AC"/>
    <w:rsid w:val="008F0562"/>
    <w:rsid w:val="008F05C4"/>
    <w:rsid w:val="008F0BAB"/>
    <w:rsid w:val="008F11CB"/>
    <w:rsid w:val="008F18DF"/>
    <w:rsid w:val="008F1B6D"/>
    <w:rsid w:val="008F1CAA"/>
    <w:rsid w:val="008F1EC7"/>
    <w:rsid w:val="008F260B"/>
    <w:rsid w:val="008F275C"/>
    <w:rsid w:val="008F2CD0"/>
    <w:rsid w:val="008F3241"/>
    <w:rsid w:val="008F3274"/>
    <w:rsid w:val="008F3356"/>
    <w:rsid w:val="008F38A2"/>
    <w:rsid w:val="008F47DE"/>
    <w:rsid w:val="008F47EE"/>
    <w:rsid w:val="008F5172"/>
    <w:rsid w:val="008F51D3"/>
    <w:rsid w:val="008F6D54"/>
    <w:rsid w:val="008F6DC7"/>
    <w:rsid w:val="008F6F54"/>
    <w:rsid w:val="008F713E"/>
    <w:rsid w:val="008F71A2"/>
    <w:rsid w:val="008F72DD"/>
    <w:rsid w:val="009002BB"/>
    <w:rsid w:val="00900868"/>
    <w:rsid w:val="00900B25"/>
    <w:rsid w:val="00900B9E"/>
    <w:rsid w:val="00900C02"/>
    <w:rsid w:val="009011CB"/>
    <w:rsid w:val="00901256"/>
    <w:rsid w:val="0090188E"/>
    <w:rsid w:val="00901F84"/>
    <w:rsid w:val="009025DE"/>
    <w:rsid w:val="00902C57"/>
    <w:rsid w:val="00902F43"/>
    <w:rsid w:val="0090307F"/>
    <w:rsid w:val="00903118"/>
    <w:rsid w:val="00903239"/>
    <w:rsid w:val="00903934"/>
    <w:rsid w:val="00903A06"/>
    <w:rsid w:val="00903C21"/>
    <w:rsid w:val="0090405B"/>
    <w:rsid w:val="00904096"/>
    <w:rsid w:val="009042E1"/>
    <w:rsid w:val="009044D2"/>
    <w:rsid w:val="00904646"/>
    <w:rsid w:val="00904B5D"/>
    <w:rsid w:val="00904B9C"/>
    <w:rsid w:val="00904EA6"/>
    <w:rsid w:val="009053A4"/>
    <w:rsid w:val="0090541E"/>
    <w:rsid w:val="0090557F"/>
    <w:rsid w:val="00905A9F"/>
    <w:rsid w:val="00905F44"/>
    <w:rsid w:val="0090606D"/>
    <w:rsid w:val="009065FC"/>
    <w:rsid w:val="00906821"/>
    <w:rsid w:val="00906B61"/>
    <w:rsid w:val="00906DB2"/>
    <w:rsid w:val="00906E65"/>
    <w:rsid w:val="00907759"/>
    <w:rsid w:val="0091089D"/>
    <w:rsid w:val="00910929"/>
    <w:rsid w:val="00911244"/>
    <w:rsid w:val="00911770"/>
    <w:rsid w:val="009119B0"/>
    <w:rsid w:val="00911B58"/>
    <w:rsid w:val="00912332"/>
    <w:rsid w:val="00912655"/>
    <w:rsid w:val="0091435F"/>
    <w:rsid w:val="009144D5"/>
    <w:rsid w:val="00915F98"/>
    <w:rsid w:val="00915FA3"/>
    <w:rsid w:val="009161CC"/>
    <w:rsid w:val="009162E8"/>
    <w:rsid w:val="009163FA"/>
    <w:rsid w:val="009165A4"/>
    <w:rsid w:val="009167FA"/>
    <w:rsid w:val="0091683C"/>
    <w:rsid w:val="0091708F"/>
    <w:rsid w:val="0091755C"/>
    <w:rsid w:val="0091795F"/>
    <w:rsid w:val="00917A39"/>
    <w:rsid w:val="00917A9D"/>
    <w:rsid w:val="00920354"/>
    <w:rsid w:val="00920D9C"/>
    <w:rsid w:val="0092129F"/>
    <w:rsid w:val="00921388"/>
    <w:rsid w:val="009213D2"/>
    <w:rsid w:val="009217F8"/>
    <w:rsid w:val="00921BB8"/>
    <w:rsid w:val="00921BEB"/>
    <w:rsid w:val="00921C75"/>
    <w:rsid w:val="00921C7C"/>
    <w:rsid w:val="00921D88"/>
    <w:rsid w:val="00922775"/>
    <w:rsid w:val="00922E17"/>
    <w:rsid w:val="00922EB5"/>
    <w:rsid w:val="00922F47"/>
    <w:rsid w:val="00922F6C"/>
    <w:rsid w:val="00922FD3"/>
    <w:rsid w:val="00923BB5"/>
    <w:rsid w:val="00923C33"/>
    <w:rsid w:val="0092470E"/>
    <w:rsid w:val="00924BD1"/>
    <w:rsid w:val="00924F02"/>
    <w:rsid w:val="00925187"/>
    <w:rsid w:val="00925C28"/>
    <w:rsid w:val="00925DA1"/>
    <w:rsid w:val="009264B5"/>
    <w:rsid w:val="00926A99"/>
    <w:rsid w:val="00926DF7"/>
    <w:rsid w:val="0092709C"/>
    <w:rsid w:val="0092717F"/>
    <w:rsid w:val="00927744"/>
    <w:rsid w:val="00927AA3"/>
    <w:rsid w:val="00927B05"/>
    <w:rsid w:val="00927F24"/>
    <w:rsid w:val="00930201"/>
    <w:rsid w:val="00930BD9"/>
    <w:rsid w:val="00930F4E"/>
    <w:rsid w:val="009314FC"/>
    <w:rsid w:val="00931CA3"/>
    <w:rsid w:val="00932170"/>
    <w:rsid w:val="009328FB"/>
    <w:rsid w:val="00932E60"/>
    <w:rsid w:val="009336B2"/>
    <w:rsid w:val="0093427A"/>
    <w:rsid w:val="00934CB0"/>
    <w:rsid w:val="0093539B"/>
    <w:rsid w:val="00935450"/>
    <w:rsid w:val="0093557D"/>
    <w:rsid w:val="00936062"/>
    <w:rsid w:val="009360EE"/>
    <w:rsid w:val="00936484"/>
    <w:rsid w:val="00936916"/>
    <w:rsid w:val="009373A4"/>
    <w:rsid w:val="0093753F"/>
    <w:rsid w:val="009378AA"/>
    <w:rsid w:val="00937CBE"/>
    <w:rsid w:val="00940151"/>
    <w:rsid w:val="00940459"/>
    <w:rsid w:val="009405A3"/>
    <w:rsid w:val="00940855"/>
    <w:rsid w:val="0094176B"/>
    <w:rsid w:val="00941867"/>
    <w:rsid w:val="00941990"/>
    <w:rsid w:val="00941D3E"/>
    <w:rsid w:val="00942335"/>
    <w:rsid w:val="00942BEA"/>
    <w:rsid w:val="00942CA5"/>
    <w:rsid w:val="00942FC7"/>
    <w:rsid w:val="00942FD3"/>
    <w:rsid w:val="0094314B"/>
    <w:rsid w:val="009432F0"/>
    <w:rsid w:val="00943E45"/>
    <w:rsid w:val="00944087"/>
    <w:rsid w:val="00944177"/>
    <w:rsid w:val="00944253"/>
    <w:rsid w:val="009447A5"/>
    <w:rsid w:val="009447F0"/>
    <w:rsid w:val="00944E74"/>
    <w:rsid w:val="00945E50"/>
    <w:rsid w:val="0094603B"/>
    <w:rsid w:val="0094605A"/>
    <w:rsid w:val="00946193"/>
    <w:rsid w:val="00946844"/>
    <w:rsid w:val="00947248"/>
    <w:rsid w:val="0094781D"/>
    <w:rsid w:val="00947E74"/>
    <w:rsid w:val="0095012E"/>
    <w:rsid w:val="00950151"/>
    <w:rsid w:val="00950446"/>
    <w:rsid w:val="00950A77"/>
    <w:rsid w:val="00951359"/>
    <w:rsid w:val="009515C9"/>
    <w:rsid w:val="009517E7"/>
    <w:rsid w:val="00951934"/>
    <w:rsid w:val="00951A5F"/>
    <w:rsid w:val="0095207B"/>
    <w:rsid w:val="0095224B"/>
    <w:rsid w:val="009524C1"/>
    <w:rsid w:val="00952E1A"/>
    <w:rsid w:val="00952E35"/>
    <w:rsid w:val="00952EC7"/>
    <w:rsid w:val="00952F36"/>
    <w:rsid w:val="00953364"/>
    <w:rsid w:val="00953405"/>
    <w:rsid w:val="00953895"/>
    <w:rsid w:val="009543B2"/>
    <w:rsid w:val="009545BE"/>
    <w:rsid w:val="009549FF"/>
    <w:rsid w:val="00954C8C"/>
    <w:rsid w:val="00954E34"/>
    <w:rsid w:val="00955189"/>
    <w:rsid w:val="009552E9"/>
    <w:rsid w:val="0095623B"/>
    <w:rsid w:val="00956904"/>
    <w:rsid w:val="00956926"/>
    <w:rsid w:val="00956ACE"/>
    <w:rsid w:val="00956B8E"/>
    <w:rsid w:val="009572A0"/>
    <w:rsid w:val="0095746A"/>
    <w:rsid w:val="00957A84"/>
    <w:rsid w:val="00957D24"/>
    <w:rsid w:val="00957F64"/>
    <w:rsid w:val="00960186"/>
    <w:rsid w:val="0096047A"/>
    <w:rsid w:val="009606FB"/>
    <w:rsid w:val="00960ACB"/>
    <w:rsid w:val="00960DCF"/>
    <w:rsid w:val="009610D4"/>
    <w:rsid w:val="00961AC3"/>
    <w:rsid w:val="00961B53"/>
    <w:rsid w:val="00961DFA"/>
    <w:rsid w:val="00962AD6"/>
    <w:rsid w:val="00962F5B"/>
    <w:rsid w:val="00962F7D"/>
    <w:rsid w:val="0096302F"/>
    <w:rsid w:val="00963264"/>
    <w:rsid w:val="00963459"/>
    <w:rsid w:val="0096359D"/>
    <w:rsid w:val="0096389D"/>
    <w:rsid w:val="00964296"/>
    <w:rsid w:val="0096437E"/>
    <w:rsid w:val="00964724"/>
    <w:rsid w:val="00964740"/>
    <w:rsid w:val="009649A1"/>
    <w:rsid w:val="00964A15"/>
    <w:rsid w:val="00964E4E"/>
    <w:rsid w:val="0096517E"/>
    <w:rsid w:val="0096527E"/>
    <w:rsid w:val="009652A8"/>
    <w:rsid w:val="00965B96"/>
    <w:rsid w:val="0096621F"/>
    <w:rsid w:val="0096719F"/>
    <w:rsid w:val="00967381"/>
    <w:rsid w:val="009676C0"/>
    <w:rsid w:val="00967934"/>
    <w:rsid w:val="00967A36"/>
    <w:rsid w:val="00970790"/>
    <w:rsid w:val="00971148"/>
    <w:rsid w:val="009713E6"/>
    <w:rsid w:val="00971D32"/>
    <w:rsid w:val="00972014"/>
    <w:rsid w:val="00972027"/>
    <w:rsid w:val="00972489"/>
    <w:rsid w:val="009729A5"/>
    <w:rsid w:val="009729EC"/>
    <w:rsid w:val="00972AA3"/>
    <w:rsid w:val="009739C0"/>
    <w:rsid w:val="00973AF0"/>
    <w:rsid w:val="00974B98"/>
    <w:rsid w:val="00974BFB"/>
    <w:rsid w:val="00974D4B"/>
    <w:rsid w:val="00974EB2"/>
    <w:rsid w:val="00975192"/>
    <w:rsid w:val="00975311"/>
    <w:rsid w:val="009753D3"/>
    <w:rsid w:val="0097581F"/>
    <w:rsid w:val="00975E76"/>
    <w:rsid w:val="00976D61"/>
    <w:rsid w:val="0097721F"/>
    <w:rsid w:val="00977241"/>
    <w:rsid w:val="00977750"/>
    <w:rsid w:val="009779DE"/>
    <w:rsid w:val="00977BEC"/>
    <w:rsid w:val="00977F53"/>
    <w:rsid w:val="0098010F"/>
    <w:rsid w:val="009801D7"/>
    <w:rsid w:val="009803A9"/>
    <w:rsid w:val="009803CB"/>
    <w:rsid w:val="009803D4"/>
    <w:rsid w:val="00980740"/>
    <w:rsid w:val="009807A2"/>
    <w:rsid w:val="00980D32"/>
    <w:rsid w:val="00980EBB"/>
    <w:rsid w:val="009813E9"/>
    <w:rsid w:val="00981845"/>
    <w:rsid w:val="0098189D"/>
    <w:rsid w:val="0098199C"/>
    <w:rsid w:val="009819E2"/>
    <w:rsid w:val="00981E3B"/>
    <w:rsid w:val="00981FD3"/>
    <w:rsid w:val="00982402"/>
    <w:rsid w:val="00982C8A"/>
    <w:rsid w:val="00982DC3"/>
    <w:rsid w:val="00983490"/>
    <w:rsid w:val="00983527"/>
    <w:rsid w:val="00983574"/>
    <w:rsid w:val="00983803"/>
    <w:rsid w:val="00983A76"/>
    <w:rsid w:val="00983A94"/>
    <w:rsid w:val="00983AE5"/>
    <w:rsid w:val="00984002"/>
    <w:rsid w:val="009842C1"/>
    <w:rsid w:val="0098432A"/>
    <w:rsid w:val="009844D3"/>
    <w:rsid w:val="009847CD"/>
    <w:rsid w:val="00984BAE"/>
    <w:rsid w:val="0098524F"/>
    <w:rsid w:val="00985C24"/>
    <w:rsid w:val="00985D9C"/>
    <w:rsid w:val="0098600A"/>
    <w:rsid w:val="00986617"/>
    <w:rsid w:val="009872CF"/>
    <w:rsid w:val="009873F3"/>
    <w:rsid w:val="00987426"/>
    <w:rsid w:val="00987DE0"/>
    <w:rsid w:val="00987FE8"/>
    <w:rsid w:val="0099033A"/>
    <w:rsid w:val="00990463"/>
    <w:rsid w:val="009904E3"/>
    <w:rsid w:val="009904F3"/>
    <w:rsid w:val="0099088A"/>
    <w:rsid w:val="009908B0"/>
    <w:rsid w:val="00990B58"/>
    <w:rsid w:val="00990DD1"/>
    <w:rsid w:val="00990F4E"/>
    <w:rsid w:val="00991653"/>
    <w:rsid w:val="00991A14"/>
    <w:rsid w:val="00991D14"/>
    <w:rsid w:val="00991ED4"/>
    <w:rsid w:val="009924AC"/>
    <w:rsid w:val="009928B9"/>
    <w:rsid w:val="00992B84"/>
    <w:rsid w:val="00992CCF"/>
    <w:rsid w:val="00992D0C"/>
    <w:rsid w:val="00992FC1"/>
    <w:rsid w:val="009936F3"/>
    <w:rsid w:val="00993850"/>
    <w:rsid w:val="00993A41"/>
    <w:rsid w:val="00994249"/>
    <w:rsid w:val="0099520C"/>
    <w:rsid w:val="009957CF"/>
    <w:rsid w:val="00995E29"/>
    <w:rsid w:val="00995E98"/>
    <w:rsid w:val="00995EFE"/>
    <w:rsid w:val="0099615D"/>
    <w:rsid w:val="0099624E"/>
    <w:rsid w:val="009966A7"/>
    <w:rsid w:val="009966AB"/>
    <w:rsid w:val="00996CA4"/>
    <w:rsid w:val="00996F15"/>
    <w:rsid w:val="0099725C"/>
    <w:rsid w:val="0099793A"/>
    <w:rsid w:val="00997BA8"/>
    <w:rsid w:val="00997BF1"/>
    <w:rsid w:val="009A0344"/>
    <w:rsid w:val="009A06F4"/>
    <w:rsid w:val="009A0935"/>
    <w:rsid w:val="009A0A5E"/>
    <w:rsid w:val="009A0C96"/>
    <w:rsid w:val="009A0E69"/>
    <w:rsid w:val="009A1413"/>
    <w:rsid w:val="009A1BD0"/>
    <w:rsid w:val="009A1EDF"/>
    <w:rsid w:val="009A21F0"/>
    <w:rsid w:val="009A23D3"/>
    <w:rsid w:val="009A2B47"/>
    <w:rsid w:val="009A2F06"/>
    <w:rsid w:val="009A34A1"/>
    <w:rsid w:val="009A3711"/>
    <w:rsid w:val="009A3778"/>
    <w:rsid w:val="009A3A2F"/>
    <w:rsid w:val="009A3C86"/>
    <w:rsid w:val="009A3E2E"/>
    <w:rsid w:val="009A3F68"/>
    <w:rsid w:val="009A4010"/>
    <w:rsid w:val="009A40FA"/>
    <w:rsid w:val="009A43ED"/>
    <w:rsid w:val="009A48BB"/>
    <w:rsid w:val="009A4D83"/>
    <w:rsid w:val="009A5973"/>
    <w:rsid w:val="009A5AC1"/>
    <w:rsid w:val="009A6244"/>
    <w:rsid w:val="009A6965"/>
    <w:rsid w:val="009A73C6"/>
    <w:rsid w:val="009A76C3"/>
    <w:rsid w:val="009A789C"/>
    <w:rsid w:val="009A7BDC"/>
    <w:rsid w:val="009A7C5B"/>
    <w:rsid w:val="009A7F34"/>
    <w:rsid w:val="009B096B"/>
    <w:rsid w:val="009B0DE5"/>
    <w:rsid w:val="009B0F96"/>
    <w:rsid w:val="009B108B"/>
    <w:rsid w:val="009B10B4"/>
    <w:rsid w:val="009B10DB"/>
    <w:rsid w:val="009B1170"/>
    <w:rsid w:val="009B1533"/>
    <w:rsid w:val="009B15D6"/>
    <w:rsid w:val="009B21C1"/>
    <w:rsid w:val="009B2245"/>
    <w:rsid w:val="009B2447"/>
    <w:rsid w:val="009B24BC"/>
    <w:rsid w:val="009B258E"/>
    <w:rsid w:val="009B270E"/>
    <w:rsid w:val="009B287A"/>
    <w:rsid w:val="009B28FE"/>
    <w:rsid w:val="009B2ED3"/>
    <w:rsid w:val="009B2EEF"/>
    <w:rsid w:val="009B307E"/>
    <w:rsid w:val="009B315E"/>
    <w:rsid w:val="009B3BDB"/>
    <w:rsid w:val="009B3C1A"/>
    <w:rsid w:val="009B3E66"/>
    <w:rsid w:val="009B4058"/>
    <w:rsid w:val="009B41D7"/>
    <w:rsid w:val="009B445A"/>
    <w:rsid w:val="009B44C9"/>
    <w:rsid w:val="009B4652"/>
    <w:rsid w:val="009B4E3B"/>
    <w:rsid w:val="009B5824"/>
    <w:rsid w:val="009B5997"/>
    <w:rsid w:val="009B5A56"/>
    <w:rsid w:val="009B6132"/>
    <w:rsid w:val="009B688D"/>
    <w:rsid w:val="009B6B23"/>
    <w:rsid w:val="009B6B75"/>
    <w:rsid w:val="009B6C3D"/>
    <w:rsid w:val="009B6DEE"/>
    <w:rsid w:val="009B731B"/>
    <w:rsid w:val="009B757B"/>
    <w:rsid w:val="009B79CE"/>
    <w:rsid w:val="009B7ABD"/>
    <w:rsid w:val="009B7DDC"/>
    <w:rsid w:val="009B7F17"/>
    <w:rsid w:val="009B7FE0"/>
    <w:rsid w:val="009BA58B"/>
    <w:rsid w:val="009C05DD"/>
    <w:rsid w:val="009C1218"/>
    <w:rsid w:val="009C1869"/>
    <w:rsid w:val="009C195E"/>
    <w:rsid w:val="009C1C0E"/>
    <w:rsid w:val="009C1D27"/>
    <w:rsid w:val="009C269B"/>
    <w:rsid w:val="009C2D41"/>
    <w:rsid w:val="009C30F9"/>
    <w:rsid w:val="009C359A"/>
    <w:rsid w:val="009C3BD9"/>
    <w:rsid w:val="009C3F50"/>
    <w:rsid w:val="009C434F"/>
    <w:rsid w:val="009C4525"/>
    <w:rsid w:val="009C497C"/>
    <w:rsid w:val="009C4D95"/>
    <w:rsid w:val="009C5355"/>
    <w:rsid w:val="009C5AD5"/>
    <w:rsid w:val="009C5B82"/>
    <w:rsid w:val="009C5B8C"/>
    <w:rsid w:val="009C6CD8"/>
    <w:rsid w:val="009C738F"/>
    <w:rsid w:val="009C7458"/>
    <w:rsid w:val="009C756E"/>
    <w:rsid w:val="009C7F00"/>
    <w:rsid w:val="009D0163"/>
    <w:rsid w:val="009D0BE0"/>
    <w:rsid w:val="009D0FAB"/>
    <w:rsid w:val="009D170B"/>
    <w:rsid w:val="009D1B55"/>
    <w:rsid w:val="009D1D73"/>
    <w:rsid w:val="009D1D98"/>
    <w:rsid w:val="009D1DD5"/>
    <w:rsid w:val="009D21BE"/>
    <w:rsid w:val="009D229D"/>
    <w:rsid w:val="009D24B3"/>
    <w:rsid w:val="009D2EF9"/>
    <w:rsid w:val="009D35EA"/>
    <w:rsid w:val="009D3C3D"/>
    <w:rsid w:val="009D4368"/>
    <w:rsid w:val="009D45ED"/>
    <w:rsid w:val="009D47BF"/>
    <w:rsid w:val="009D5288"/>
    <w:rsid w:val="009D56E2"/>
    <w:rsid w:val="009D5795"/>
    <w:rsid w:val="009D67E3"/>
    <w:rsid w:val="009D6B8F"/>
    <w:rsid w:val="009D75D7"/>
    <w:rsid w:val="009D79D4"/>
    <w:rsid w:val="009D7CF9"/>
    <w:rsid w:val="009D7FAC"/>
    <w:rsid w:val="009E079F"/>
    <w:rsid w:val="009E0BCF"/>
    <w:rsid w:val="009E15B7"/>
    <w:rsid w:val="009E1B6D"/>
    <w:rsid w:val="009E2912"/>
    <w:rsid w:val="009E295F"/>
    <w:rsid w:val="009E2AD3"/>
    <w:rsid w:val="009E2B00"/>
    <w:rsid w:val="009E2B13"/>
    <w:rsid w:val="009E2F2B"/>
    <w:rsid w:val="009E2F2C"/>
    <w:rsid w:val="009E3401"/>
    <w:rsid w:val="009E43DE"/>
    <w:rsid w:val="009E47E5"/>
    <w:rsid w:val="009E4846"/>
    <w:rsid w:val="009E4E77"/>
    <w:rsid w:val="009E5749"/>
    <w:rsid w:val="009E57E1"/>
    <w:rsid w:val="009E5A46"/>
    <w:rsid w:val="009E5CDD"/>
    <w:rsid w:val="009E6567"/>
    <w:rsid w:val="009E66BF"/>
    <w:rsid w:val="009E72ED"/>
    <w:rsid w:val="009E73FA"/>
    <w:rsid w:val="009E750D"/>
    <w:rsid w:val="009F00E2"/>
    <w:rsid w:val="009F0178"/>
    <w:rsid w:val="009F056C"/>
    <w:rsid w:val="009F0BD2"/>
    <w:rsid w:val="009F100E"/>
    <w:rsid w:val="009F11DF"/>
    <w:rsid w:val="009F1274"/>
    <w:rsid w:val="009F1304"/>
    <w:rsid w:val="009F146F"/>
    <w:rsid w:val="009F16AF"/>
    <w:rsid w:val="009F1717"/>
    <w:rsid w:val="009F25F1"/>
    <w:rsid w:val="009F29DB"/>
    <w:rsid w:val="009F398B"/>
    <w:rsid w:val="009F3C75"/>
    <w:rsid w:val="009F3F5C"/>
    <w:rsid w:val="009F40FF"/>
    <w:rsid w:val="009F4D0F"/>
    <w:rsid w:val="009F4FAE"/>
    <w:rsid w:val="009F51AF"/>
    <w:rsid w:val="009F54D2"/>
    <w:rsid w:val="009F57AC"/>
    <w:rsid w:val="009F5ACA"/>
    <w:rsid w:val="009F5D78"/>
    <w:rsid w:val="009F66EB"/>
    <w:rsid w:val="009F673F"/>
    <w:rsid w:val="009F6E73"/>
    <w:rsid w:val="009F6F94"/>
    <w:rsid w:val="009F6FDF"/>
    <w:rsid w:val="009F71AA"/>
    <w:rsid w:val="009F7DA7"/>
    <w:rsid w:val="00A0037E"/>
    <w:rsid w:val="00A007ED"/>
    <w:rsid w:val="00A009C2"/>
    <w:rsid w:val="00A00A63"/>
    <w:rsid w:val="00A01303"/>
    <w:rsid w:val="00A0139E"/>
    <w:rsid w:val="00A0294D"/>
    <w:rsid w:val="00A02C4F"/>
    <w:rsid w:val="00A02E47"/>
    <w:rsid w:val="00A032D7"/>
    <w:rsid w:val="00A034FC"/>
    <w:rsid w:val="00A0378F"/>
    <w:rsid w:val="00A03CD1"/>
    <w:rsid w:val="00A043FE"/>
    <w:rsid w:val="00A04A09"/>
    <w:rsid w:val="00A050FC"/>
    <w:rsid w:val="00A05461"/>
    <w:rsid w:val="00A05535"/>
    <w:rsid w:val="00A05821"/>
    <w:rsid w:val="00A059BE"/>
    <w:rsid w:val="00A05A65"/>
    <w:rsid w:val="00A05A6E"/>
    <w:rsid w:val="00A05D1D"/>
    <w:rsid w:val="00A05D63"/>
    <w:rsid w:val="00A05EA2"/>
    <w:rsid w:val="00A0603B"/>
    <w:rsid w:val="00A06C7C"/>
    <w:rsid w:val="00A06E51"/>
    <w:rsid w:val="00A076CC"/>
    <w:rsid w:val="00A07750"/>
    <w:rsid w:val="00A07B23"/>
    <w:rsid w:val="00A10667"/>
    <w:rsid w:val="00A107E8"/>
    <w:rsid w:val="00A10A3F"/>
    <w:rsid w:val="00A10BAB"/>
    <w:rsid w:val="00A10FDF"/>
    <w:rsid w:val="00A1165C"/>
    <w:rsid w:val="00A11A93"/>
    <w:rsid w:val="00A1203F"/>
    <w:rsid w:val="00A12183"/>
    <w:rsid w:val="00A12561"/>
    <w:rsid w:val="00A125D6"/>
    <w:rsid w:val="00A1283F"/>
    <w:rsid w:val="00A1296F"/>
    <w:rsid w:val="00A12B5C"/>
    <w:rsid w:val="00A12EF9"/>
    <w:rsid w:val="00A1327B"/>
    <w:rsid w:val="00A13696"/>
    <w:rsid w:val="00A138F6"/>
    <w:rsid w:val="00A13CF0"/>
    <w:rsid w:val="00A13DAA"/>
    <w:rsid w:val="00A14345"/>
    <w:rsid w:val="00A14BEA"/>
    <w:rsid w:val="00A14E53"/>
    <w:rsid w:val="00A15063"/>
    <w:rsid w:val="00A15580"/>
    <w:rsid w:val="00A15763"/>
    <w:rsid w:val="00A159E2"/>
    <w:rsid w:val="00A15A12"/>
    <w:rsid w:val="00A16449"/>
    <w:rsid w:val="00A16990"/>
    <w:rsid w:val="00A16BF8"/>
    <w:rsid w:val="00A17231"/>
    <w:rsid w:val="00A17441"/>
    <w:rsid w:val="00A175EC"/>
    <w:rsid w:val="00A176E7"/>
    <w:rsid w:val="00A178B1"/>
    <w:rsid w:val="00A20200"/>
    <w:rsid w:val="00A2071E"/>
    <w:rsid w:val="00A2073B"/>
    <w:rsid w:val="00A2074D"/>
    <w:rsid w:val="00A20BA9"/>
    <w:rsid w:val="00A21220"/>
    <w:rsid w:val="00A2139E"/>
    <w:rsid w:val="00A215BF"/>
    <w:rsid w:val="00A21750"/>
    <w:rsid w:val="00A21A23"/>
    <w:rsid w:val="00A225B2"/>
    <w:rsid w:val="00A22EFC"/>
    <w:rsid w:val="00A2308B"/>
    <w:rsid w:val="00A23B5B"/>
    <w:rsid w:val="00A24061"/>
    <w:rsid w:val="00A246E3"/>
    <w:rsid w:val="00A247E9"/>
    <w:rsid w:val="00A25BB7"/>
    <w:rsid w:val="00A25C77"/>
    <w:rsid w:val="00A25C8F"/>
    <w:rsid w:val="00A25EBA"/>
    <w:rsid w:val="00A260E0"/>
    <w:rsid w:val="00A26389"/>
    <w:rsid w:val="00A26518"/>
    <w:rsid w:val="00A26896"/>
    <w:rsid w:val="00A26A30"/>
    <w:rsid w:val="00A26AA9"/>
    <w:rsid w:val="00A26F5D"/>
    <w:rsid w:val="00A27400"/>
    <w:rsid w:val="00A27700"/>
    <w:rsid w:val="00A27A37"/>
    <w:rsid w:val="00A27EE7"/>
    <w:rsid w:val="00A3010D"/>
    <w:rsid w:val="00A303B8"/>
    <w:rsid w:val="00A308ED"/>
    <w:rsid w:val="00A30B90"/>
    <w:rsid w:val="00A30D75"/>
    <w:rsid w:val="00A31D57"/>
    <w:rsid w:val="00A31E4A"/>
    <w:rsid w:val="00A32137"/>
    <w:rsid w:val="00A32229"/>
    <w:rsid w:val="00A324CC"/>
    <w:rsid w:val="00A3281A"/>
    <w:rsid w:val="00A3287A"/>
    <w:rsid w:val="00A32A6F"/>
    <w:rsid w:val="00A32F0A"/>
    <w:rsid w:val="00A33318"/>
    <w:rsid w:val="00A33AB8"/>
    <w:rsid w:val="00A33C78"/>
    <w:rsid w:val="00A34735"/>
    <w:rsid w:val="00A348C5"/>
    <w:rsid w:val="00A34DA4"/>
    <w:rsid w:val="00A34E51"/>
    <w:rsid w:val="00A34F32"/>
    <w:rsid w:val="00A35629"/>
    <w:rsid w:val="00A359B0"/>
    <w:rsid w:val="00A35D0C"/>
    <w:rsid w:val="00A361C3"/>
    <w:rsid w:val="00A3622D"/>
    <w:rsid w:val="00A36FA7"/>
    <w:rsid w:val="00A37008"/>
    <w:rsid w:val="00A37228"/>
    <w:rsid w:val="00A37AB3"/>
    <w:rsid w:val="00A37ED9"/>
    <w:rsid w:val="00A40A35"/>
    <w:rsid w:val="00A40DD0"/>
    <w:rsid w:val="00A41031"/>
    <w:rsid w:val="00A411FA"/>
    <w:rsid w:val="00A41342"/>
    <w:rsid w:val="00A416A4"/>
    <w:rsid w:val="00A42E18"/>
    <w:rsid w:val="00A43755"/>
    <w:rsid w:val="00A43990"/>
    <w:rsid w:val="00A448BA"/>
    <w:rsid w:val="00A44914"/>
    <w:rsid w:val="00A44DA6"/>
    <w:rsid w:val="00A44EA8"/>
    <w:rsid w:val="00A44EB5"/>
    <w:rsid w:val="00A44EC1"/>
    <w:rsid w:val="00A451E1"/>
    <w:rsid w:val="00A45408"/>
    <w:rsid w:val="00A454B3"/>
    <w:rsid w:val="00A45D1F"/>
    <w:rsid w:val="00A45DE5"/>
    <w:rsid w:val="00A45E52"/>
    <w:rsid w:val="00A45ED9"/>
    <w:rsid w:val="00A45FED"/>
    <w:rsid w:val="00A4606B"/>
    <w:rsid w:val="00A462CF"/>
    <w:rsid w:val="00A465AA"/>
    <w:rsid w:val="00A46652"/>
    <w:rsid w:val="00A46CDE"/>
    <w:rsid w:val="00A46D15"/>
    <w:rsid w:val="00A46FDD"/>
    <w:rsid w:val="00A4713D"/>
    <w:rsid w:val="00A47179"/>
    <w:rsid w:val="00A471D7"/>
    <w:rsid w:val="00A47ADC"/>
    <w:rsid w:val="00A47C59"/>
    <w:rsid w:val="00A50889"/>
    <w:rsid w:val="00A50B66"/>
    <w:rsid w:val="00A50D60"/>
    <w:rsid w:val="00A51025"/>
    <w:rsid w:val="00A51497"/>
    <w:rsid w:val="00A52163"/>
    <w:rsid w:val="00A529E6"/>
    <w:rsid w:val="00A52BFB"/>
    <w:rsid w:val="00A5323B"/>
    <w:rsid w:val="00A539E8"/>
    <w:rsid w:val="00A53AD7"/>
    <w:rsid w:val="00A54B13"/>
    <w:rsid w:val="00A54BAB"/>
    <w:rsid w:val="00A54FB4"/>
    <w:rsid w:val="00A5582D"/>
    <w:rsid w:val="00A5591A"/>
    <w:rsid w:val="00A55BE7"/>
    <w:rsid w:val="00A55E84"/>
    <w:rsid w:val="00A55FB6"/>
    <w:rsid w:val="00A56460"/>
    <w:rsid w:val="00A56DE0"/>
    <w:rsid w:val="00A5729D"/>
    <w:rsid w:val="00A572BC"/>
    <w:rsid w:val="00A572F9"/>
    <w:rsid w:val="00A5758A"/>
    <w:rsid w:val="00A5782D"/>
    <w:rsid w:val="00A57C6D"/>
    <w:rsid w:val="00A57F41"/>
    <w:rsid w:val="00A60239"/>
    <w:rsid w:val="00A606E7"/>
    <w:rsid w:val="00A609FF"/>
    <w:rsid w:val="00A60ACA"/>
    <w:rsid w:val="00A6123F"/>
    <w:rsid w:val="00A61306"/>
    <w:rsid w:val="00A6132D"/>
    <w:rsid w:val="00A61559"/>
    <w:rsid w:val="00A61650"/>
    <w:rsid w:val="00A61E63"/>
    <w:rsid w:val="00A628F5"/>
    <w:rsid w:val="00A62997"/>
    <w:rsid w:val="00A62D04"/>
    <w:rsid w:val="00A63007"/>
    <w:rsid w:val="00A63554"/>
    <w:rsid w:val="00A6399D"/>
    <w:rsid w:val="00A63C18"/>
    <w:rsid w:val="00A6437B"/>
    <w:rsid w:val="00A643D9"/>
    <w:rsid w:val="00A65063"/>
    <w:rsid w:val="00A650FA"/>
    <w:rsid w:val="00A65EA8"/>
    <w:rsid w:val="00A662DC"/>
    <w:rsid w:val="00A662F9"/>
    <w:rsid w:val="00A663D9"/>
    <w:rsid w:val="00A66DA1"/>
    <w:rsid w:val="00A6741B"/>
    <w:rsid w:val="00A70511"/>
    <w:rsid w:val="00A7120F"/>
    <w:rsid w:val="00A71221"/>
    <w:rsid w:val="00A716C8"/>
    <w:rsid w:val="00A717D4"/>
    <w:rsid w:val="00A7182A"/>
    <w:rsid w:val="00A72525"/>
    <w:rsid w:val="00A72801"/>
    <w:rsid w:val="00A72895"/>
    <w:rsid w:val="00A7298B"/>
    <w:rsid w:val="00A729BA"/>
    <w:rsid w:val="00A72A17"/>
    <w:rsid w:val="00A72C83"/>
    <w:rsid w:val="00A72FD2"/>
    <w:rsid w:val="00A7314B"/>
    <w:rsid w:val="00A732D0"/>
    <w:rsid w:val="00A73736"/>
    <w:rsid w:val="00A738A5"/>
    <w:rsid w:val="00A73F6F"/>
    <w:rsid w:val="00A74226"/>
    <w:rsid w:val="00A74546"/>
    <w:rsid w:val="00A746D9"/>
    <w:rsid w:val="00A74E40"/>
    <w:rsid w:val="00A757B0"/>
    <w:rsid w:val="00A75AB2"/>
    <w:rsid w:val="00A75AD5"/>
    <w:rsid w:val="00A7666F"/>
    <w:rsid w:val="00A7680E"/>
    <w:rsid w:val="00A76AA1"/>
    <w:rsid w:val="00A76D0F"/>
    <w:rsid w:val="00A772C8"/>
    <w:rsid w:val="00A773B4"/>
    <w:rsid w:val="00A776A4"/>
    <w:rsid w:val="00A801A1"/>
    <w:rsid w:val="00A80483"/>
    <w:rsid w:val="00A8049D"/>
    <w:rsid w:val="00A80705"/>
    <w:rsid w:val="00A808C6"/>
    <w:rsid w:val="00A80A6F"/>
    <w:rsid w:val="00A817D9"/>
    <w:rsid w:val="00A8183B"/>
    <w:rsid w:val="00A81843"/>
    <w:rsid w:val="00A81BD5"/>
    <w:rsid w:val="00A81C34"/>
    <w:rsid w:val="00A81DD7"/>
    <w:rsid w:val="00A81F0B"/>
    <w:rsid w:val="00A821ED"/>
    <w:rsid w:val="00A82289"/>
    <w:rsid w:val="00A822C2"/>
    <w:rsid w:val="00A82478"/>
    <w:rsid w:val="00A82990"/>
    <w:rsid w:val="00A82FDD"/>
    <w:rsid w:val="00A83694"/>
    <w:rsid w:val="00A838BF"/>
    <w:rsid w:val="00A83A8F"/>
    <w:rsid w:val="00A8426E"/>
    <w:rsid w:val="00A84666"/>
    <w:rsid w:val="00A84A1F"/>
    <w:rsid w:val="00A8549E"/>
    <w:rsid w:val="00A85BF0"/>
    <w:rsid w:val="00A86062"/>
    <w:rsid w:val="00A8618F"/>
    <w:rsid w:val="00A8621F"/>
    <w:rsid w:val="00A8647B"/>
    <w:rsid w:val="00A86641"/>
    <w:rsid w:val="00A86CB8"/>
    <w:rsid w:val="00A86E47"/>
    <w:rsid w:val="00A87061"/>
    <w:rsid w:val="00A90401"/>
    <w:rsid w:val="00A904D4"/>
    <w:rsid w:val="00A90EFE"/>
    <w:rsid w:val="00A90F8C"/>
    <w:rsid w:val="00A91B1D"/>
    <w:rsid w:val="00A91DB9"/>
    <w:rsid w:val="00A91E7F"/>
    <w:rsid w:val="00A921E3"/>
    <w:rsid w:val="00A924E5"/>
    <w:rsid w:val="00A92AEC"/>
    <w:rsid w:val="00A92C85"/>
    <w:rsid w:val="00A92FFB"/>
    <w:rsid w:val="00A93091"/>
    <w:rsid w:val="00A93F80"/>
    <w:rsid w:val="00A94605"/>
    <w:rsid w:val="00A949B1"/>
    <w:rsid w:val="00A94D20"/>
    <w:rsid w:val="00A94DE5"/>
    <w:rsid w:val="00A94DEB"/>
    <w:rsid w:val="00A9517E"/>
    <w:rsid w:val="00A9547D"/>
    <w:rsid w:val="00A95620"/>
    <w:rsid w:val="00A9572F"/>
    <w:rsid w:val="00A9583E"/>
    <w:rsid w:val="00A958E6"/>
    <w:rsid w:val="00A95CE2"/>
    <w:rsid w:val="00A9611B"/>
    <w:rsid w:val="00A96478"/>
    <w:rsid w:val="00A96648"/>
    <w:rsid w:val="00A96C0A"/>
    <w:rsid w:val="00A9713B"/>
    <w:rsid w:val="00A9752B"/>
    <w:rsid w:val="00A97593"/>
    <w:rsid w:val="00AA0595"/>
    <w:rsid w:val="00AA0A71"/>
    <w:rsid w:val="00AA0EE6"/>
    <w:rsid w:val="00AA1275"/>
    <w:rsid w:val="00AA20E2"/>
    <w:rsid w:val="00AA214D"/>
    <w:rsid w:val="00AA22FC"/>
    <w:rsid w:val="00AA2461"/>
    <w:rsid w:val="00AA2574"/>
    <w:rsid w:val="00AA2865"/>
    <w:rsid w:val="00AA2A1C"/>
    <w:rsid w:val="00AA2A90"/>
    <w:rsid w:val="00AA2B95"/>
    <w:rsid w:val="00AA2B98"/>
    <w:rsid w:val="00AA2E03"/>
    <w:rsid w:val="00AA2E37"/>
    <w:rsid w:val="00AA2FDD"/>
    <w:rsid w:val="00AA3871"/>
    <w:rsid w:val="00AA3A9B"/>
    <w:rsid w:val="00AA3BF1"/>
    <w:rsid w:val="00AA3CC7"/>
    <w:rsid w:val="00AA43A3"/>
    <w:rsid w:val="00AA4922"/>
    <w:rsid w:val="00AA49EA"/>
    <w:rsid w:val="00AA4EFD"/>
    <w:rsid w:val="00AA520C"/>
    <w:rsid w:val="00AA52BB"/>
    <w:rsid w:val="00AA5317"/>
    <w:rsid w:val="00AA5410"/>
    <w:rsid w:val="00AA590B"/>
    <w:rsid w:val="00AA5C8E"/>
    <w:rsid w:val="00AA5CE7"/>
    <w:rsid w:val="00AA5F58"/>
    <w:rsid w:val="00AA6024"/>
    <w:rsid w:val="00AA628A"/>
    <w:rsid w:val="00AA62F9"/>
    <w:rsid w:val="00AA6456"/>
    <w:rsid w:val="00AA6A2E"/>
    <w:rsid w:val="00AA6FE9"/>
    <w:rsid w:val="00AA74E0"/>
    <w:rsid w:val="00AA782C"/>
    <w:rsid w:val="00AA7C3F"/>
    <w:rsid w:val="00AA7D55"/>
    <w:rsid w:val="00AB03D6"/>
    <w:rsid w:val="00AB0681"/>
    <w:rsid w:val="00AB08B7"/>
    <w:rsid w:val="00AB091E"/>
    <w:rsid w:val="00AB143C"/>
    <w:rsid w:val="00AB2046"/>
    <w:rsid w:val="00AB21C6"/>
    <w:rsid w:val="00AB2496"/>
    <w:rsid w:val="00AB24DF"/>
    <w:rsid w:val="00AB24E9"/>
    <w:rsid w:val="00AB253B"/>
    <w:rsid w:val="00AB2841"/>
    <w:rsid w:val="00AB2D03"/>
    <w:rsid w:val="00AB3975"/>
    <w:rsid w:val="00AB3E47"/>
    <w:rsid w:val="00AB4337"/>
    <w:rsid w:val="00AB46AD"/>
    <w:rsid w:val="00AB47F3"/>
    <w:rsid w:val="00AB49F4"/>
    <w:rsid w:val="00AB4A5F"/>
    <w:rsid w:val="00AB4B87"/>
    <w:rsid w:val="00AB4F96"/>
    <w:rsid w:val="00AB4FC5"/>
    <w:rsid w:val="00AB561C"/>
    <w:rsid w:val="00AB5990"/>
    <w:rsid w:val="00AB5F78"/>
    <w:rsid w:val="00AB613A"/>
    <w:rsid w:val="00AB6B4C"/>
    <w:rsid w:val="00AB75C8"/>
    <w:rsid w:val="00AB76CD"/>
    <w:rsid w:val="00AB7BB0"/>
    <w:rsid w:val="00AC00CB"/>
    <w:rsid w:val="00AC01A5"/>
    <w:rsid w:val="00AC1298"/>
    <w:rsid w:val="00AC1420"/>
    <w:rsid w:val="00AC16E0"/>
    <w:rsid w:val="00AC1BA0"/>
    <w:rsid w:val="00AC1BB8"/>
    <w:rsid w:val="00AC1CDE"/>
    <w:rsid w:val="00AC244D"/>
    <w:rsid w:val="00AC2C68"/>
    <w:rsid w:val="00AC2FF5"/>
    <w:rsid w:val="00AC3747"/>
    <w:rsid w:val="00AC380A"/>
    <w:rsid w:val="00AC38D3"/>
    <w:rsid w:val="00AC3BA7"/>
    <w:rsid w:val="00AC3F03"/>
    <w:rsid w:val="00AC40FE"/>
    <w:rsid w:val="00AC4D65"/>
    <w:rsid w:val="00AC4F92"/>
    <w:rsid w:val="00AC50DD"/>
    <w:rsid w:val="00AC5358"/>
    <w:rsid w:val="00AC53F0"/>
    <w:rsid w:val="00AC53F6"/>
    <w:rsid w:val="00AC573E"/>
    <w:rsid w:val="00AC598A"/>
    <w:rsid w:val="00AC637A"/>
    <w:rsid w:val="00AC66B9"/>
    <w:rsid w:val="00AC6DFD"/>
    <w:rsid w:val="00AC6F7D"/>
    <w:rsid w:val="00AC70D0"/>
    <w:rsid w:val="00AC720A"/>
    <w:rsid w:val="00AC727D"/>
    <w:rsid w:val="00AC7605"/>
    <w:rsid w:val="00AC7CFB"/>
    <w:rsid w:val="00AC7D54"/>
    <w:rsid w:val="00AD0278"/>
    <w:rsid w:val="00AD06AA"/>
    <w:rsid w:val="00AD18DA"/>
    <w:rsid w:val="00AD20A5"/>
    <w:rsid w:val="00AD236D"/>
    <w:rsid w:val="00AD23C2"/>
    <w:rsid w:val="00AD287E"/>
    <w:rsid w:val="00AD28C6"/>
    <w:rsid w:val="00AD2BDF"/>
    <w:rsid w:val="00AD2C0A"/>
    <w:rsid w:val="00AD2C2F"/>
    <w:rsid w:val="00AD313C"/>
    <w:rsid w:val="00AD3293"/>
    <w:rsid w:val="00AD39B8"/>
    <w:rsid w:val="00AD39E1"/>
    <w:rsid w:val="00AD4C65"/>
    <w:rsid w:val="00AD5116"/>
    <w:rsid w:val="00AD52C4"/>
    <w:rsid w:val="00AD5AA0"/>
    <w:rsid w:val="00AD5D1E"/>
    <w:rsid w:val="00AD603B"/>
    <w:rsid w:val="00AD605C"/>
    <w:rsid w:val="00AD60EA"/>
    <w:rsid w:val="00AD630B"/>
    <w:rsid w:val="00AD66E7"/>
    <w:rsid w:val="00AD67D4"/>
    <w:rsid w:val="00AD6A6E"/>
    <w:rsid w:val="00AD6F50"/>
    <w:rsid w:val="00AD704A"/>
    <w:rsid w:val="00AD740C"/>
    <w:rsid w:val="00AD75B2"/>
    <w:rsid w:val="00AD76BA"/>
    <w:rsid w:val="00AD77A5"/>
    <w:rsid w:val="00AE045A"/>
    <w:rsid w:val="00AE061B"/>
    <w:rsid w:val="00AE09E5"/>
    <w:rsid w:val="00AE0A97"/>
    <w:rsid w:val="00AE0AE4"/>
    <w:rsid w:val="00AE0C15"/>
    <w:rsid w:val="00AE13D6"/>
    <w:rsid w:val="00AE144C"/>
    <w:rsid w:val="00AE148A"/>
    <w:rsid w:val="00AE14C1"/>
    <w:rsid w:val="00AE15BC"/>
    <w:rsid w:val="00AE1A2D"/>
    <w:rsid w:val="00AE259F"/>
    <w:rsid w:val="00AE272D"/>
    <w:rsid w:val="00AE2CED"/>
    <w:rsid w:val="00AE31A4"/>
    <w:rsid w:val="00AE3B0E"/>
    <w:rsid w:val="00AE4109"/>
    <w:rsid w:val="00AE4291"/>
    <w:rsid w:val="00AE4331"/>
    <w:rsid w:val="00AE450F"/>
    <w:rsid w:val="00AE45AE"/>
    <w:rsid w:val="00AE498D"/>
    <w:rsid w:val="00AE4F69"/>
    <w:rsid w:val="00AE4FB2"/>
    <w:rsid w:val="00AE5339"/>
    <w:rsid w:val="00AE55EC"/>
    <w:rsid w:val="00AE5A66"/>
    <w:rsid w:val="00AE614D"/>
    <w:rsid w:val="00AE6C2A"/>
    <w:rsid w:val="00AE6F8B"/>
    <w:rsid w:val="00AE74BF"/>
    <w:rsid w:val="00AE759E"/>
    <w:rsid w:val="00AE7849"/>
    <w:rsid w:val="00AE7870"/>
    <w:rsid w:val="00AE7977"/>
    <w:rsid w:val="00AE79B5"/>
    <w:rsid w:val="00AF0862"/>
    <w:rsid w:val="00AF0C86"/>
    <w:rsid w:val="00AF12FD"/>
    <w:rsid w:val="00AF19C6"/>
    <w:rsid w:val="00AF19D3"/>
    <w:rsid w:val="00AF1F10"/>
    <w:rsid w:val="00AF2453"/>
    <w:rsid w:val="00AF258B"/>
    <w:rsid w:val="00AF28CC"/>
    <w:rsid w:val="00AF35B6"/>
    <w:rsid w:val="00AF38E4"/>
    <w:rsid w:val="00AF3D39"/>
    <w:rsid w:val="00AF3F61"/>
    <w:rsid w:val="00AF45A0"/>
    <w:rsid w:val="00AF45BF"/>
    <w:rsid w:val="00AF497B"/>
    <w:rsid w:val="00AF4AAB"/>
    <w:rsid w:val="00AF4C15"/>
    <w:rsid w:val="00AF5177"/>
    <w:rsid w:val="00AF53F7"/>
    <w:rsid w:val="00AF5503"/>
    <w:rsid w:val="00AF5522"/>
    <w:rsid w:val="00AF5820"/>
    <w:rsid w:val="00AF61F0"/>
    <w:rsid w:val="00AF648D"/>
    <w:rsid w:val="00AF66A1"/>
    <w:rsid w:val="00AF6A08"/>
    <w:rsid w:val="00AF6A4C"/>
    <w:rsid w:val="00AF6A5A"/>
    <w:rsid w:val="00AF7228"/>
    <w:rsid w:val="00AF7527"/>
    <w:rsid w:val="00AF764D"/>
    <w:rsid w:val="00AF7C9C"/>
    <w:rsid w:val="00AF7D1E"/>
    <w:rsid w:val="00B000D8"/>
    <w:rsid w:val="00B0015C"/>
    <w:rsid w:val="00B00581"/>
    <w:rsid w:val="00B00743"/>
    <w:rsid w:val="00B008D7"/>
    <w:rsid w:val="00B00B60"/>
    <w:rsid w:val="00B013AF"/>
    <w:rsid w:val="00B01492"/>
    <w:rsid w:val="00B01688"/>
    <w:rsid w:val="00B01CB2"/>
    <w:rsid w:val="00B02183"/>
    <w:rsid w:val="00B025C2"/>
    <w:rsid w:val="00B028E1"/>
    <w:rsid w:val="00B029DB"/>
    <w:rsid w:val="00B02CEC"/>
    <w:rsid w:val="00B02F8D"/>
    <w:rsid w:val="00B0316A"/>
    <w:rsid w:val="00B03754"/>
    <w:rsid w:val="00B03C98"/>
    <w:rsid w:val="00B0420A"/>
    <w:rsid w:val="00B04597"/>
    <w:rsid w:val="00B047C2"/>
    <w:rsid w:val="00B049AF"/>
    <w:rsid w:val="00B04CB1"/>
    <w:rsid w:val="00B0529B"/>
    <w:rsid w:val="00B054F4"/>
    <w:rsid w:val="00B05635"/>
    <w:rsid w:val="00B05AF3"/>
    <w:rsid w:val="00B05CFA"/>
    <w:rsid w:val="00B05ED5"/>
    <w:rsid w:val="00B0662B"/>
    <w:rsid w:val="00B07214"/>
    <w:rsid w:val="00B072F5"/>
    <w:rsid w:val="00B07410"/>
    <w:rsid w:val="00B07620"/>
    <w:rsid w:val="00B07BBE"/>
    <w:rsid w:val="00B07DFE"/>
    <w:rsid w:val="00B07F0E"/>
    <w:rsid w:val="00B1124D"/>
    <w:rsid w:val="00B116C4"/>
    <w:rsid w:val="00B11C01"/>
    <w:rsid w:val="00B11CD1"/>
    <w:rsid w:val="00B11E66"/>
    <w:rsid w:val="00B125F2"/>
    <w:rsid w:val="00B12C4A"/>
    <w:rsid w:val="00B12C7E"/>
    <w:rsid w:val="00B12EA5"/>
    <w:rsid w:val="00B1308A"/>
    <w:rsid w:val="00B1314F"/>
    <w:rsid w:val="00B13603"/>
    <w:rsid w:val="00B1373F"/>
    <w:rsid w:val="00B13BC2"/>
    <w:rsid w:val="00B14761"/>
    <w:rsid w:val="00B14A73"/>
    <w:rsid w:val="00B14EB1"/>
    <w:rsid w:val="00B14EFE"/>
    <w:rsid w:val="00B151CF"/>
    <w:rsid w:val="00B1539C"/>
    <w:rsid w:val="00B156AE"/>
    <w:rsid w:val="00B15E14"/>
    <w:rsid w:val="00B166A2"/>
    <w:rsid w:val="00B16A50"/>
    <w:rsid w:val="00B16D3F"/>
    <w:rsid w:val="00B16DA1"/>
    <w:rsid w:val="00B16DBB"/>
    <w:rsid w:val="00B1715C"/>
    <w:rsid w:val="00B1717C"/>
    <w:rsid w:val="00B171C5"/>
    <w:rsid w:val="00B17337"/>
    <w:rsid w:val="00B20445"/>
    <w:rsid w:val="00B20636"/>
    <w:rsid w:val="00B20B83"/>
    <w:rsid w:val="00B20C55"/>
    <w:rsid w:val="00B215D5"/>
    <w:rsid w:val="00B21ABD"/>
    <w:rsid w:val="00B21E4A"/>
    <w:rsid w:val="00B21EAA"/>
    <w:rsid w:val="00B22120"/>
    <w:rsid w:val="00B227E4"/>
    <w:rsid w:val="00B22AED"/>
    <w:rsid w:val="00B22B40"/>
    <w:rsid w:val="00B22CC1"/>
    <w:rsid w:val="00B22D52"/>
    <w:rsid w:val="00B22E0A"/>
    <w:rsid w:val="00B22E45"/>
    <w:rsid w:val="00B230C2"/>
    <w:rsid w:val="00B234B5"/>
    <w:rsid w:val="00B23D82"/>
    <w:rsid w:val="00B2465D"/>
    <w:rsid w:val="00B247AD"/>
    <w:rsid w:val="00B24ACA"/>
    <w:rsid w:val="00B24DA7"/>
    <w:rsid w:val="00B25037"/>
    <w:rsid w:val="00B257CD"/>
    <w:rsid w:val="00B25D05"/>
    <w:rsid w:val="00B26622"/>
    <w:rsid w:val="00B26669"/>
    <w:rsid w:val="00B2672A"/>
    <w:rsid w:val="00B267D7"/>
    <w:rsid w:val="00B26AE6"/>
    <w:rsid w:val="00B26B87"/>
    <w:rsid w:val="00B26D4C"/>
    <w:rsid w:val="00B26EA6"/>
    <w:rsid w:val="00B276B4"/>
    <w:rsid w:val="00B27795"/>
    <w:rsid w:val="00B27828"/>
    <w:rsid w:val="00B27B56"/>
    <w:rsid w:val="00B27D68"/>
    <w:rsid w:val="00B30157"/>
    <w:rsid w:val="00B30299"/>
    <w:rsid w:val="00B303F6"/>
    <w:rsid w:val="00B307B7"/>
    <w:rsid w:val="00B30B29"/>
    <w:rsid w:val="00B30F98"/>
    <w:rsid w:val="00B30FBA"/>
    <w:rsid w:val="00B31ED3"/>
    <w:rsid w:val="00B32A33"/>
    <w:rsid w:val="00B32CFE"/>
    <w:rsid w:val="00B3333F"/>
    <w:rsid w:val="00B33605"/>
    <w:rsid w:val="00B33961"/>
    <w:rsid w:val="00B33AD2"/>
    <w:rsid w:val="00B33E76"/>
    <w:rsid w:val="00B3404E"/>
    <w:rsid w:val="00B342D2"/>
    <w:rsid w:val="00B34620"/>
    <w:rsid w:val="00B3480F"/>
    <w:rsid w:val="00B34991"/>
    <w:rsid w:val="00B34DFD"/>
    <w:rsid w:val="00B34F76"/>
    <w:rsid w:val="00B35001"/>
    <w:rsid w:val="00B355BA"/>
    <w:rsid w:val="00B35830"/>
    <w:rsid w:val="00B35E97"/>
    <w:rsid w:val="00B36028"/>
    <w:rsid w:val="00B3649A"/>
    <w:rsid w:val="00B375B2"/>
    <w:rsid w:val="00B4004F"/>
    <w:rsid w:val="00B40064"/>
    <w:rsid w:val="00B40723"/>
    <w:rsid w:val="00B40E40"/>
    <w:rsid w:val="00B41E7A"/>
    <w:rsid w:val="00B41FB6"/>
    <w:rsid w:val="00B420A5"/>
    <w:rsid w:val="00B42580"/>
    <w:rsid w:val="00B425B2"/>
    <w:rsid w:val="00B4263C"/>
    <w:rsid w:val="00B426FA"/>
    <w:rsid w:val="00B42D7D"/>
    <w:rsid w:val="00B42DD1"/>
    <w:rsid w:val="00B43B39"/>
    <w:rsid w:val="00B4456D"/>
    <w:rsid w:val="00B44A06"/>
    <w:rsid w:val="00B44CAC"/>
    <w:rsid w:val="00B45B66"/>
    <w:rsid w:val="00B45FC0"/>
    <w:rsid w:val="00B46900"/>
    <w:rsid w:val="00B4720B"/>
    <w:rsid w:val="00B47440"/>
    <w:rsid w:val="00B476A7"/>
    <w:rsid w:val="00B47704"/>
    <w:rsid w:val="00B47898"/>
    <w:rsid w:val="00B47979"/>
    <w:rsid w:val="00B47AB9"/>
    <w:rsid w:val="00B50272"/>
    <w:rsid w:val="00B50605"/>
    <w:rsid w:val="00B5063D"/>
    <w:rsid w:val="00B50952"/>
    <w:rsid w:val="00B50A44"/>
    <w:rsid w:val="00B5135C"/>
    <w:rsid w:val="00B516D6"/>
    <w:rsid w:val="00B51842"/>
    <w:rsid w:val="00B51982"/>
    <w:rsid w:val="00B51AD8"/>
    <w:rsid w:val="00B51FE6"/>
    <w:rsid w:val="00B522EE"/>
    <w:rsid w:val="00B523E7"/>
    <w:rsid w:val="00B52A35"/>
    <w:rsid w:val="00B52A5D"/>
    <w:rsid w:val="00B538D4"/>
    <w:rsid w:val="00B53C87"/>
    <w:rsid w:val="00B53F35"/>
    <w:rsid w:val="00B54591"/>
    <w:rsid w:val="00B548B9"/>
    <w:rsid w:val="00B54C25"/>
    <w:rsid w:val="00B54D1F"/>
    <w:rsid w:val="00B55524"/>
    <w:rsid w:val="00B55D7F"/>
    <w:rsid w:val="00B5623C"/>
    <w:rsid w:val="00B569AF"/>
    <w:rsid w:val="00B56C68"/>
    <w:rsid w:val="00B56E32"/>
    <w:rsid w:val="00B56EAB"/>
    <w:rsid w:val="00B57022"/>
    <w:rsid w:val="00B57046"/>
    <w:rsid w:val="00B57219"/>
    <w:rsid w:val="00B57256"/>
    <w:rsid w:val="00B57354"/>
    <w:rsid w:val="00B575BF"/>
    <w:rsid w:val="00B57C8B"/>
    <w:rsid w:val="00B6030D"/>
    <w:rsid w:val="00B60A53"/>
    <w:rsid w:val="00B60F47"/>
    <w:rsid w:val="00B610B6"/>
    <w:rsid w:val="00B612EA"/>
    <w:rsid w:val="00B61596"/>
    <w:rsid w:val="00B618D1"/>
    <w:rsid w:val="00B61C66"/>
    <w:rsid w:val="00B61F1F"/>
    <w:rsid w:val="00B62604"/>
    <w:rsid w:val="00B62DF2"/>
    <w:rsid w:val="00B63959"/>
    <w:rsid w:val="00B64114"/>
    <w:rsid w:val="00B64207"/>
    <w:rsid w:val="00B64273"/>
    <w:rsid w:val="00B65CAD"/>
    <w:rsid w:val="00B6654A"/>
    <w:rsid w:val="00B66A87"/>
    <w:rsid w:val="00B66B94"/>
    <w:rsid w:val="00B6713C"/>
    <w:rsid w:val="00B67244"/>
    <w:rsid w:val="00B6738E"/>
    <w:rsid w:val="00B676DF"/>
    <w:rsid w:val="00B6784F"/>
    <w:rsid w:val="00B6788D"/>
    <w:rsid w:val="00B67D7E"/>
    <w:rsid w:val="00B704B7"/>
    <w:rsid w:val="00B70B76"/>
    <w:rsid w:val="00B712D0"/>
    <w:rsid w:val="00B71DC1"/>
    <w:rsid w:val="00B721AA"/>
    <w:rsid w:val="00B721E1"/>
    <w:rsid w:val="00B7234C"/>
    <w:rsid w:val="00B7291B"/>
    <w:rsid w:val="00B729C6"/>
    <w:rsid w:val="00B72CFB"/>
    <w:rsid w:val="00B73237"/>
    <w:rsid w:val="00B7332C"/>
    <w:rsid w:val="00B7363B"/>
    <w:rsid w:val="00B74197"/>
    <w:rsid w:val="00B749F8"/>
    <w:rsid w:val="00B75159"/>
    <w:rsid w:val="00B75300"/>
    <w:rsid w:val="00B75564"/>
    <w:rsid w:val="00B757E1"/>
    <w:rsid w:val="00B757E5"/>
    <w:rsid w:val="00B75E4C"/>
    <w:rsid w:val="00B75E66"/>
    <w:rsid w:val="00B766B9"/>
    <w:rsid w:val="00B76858"/>
    <w:rsid w:val="00B76D24"/>
    <w:rsid w:val="00B76E94"/>
    <w:rsid w:val="00B77B5C"/>
    <w:rsid w:val="00B77BB0"/>
    <w:rsid w:val="00B77DD1"/>
    <w:rsid w:val="00B77F6D"/>
    <w:rsid w:val="00B80318"/>
    <w:rsid w:val="00B80432"/>
    <w:rsid w:val="00B8072B"/>
    <w:rsid w:val="00B81502"/>
    <w:rsid w:val="00B81747"/>
    <w:rsid w:val="00B817C6"/>
    <w:rsid w:val="00B81F38"/>
    <w:rsid w:val="00B8218E"/>
    <w:rsid w:val="00B826DD"/>
    <w:rsid w:val="00B827CA"/>
    <w:rsid w:val="00B82E34"/>
    <w:rsid w:val="00B82E49"/>
    <w:rsid w:val="00B83615"/>
    <w:rsid w:val="00B83B62"/>
    <w:rsid w:val="00B83FA6"/>
    <w:rsid w:val="00B847BB"/>
    <w:rsid w:val="00B84AEE"/>
    <w:rsid w:val="00B84B22"/>
    <w:rsid w:val="00B85008"/>
    <w:rsid w:val="00B851F5"/>
    <w:rsid w:val="00B8535F"/>
    <w:rsid w:val="00B858E2"/>
    <w:rsid w:val="00B85D75"/>
    <w:rsid w:val="00B85FDB"/>
    <w:rsid w:val="00B86DBD"/>
    <w:rsid w:val="00B87643"/>
    <w:rsid w:val="00B878CD"/>
    <w:rsid w:val="00B90469"/>
    <w:rsid w:val="00B907EE"/>
    <w:rsid w:val="00B909B8"/>
    <w:rsid w:val="00B90D6E"/>
    <w:rsid w:val="00B914FF"/>
    <w:rsid w:val="00B91CB1"/>
    <w:rsid w:val="00B91F97"/>
    <w:rsid w:val="00B9249B"/>
    <w:rsid w:val="00B925F1"/>
    <w:rsid w:val="00B92726"/>
    <w:rsid w:val="00B928BE"/>
    <w:rsid w:val="00B930D1"/>
    <w:rsid w:val="00B93318"/>
    <w:rsid w:val="00B93D44"/>
    <w:rsid w:val="00B93E30"/>
    <w:rsid w:val="00B941DB"/>
    <w:rsid w:val="00B94628"/>
    <w:rsid w:val="00B94A1F"/>
    <w:rsid w:val="00B95054"/>
    <w:rsid w:val="00B9536C"/>
    <w:rsid w:val="00B95557"/>
    <w:rsid w:val="00B9599F"/>
    <w:rsid w:val="00B959AF"/>
    <w:rsid w:val="00B95DFD"/>
    <w:rsid w:val="00B95F09"/>
    <w:rsid w:val="00B964EC"/>
    <w:rsid w:val="00B96551"/>
    <w:rsid w:val="00B9670D"/>
    <w:rsid w:val="00B96B3C"/>
    <w:rsid w:val="00B96E99"/>
    <w:rsid w:val="00B96FCF"/>
    <w:rsid w:val="00B97184"/>
    <w:rsid w:val="00B97934"/>
    <w:rsid w:val="00B979C8"/>
    <w:rsid w:val="00BA00D9"/>
    <w:rsid w:val="00BA0105"/>
    <w:rsid w:val="00BA0AE5"/>
    <w:rsid w:val="00BA1FFB"/>
    <w:rsid w:val="00BA2351"/>
    <w:rsid w:val="00BA25AB"/>
    <w:rsid w:val="00BA2B3F"/>
    <w:rsid w:val="00BA3F99"/>
    <w:rsid w:val="00BA4089"/>
    <w:rsid w:val="00BA4C43"/>
    <w:rsid w:val="00BA4DDF"/>
    <w:rsid w:val="00BA4E45"/>
    <w:rsid w:val="00BA5797"/>
    <w:rsid w:val="00BA58C8"/>
    <w:rsid w:val="00BA59FB"/>
    <w:rsid w:val="00BA5DCB"/>
    <w:rsid w:val="00BA5E52"/>
    <w:rsid w:val="00BA60C0"/>
    <w:rsid w:val="00BA6107"/>
    <w:rsid w:val="00BA6154"/>
    <w:rsid w:val="00BA68B6"/>
    <w:rsid w:val="00BA6DDB"/>
    <w:rsid w:val="00BA70B1"/>
    <w:rsid w:val="00BA7116"/>
    <w:rsid w:val="00BA7466"/>
    <w:rsid w:val="00BA7579"/>
    <w:rsid w:val="00BA7BA6"/>
    <w:rsid w:val="00BB02CA"/>
    <w:rsid w:val="00BB0754"/>
    <w:rsid w:val="00BB0774"/>
    <w:rsid w:val="00BB14A3"/>
    <w:rsid w:val="00BB14DB"/>
    <w:rsid w:val="00BB179D"/>
    <w:rsid w:val="00BB18F0"/>
    <w:rsid w:val="00BB18F7"/>
    <w:rsid w:val="00BB191D"/>
    <w:rsid w:val="00BB1D1A"/>
    <w:rsid w:val="00BB2421"/>
    <w:rsid w:val="00BB2498"/>
    <w:rsid w:val="00BB2B94"/>
    <w:rsid w:val="00BB2FE7"/>
    <w:rsid w:val="00BB33C9"/>
    <w:rsid w:val="00BB3B6E"/>
    <w:rsid w:val="00BB3CA4"/>
    <w:rsid w:val="00BB3F7B"/>
    <w:rsid w:val="00BB41FF"/>
    <w:rsid w:val="00BB4362"/>
    <w:rsid w:val="00BB50EF"/>
    <w:rsid w:val="00BB519E"/>
    <w:rsid w:val="00BB521C"/>
    <w:rsid w:val="00BB5452"/>
    <w:rsid w:val="00BB5527"/>
    <w:rsid w:val="00BB6163"/>
    <w:rsid w:val="00BB64C2"/>
    <w:rsid w:val="00BB6D3D"/>
    <w:rsid w:val="00BB6DE6"/>
    <w:rsid w:val="00BB726F"/>
    <w:rsid w:val="00BB7487"/>
    <w:rsid w:val="00BB756E"/>
    <w:rsid w:val="00BB7D7F"/>
    <w:rsid w:val="00BB7E36"/>
    <w:rsid w:val="00BC0197"/>
    <w:rsid w:val="00BC0871"/>
    <w:rsid w:val="00BC0B62"/>
    <w:rsid w:val="00BC11B7"/>
    <w:rsid w:val="00BC13B4"/>
    <w:rsid w:val="00BC1588"/>
    <w:rsid w:val="00BC15DE"/>
    <w:rsid w:val="00BC16D1"/>
    <w:rsid w:val="00BC17C8"/>
    <w:rsid w:val="00BC1892"/>
    <w:rsid w:val="00BC1A73"/>
    <w:rsid w:val="00BC1BB8"/>
    <w:rsid w:val="00BC1F96"/>
    <w:rsid w:val="00BC23FF"/>
    <w:rsid w:val="00BC2557"/>
    <w:rsid w:val="00BC257B"/>
    <w:rsid w:val="00BC26FC"/>
    <w:rsid w:val="00BC27EA"/>
    <w:rsid w:val="00BC287B"/>
    <w:rsid w:val="00BC2BE4"/>
    <w:rsid w:val="00BC2C0F"/>
    <w:rsid w:val="00BC3093"/>
    <w:rsid w:val="00BC3276"/>
    <w:rsid w:val="00BC369C"/>
    <w:rsid w:val="00BC37BF"/>
    <w:rsid w:val="00BC396D"/>
    <w:rsid w:val="00BC3F28"/>
    <w:rsid w:val="00BC3F6A"/>
    <w:rsid w:val="00BC44FC"/>
    <w:rsid w:val="00BC4665"/>
    <w:rsid w:val="00BC4972"/>
    <w:rsid w:val="00BC4C2B"/>
    <w:rsid w:val="00BC5570"/>
    <w:rsid w:val="00BC56DA"/>
    <w:rsid w:val="00BC59E2"/>
    <w:rsid w:val="00BC5BA7"/>
    <w:rsid w:val="00BC5E61"/>
    <w:rsid w:val="00BC5ECC"/>
    <w:rsid w:val="00BC6897"/>
    <w:rsid w:val="00BC7079"/>
    <w:rsid w:val="00BC7FBE"/>
    <w:rsid w:val="00BD079D"/>
    <w:rsid w:val="00BD0E73"/>
    <w:rsid w:val="00BD0EB6"/>
    <w:rsid w:val="00BD1187"/>
    <w:rsid w:val="00BD14C7"/>
    <w:rsid w:val="00BD14EA"/>
    <w:rsid w:val="00BD154E"/>
    <w:rsid w:val="00BD1B8D"/>
    <w:rsid w:val="00BD21E2"/>
    <w:rsid w:val="00BD225C"/>
    <w:rsid w:val="00BD2868"/>
    <w:rsid w:val="00BD2A01"/>
    <w:rsid w:val="00BD33D4"/>
    <w:rsid w:val="00BD34FC"/>
    <w:rsid w:val="00BD3C9B"/>
    <w:rsid w:val="00BD3F00"/>
    <w:rsid w:val="00BD40B1"/>
    <w:rsid w:val="00BD4517"/>
    <w:rsid w:val="00BD4A8E"/>
    <w:rsid w:val="00BD4C67"/>
    <w:rsid w:val="00BD5BB9"/>
    <w:rsid w:val="00BD5C83"/>
    <w:rsid w:val="00BD5D1E"/>
    <w:rsid w:val="00BD68E1"/>
    <w:rsid w:val="00BD690A"/>
    <w:rsid w:val="00BD6B0D"/>
    <w:rsid w:val="00BD6B21"/>
    <w:rsid w:val="00BD6F3D"/>
    <w:rsid w:val="00BD7731"/>
    <w:rsid w:val="00BD78AA"/>
    <w:rsid w:val="00BD7CE2"/>
    <w:rsid w:val="00BD7D4C"/>
    <w:rsid w:val="00BE03F6"/>
    <w:rsid w:val="00BE0603"/>
    <w:rsid w:val="00BE099F"/>
    <w:rsid w:val="00BE0F8A"/>
    <w:rsid w:val="00BE1C5A"/>
    <w:rsid w:val="00BE1EA4"/>
    <w:rsid w:val="00BE20C7"/>
    <w:rsid w:val="00BE2144"/>
    <w:rsid w:val="00BE27A2"/>
    <w:rsid w:val="00BE28FB"/>
    <w:rsid w:val="00BE29D6"/>
    <w:rsid w:val="00BE3584"/>
    <w:rsid w:val="00BE3CB0"/>
    <w:rsid w:val="00BE4502"/>
    <w:rsid w:val="00BE47BF"/>
    <w:rsid w:val="00BE49D4"/>
    <w:rsid w:val="00BE522D"/>
    <w:rsid w:val="00BE5374"/>
    <w:rsid w:val="00BE557E"/>
    <w:rsid w:val="00BE57B2"/>
    <w:rsid w:val="00BE5A41"/>
    <w:rsid w:val="00BE622F"/>
    <w:rsid w:val="00BE627A"/>
    <w:rsid w:val="00BE62DC"/>
    <w:rsid w:val="00BE671C"/>
    <w:rsid w:val="00BE6B83"/>
    <w:rsid w:val="00BE6CE8"/>
    <w:rsid w:val="00BE7A82"/>
    <w:rsid w:val="00BE7EBA"/>
    <w:rsid w:val="00BE7EC8"/>
    <w:rsid w:val="00BF059E"/>
    <w:rsid w:val="00BF05A5"/>
    <w:rsid w:val="00BF0633"/>
    <w:rsid w:val="00BF06D2"/>
    <w:rsid w:val="00BF08AF"/>
    <w:rsid w:val="00BF0D27"/>
    <w:rsid w:val="00BF1281"/>
    <w:rsid w:val="00BF155E"/>
    <w:rsid w:val="00BF18CB"/>
    <w:rsid w:val="00BF19B5"/>
    <w:rsid w:val="00BF1A21"/>
    <w:rsid w:val="00BF1B63"/>
    <w:rsid w:val="00BF227B"/>
    <w:rsid w:val="00BF2286"/>
    <w:rsid w:val="00BF26C8"/>
    <w:rsid w:val="00BF2CAE"/>
    <w:rsid w:val="00BF2DDB"/>
    <w:rsid w:val="00BF315C"/>
    <w:rsid w:val="00BF341F"/>
    <w:rsid w:val="00BF34DD"/>
    <w:rsid w:val="00BF3E59"/>
    <w:rsid w:val="00BF4077"/>
    <w:rsid w:val="00BF4148"/>
    <w:rsid w:val="00BF49A6"/>
    <w:rsid w:val="00BF4CB1"/>
    <w:rsid w:val="00BF4E0F"/>
    <w:rsid w:val="00BF4F49"/>
    <w:rsid w:val="00BF50C8"/>
    <w:rsid w:val="00BF571A"/>
    <w:rsid w:val="00BF625A"/>
    <w:rsid w:val="00BF6C66"/>
    <w:rsid w:val="00BF72B9"/>
    <w:rsid w:val="00BF74CB"/>
    <w:rsid w:val="00BF7515"/>
    <w:rsid w:val="00BF7B62"/>
    <w:rsid w:val="00BF7C54"/>
    <w:rsid w:val="00C00655"/>
    <w:rsid w:val="00C00C92"/>
    <w:rsid w:val="00C01019"/>
    <w:rsid w:val="00C014FF"/>
    <w:rsid w:val="00C0167E"/>
    <w:rsid w:val="00C01D5F"/>
    <w:rsid w:val="00C02073"/>
    <w:rsid w:val="00C02281"/>
    <w:rsid w:val="00C0257C"/>
    <w:rsid w:val="00C02A66"/>
    <w:rsid w:val="00C02FB7"/>
    <w:rsid w:val="00C0345A"/>
    <w:rsid w:val="00C03511"/>
    <w:rsid w:val="00C038A2"/>
    <w:rsid w:val="00C03D1D"/>
    <w:rsid w:val="00C03F3C"/>
    <w:rsid w:val="00C04064"/>
    <w:rsid w:val="00C041FD"/>
    <w:rsid w:val="00C04251"/>
    <w:rsid w:val="00C043C8"/>
    <w:rsid w:val="00C044FB"/>
    <w:rsid w:val="00C04774"/>
    <w:rsid w:val="00C048C3"/>
    <w:rsid w:val="00C04C3A"/>
    <w:rsid w:val="00C04F37"/>
    <w:rsid w:val="00C050A3"/>
    <w:rsid w:val="00C050D7"/>
    <w:rsid w:val="00C052DC"/>
    <w:rsid w:val="00C054D7"/>
    <w:rsid w:val="00C05700"/>
    <w:rsid w:val="00C06145"/>
    <w:rsid w:val="00C061CC"/>
    <w:rsid w:val="00C061E7"/>
    <w:rsid w:val="00C0689B"/>
    <w:rsid w:val="00C06AE6"/>
    <w:rsid w:val="00C06E5E"/>
    <w:rsid w:val="00C06EFA"/>
    <w:rsid w:val="00C07246"/>
    <w:rsid w:val="00C074CD"/>
    <w:rsid w:val="00C076C7"/>
    <w:rsid w:val="00C07E5C"/>
    <w:rsid w:val="00C10161"/>
    <w:rsid w:val="00C10379"/>
    <w:rsid w:val="00C104C7"/>
    <w:rsid w:val="00C107C3"/>
    <w:rsid w:val="00C11123"/>
    <w:rsid w:val="00C11180"/>
    <w:rsid w:val="00C11376"/>
    <w:rsid w:val="00C114EF"/>
    <w:rsid w:val="00C11988"/>
    <w:rsid w:val="00C12316"/>
    <w:rsid w:val="00C12355"/>
    <w:rsid w:val="00C12A97"/>
    <w:rsid w:val="00C12E6E"/>
    <w:rsid w:val="00C12EC2"/>
    <w:rsid w:val="00C13261"/>
    <w:rsid w:val="00C13520"/>
    <w:rsid w:val="00C1371C"/>
    <w:rsid w:val="00C1400C"/>
    <w:rsid w:val="00C1413F"/>
    <w:rsid w:val="00C14848"/>
    <w:rsid w:val="00C14B3A"/>
    <w:rsid w:val="00C14EA1"/>
    <w:rsid w:val="00C14F9B"/>
    <w:rsid w:val="00C14FAB"/>
    <w:rsid w:val="00C155A3"/>
    <w:rsid w:val="00C1575F"/>
    <w:rsid w:val="00C1577E"/>
    <w:rsid w:val="00C15B5E"/>
    <w:rsid w:val="00C15B66"/>
    <w:rsid w:val="00C15F42"/>
    <w:rsid w:val="00C1602F"/>
    <w:rsid w:val="00C1610B"/>
    <w:rsid w:val="00C1611D"/>
    <w:rsid w:val="00C1660B"/>
    <w:rsid w:val="00C1692B"/>
    <w:rsid w:val="00C16977"/>
    <w:rsid w:val="00C16C9A"/>
    <w:rsid w:val="00C16D3E"/>
    <w:rsid w:val="00C16E16"/>
    <w:rsid w:val="00C16FB3"/>
    <w:rsid w:val="00C175E4"/>
    <w:rsid w:val="00C177B1"/>
    <w:rsid w:val="00C17908"/>
    <w:rsid w:val="00C17AAA"/>
    <w:rsid w:val="00C17FE0"/>
    <w:rsid w:val="00C20415"/>
    <w:rsid w:val="00C20739"/>
    <w:rsid w:val="00C20974"/>
    <w:rsid w:val="00C20E20"/>
    <w:rsid w:val="00C20E9E"/>
    <w:rsid w:val="00C21462"/>
    <w:rsid w:val="00C21DA4"/>
    <w:rsid w:val="00C220A7"/>
    <w:rsid w:val="00C22E84"/>
    <w:rsid w:val="00C22F62"/>
    <w:rsid w:val="00C232E0"/>
    <w:rsid w:val="00C23996"/>
    <w:rsid w:val="00C23DD6"/>
    <w:rsid w:val="00C24411"/>
    <w:rsid w:val="00C24831"/>
    <w:rsid w:val="00C24B5E"/>
    <w:rsid w:val="00C2534F"/>
    <w:rsid w:val="00C25571"/>
    <w:rsid w:val="00C257C3"/>
    <w:rsid w:val="00C2712F"/>
    <w:rsid w:val="00C27443"/>
    <w:rsid w:val="00C278EB"/>
    <w:rsid w:val="00C30058"/>
    <w:rsid w:val="00C3019C"/>
    <w:rsid w:val="00C301C6"/>
    <w:rsid w:val="00C303C1"/>
    <w:rsid w:val="00C309CD"/>
    <w:rsid w:val="00C30A64"/>
    <w:rsid w:val="00C30AEF"/>
    <w:rsid w:val="00C30D24"/>
    <w:rsid w:val="00C317A2"/>
    <w:rsid w:val="00C31B99"/>
    <w:rsid w:val="00C321DF"/>
    <w:rsid w:val="00C32225"/>
    <w:rsid w:val="00C3226A"/>
    <w:rsid w:val="00C32823"/>
    <w:rsid w:val="00C329E3"/>
    <w:rsid w:val="00C32BF4"/>
    <w:rsid w:val="00C32D3E"/>
    <w:rsid w:val="00C332DF"/>
    <w:rsid w:val="00C333CA"/>
    <w:rsid w:val="00C33B8A"/>
    <w:rsid w:val="00C33D3C"/>
    <w:rsid w:val="00C343D0"/>
    <w:rsid w:val="00C343FC"/>
    <w:rsid w:val="00C3454F"/>
    <w:rsid w:val="00C348C3"/>
    <w:rsid w:val="00C34B34"/>
    <w:rsid w:val="00C34F29"/>
    <w:rsid w:val="00C35186"/>
    <w:rsid w:val="00C35632"/>
    <w:rsid w:val="00C35F33"/>
    <w:rsid w:val="00C3649C"/>
    <w:rsid w:val="00C3651F"/>
    <w:rsid w:val="00C36633"/>
    <w:rsid w:val="00C36E9D"/>
    <w:rsid w:val="00C374B2"/>
    <w:rsid w:val="00C37AFA"/>
    <w:rsid w:val="00C37C86"/>
    <w:rsid w:val="00C37CEF"/>
    <w:rsid w:val="00C40384"/>
    <w:rsid w:val="00C404C2"/>
    <w:rsid w:val="00C40727"/>
    <w:rsid w:val="00C40FF3"/>
    <w:rsid w:val="00C41165"/>
    <w:rsid w:val="00C411D8"/>
    <w:rsid w:val="00C412B1"/>
    <w:rsid w:val="00C41C2E"/>
    <w:rsid w:val="00C41E5E"/>
    <w:rsid w:val="00C42822"/>
    <w:rsid w:val="00C42B70"/>
    <w:rsid w:val="00C42D43"/>
    <w:rsid w:val="00C42F8F"/>
    <w:rsid w:val="00C430FD"/>
    <w:rsid w:val="00C43177"/>
    <w:rsid w:val="00C43432"/>
    <w:rsid w:val="00C437AE"/>
    <w:rsid w:val="00C4399C"/>
    <w:rsid w:val="00C43CF2"/>
    <w:rsid w:val="00C44182"/>
    <w:rsid w:val="00C44234"/>
    <w:rsid w:val="00C4436C"/>
    <w:rsid w:val="00C445D8"/>
    <w:rsid w:val="00C44C5B"/>
    <w:rsid w:val="00C4540B"/>
    <w:rsid w:val="00C4591C"/>
    <w:rsid w:val="00C461B2"/>
    <w:rsid w:val="00C461D5"/>
    <w:rsid w:val="00C4620E"/>
    <w:rsid w:val="00C46910"/>
    <w:rsid w:val="00C4757D"/>
    <w:rsid w:val="00C479B9"/>
    <w:rsid w:val="00C47C8E"/>
    <w:rsid w:val="00C508CF"/>
    <w:rsid w:val="00C50AC3"/>
    <w:rsid w:val="00C50B66"/>
    <w:rsid w:val="00C50E10"/>
    <w:rsid w:val="00C510FD"/>
    <w:rsid w:val="00C51DDB"/>
    <w:rsid w:val="00C523D2"/>
    <w:rsid w:val="00C52452"/>
    <w:rsid w:val="00C527CB"/>
    <w:rsid w:val="00C52FD1"/>
    <w:rsid w:val="00C53137"/>
    <w:rsid w:val="00C5359B"/>
    <w:rsid w:val="00C535F0"/>
    <w:rsid w:val="00C5371C"/>
    <w:rsid w:val="00C537AF"/>
    <w:rsid w:val="00C5396C"/>
    <w:rsid w:val="00C53AF7"/>
    <w:rsid w:val="00C54136"/>
    <w:rsid w:val="00C541C4"/>
    <w:rsid w:val="00C545A7"/>
    <w:rsid w:val="00C546D7"/>
    <w:rsid w:val="00C55393"/>
    <w:rsid w:val="00C554B5"/>
    <w:rsid w:val="00C55681"/>
    <w:rsid w:val="00C5595A"/>
    <w:rsid w:val="00C55965"/>
    <w:rsid w:val="00C56000"/>
    <w:rsid w:val="00C56360"/>
    <w:rsid w:val="00C56A15"/>
    <w:rsid w:val="00C56EF2"/>
    <w:rsid w:val="00C570A6"/>
    <w:rsid w:val="00C5725C"/>
    <w:rsid w:val="00C579F3"/>
    <w:rsid w:val="00C57C1E"/>
    <w:rsid w:val="00C57CA3"/>
    <w:rsid w:val="00C57EB4"/>
    <w:rsid w:val="00C600B3"/>
    <w:rsid w:val="00C602B7"/>
    <w:rsid w:val="00C602C1"/>
    <w:rsid w:val="00C603A8"/>
    <w:rsid w:val="00C609D6"/>
    <w:rsid w:val="00C60DE1"/>
    <w:rsid w:val="00C61464"/>
    <w:rsid w:val="00C61708"/>
    <w:rsid w:val="00C62661"/>
    <w:rsid w:val="00C626B3"/>
    <w:rsid w:val="00C62977"/>
    <w:rsid w:val="00C62A0F"/>
    <w:rsid w:val="00C63BC7"/>
    <w:rsid w:val="00C63D3D"/>
    <w:rsid w:val="00C63E6E"/>
    <w:rsid w:val="00C643F0"/>
    <w:rsid w:val="00C647AE"/>
    <w:rsid w:val="00C6485E"/>
    <w:rsid w:val="00C64DC0"/>
    <w:rsid w:val="00C64DDD"/>
    <w:rsid w:val="00C64DEA"/>
    <w:rsid w:val="00C64EB8"/>
    <w:rsid w:val="00C65044"/>
    <w:rsid w:val="00C6526F"/>
    <w:rsid w:val="00C65919"/>
    <w:rsid w:val="00C65B07"/>
    <w:rsid w:val="00C66027"/>
    <w:rsid w:val="00C6612D"/>
    <w:rsid w:val="00C6630F"/>
    <w:rsid w:val="00C6691B"/>
    <w:rsid w:val="00C66C78"/>
    <w:rsid w:val="00C67021"/>
    <w:rsid w:val="00C672C8"/>
    <w:rsid w:val="00C672D3"/>
    <w:rsid w:val="00C6732D"/>
    <w:rsid w:val="00C67757"/>
    <w:rsid w:val="00C67BB3"/>
    <w:rsid w:val="00C67E8E"/>
    <w:rsid w:val="00C70092"/>
    <w:rsid w:val="00C7067F"/>
    <w:rsid w:val="00C706C4"/>
    <w:rsid w:val="00C706E1"/>
    <w:rsid w:val="00C70C2B"/>
    <w:rsid w:val="00C71762"/>
    <w:rsid w:val="00C71C12"/>
    <w:rsid w:val="00C71C49"/>
    <w:rsid w:val="00C71CFC"/>
    <w:rsid w:val="00C72177"/>
    <w:rsid w:val="00C724F5"/>
    <w:rsid w:val="00C72754"/>
    <w:rsid w:val="00C72C96"/>
    <w:rsid w:val="00C731E0"/>
    <w:rsid w:val="00C735DD"/>
    <w:rsid w:val="00C73F8C"/>
    <w:rsid w:val="00C740A3"/>
    <w:rsid w:val="00C74528"/>
    <w:rsid w:val="00C7460A"/>
    <w:rsid w:val="00C74675"/>
    <w:rsid w:val="00C748ED"/>
    <w:rsid w:val="00C74B8C"/>
    <w:rsid w:val="00C74E39"/>
    <w:rsid w:val="00C752E0"/>
    <w:rsid w:val="00C75661"/>
    <w:rsid w:val="00C756EA"/>
    <w:rsid w:val="00C7576A"/>
    <w:rsid w:val="00C75A55"/>
    <w:rsid w:val="00C76154"/>
    <w:rsid w:val="00C765F8"/>
    <w:rsid w:val="00C771F6"/>
    <w:rsid w:val="00C80254"/>
    <w:rsid w:val="00C8067D"/>
    <w:rsid w:val="00C81372"/>
    <w:rsid w:val="00C815B7"/>
    <w:rsid w:val="00C81607"/>
    <w:rsid w:val="00C816F9"/>
    <w:rsid w:val="00C81B5E"/>
    <w:rsid w:val="00C824E7"/>
    <w:rsid w:val="00C8268F"/>
    <w:rsid w:val="00C82795"/>
    <w:rsid w:val="00C8282C"/>
    <w:rsid w:val="00C82A03"/>
    <w:rsid w:val="00C82C8E"/>
    <w:rsid w:val="00C82CC3"/>
    <w:rsid w:val="00C82F51"/>
    <w:rsid w:val="00C8303F"/>
    <w:rsid w:val="00C83535"/>
    <w:rsid w:val="00C837CE"/>
    <w:rsid w:val="00C83CDA"/>
    <w:rsid w:val="00C83D5D"/>
    <w:rsid w:val="00C83D84"/>
    <w:rsid w:val="00C83FFC"/>
    <w:rsid w:val="00C8401E"/>
    <w:rsid w:val="00C850D0"/>
    <w:rsid w:val="00C854FD"/>
    <w:rsid w:val="00C85A41"/>
    <w:rsid w:val="00C85C97"/>
    <w:rsid w:val="00C85DB6"/>
    <w:rsid w:val="00C85F59"/>
    <w:rsid w:val="00C86F42"/>
    <w:rsid w:val="00C87436"/>
    <w:rsid w:val="00C87816"/>
    <w:rsid w:val="00C87853"/>
    <w:rsid w:val="00C8792C"/>
    <w:rsid w:val="00C90767"/>
    <w:rsid w:val="00C90C24"/>
    <w:rsid w:val="00C90FCB"/>
    <w:rsid w:val="00C9112B"/>
    <w:rsid w:val="00C9132E"/>
    <w:rsid w:val="00C91651"/>
    <w:rsid w:val="00C91722"/>
    <w:rsid w:val="00C917A4"/>
    <w:rsid w:val="00C91806"/>
    <w:rsid w:val="00C91A8D"/>
    <w:rsid w:val="00C922A2"/>
    <w:rsid w:val="00C92836"/>
    <w:rsid w:val="00C92B25"/>
    <w:rsid w:val="00C93013"/>
    <w:rsid w:val="00C933CA"/>
    <w:rsid w:val="00C93555"/>
    <w:rsid w:val="00C935B5"/>
    <w:rsid w:val="00C94091"/>
    <w:rsid w:val="00C94270"/>
    <w:rsid w:val="00C944DF"/>
    <w:rsid w:val="00C94604"/>
    <w:rsid w:val="00C9486A"/>
    <w:rsid w:val="00C952BA"/>
    <w:rsid w:val="00C95531"/>
    <w:rsid w:val="00C9589A"/>
    <w:rsid w:val="00C961BA"/>
    <w:rsid w:val="00C963B9"/>
    <w:rsid w:val="00C972F9"/>
    <w:rsid w:val="00C9789C"/>
    <w:rsid w:val="00C978B4"/>
    <w:rsid w:val="00C97CEE"/>
    <w:rsid w:val="00CA050C"/>
    <w:rsid w:val="00CA057E"/>
    <w:rsid w:val="00CA06EC"/>
    <w:rsid w:val="00CA08A2"/>
    <w:rsid w:val="00CA0C68"/>
    <w:rsid w:val="00CA10E7"/>
    <w:rsid w:val="00CA1213"/>
    <w:rsid w:val="00CA129F"/>
    <w:rsid w:val="00CA135B"/>
    <w:rsid w:val="00CA13B1"/>
    <w:rsid w:val="00CA14C5"/>
    <w:rsid w:val="00CA1A6F"/>
    <w:rsid w:val="00CA1DA3"/>
    <w:rsid w:val="00CA2633"/>
    <w:rsid w:val="00CA26EA"/>
    <w:rsid w:val="00CA2822"/>
    <w:rsid w:val="00CA2B0B"/>
    <w:rsid w:val="00CA2DD4"/>
    <w:rsid w:val="00CA2FB2"/>
    <w:rsid w:val="00CA33CB"/>
    <w:rsid w:val="00CA36E6"/>
    <w:rsid w:val="00CA3D3A"/>
    <w:rsid w:val="00CA3F6B"/>
    <w:rsid w:val="00CA42D6"/>
    <w:rsid w:val="00CA441B"/>
    <w:rsid w:val="00CA528A"/>
    <w:rsid w:val="00CA5C3D"/>
    <w:rsid w:val="00CA61E1"/>
    <w:rsid w:val="00CA6396"/>
    <w:rsid w:val="00CA63B0"/>
    <w:rsid w:val="00CA68EA"/>
    <w:rsid w:val="00CA6DE5"/>
    <w:rsid w:val="00CA6F1C"/>
    <w:rsid w:val="00CA741A"/>
    <w:rsid w:val="00CA76A0"/>
    <w:rsid w:val="00CA78AD"/>
    <w:rsid w:val="00CA7D76"/>
    <w:rsid w:val="00CA7FF7"/>
    <w:rsid w:val="00CB02E4"/>
    <w:rsid w:val="00CB02FE"/>
    <w:rsid w:val="00CB0C91"/>
    <w:rsid w:val="00CB1206"/>
    <w:rsid w:val="00CB127F"/>
    <w:rsid w:val="00CB15E9"/>
    <w:rsid w:val="00CB16D1"/>
    <w:rsid w:val="00CB19BF"/>
    <w:rsid w:val="00CB1D80"/>
    <w:rsid w:val="00CB1F5F"/>
    <w:rsid w:val="00CB20B5"/>
    <w:rsid w:val="00CB21CE"/>
    <w:rsid w:val="00CB21D3"/>
    <w:rsid w:val="00CB23BE"/>
    <w:rsid w:val="00CB2613"/>
    <w:rsid w:val="00CB2BD5"/>
    <w:rsid w:val="00CB2C3E"/>
    <w:rsid w:val="00CB2E4A"/>
    <w:rsid w:val="00CB36A7"/>
    <w:rsid w:val="00CB38B7"/>
    <w:rsid w:val="00CB3A23"/>
    <w:rsid w:val="00CB3B07"/>
    <w:rsid w:val="00CB3DB5"/>
    <w:rsid w:val="00CB45C4"/>
    <w:rsid w:val="00CB4F69"/>
    <w:rsid w:val="00CB5890"/>
    <w:rsid w:val="00CB5895"/>
    <w:rsid w:val="00CB5A76"/>
    <w:rsid w:val="00CB5BBD"/>
    <w:rsid w:val="00CB5C55"/>
    <w:rsid w:val="00CB5D86"/>
    <w:rsid w:val="00CB6567"/>
    <w:rsid w:val="00CB684A"/>
    <w:rsid w:val="00CB6893"/>
    <w:rsid w:val="00CB6A1C"/>
    <w:rsid w:val="00CB6B16"/>
    <w:rsid w:val="00CB782B"/>
    <w:rsid w:val="00CC01FB"/>
    <w:rsid w:val="00CC03F2"/>
    <w:rsid w:val="00CC045F"/>
    <w:rsid w:val="00CC07F7"/>
    <w:rsid w:val="00CC07F9"/>
    <w:rsid w:val="00CC0FC1"/>
    <w:rsid w:val="00CC1103"/>
    <w:rsid w:val="00CC11FB"/>
    <w:rsid w:val="00CC1744"/>
    <w:rsid w:val="00CC1C89"/>
    <w:rsid w:val="00CC1D1A"/>
    <w:rsid w:val="00CC240B"/>
    <w:rsid w:val="00CC251D"/>
    <w:rsid w:val="00CC268B"/>
    <w:rsid w:val="00CC2DC4"/>
    <w:rsid w:val="00CC30D8"/>
    <w:rsid w:val="00CC33BA"/>
    <w:rsid w:val="00CC3F4E"/>
    <w:rsid w:val="00CC4088"/>
    <w:rsid w:val="00CC4AF2"/>
    <w:rsid w:val="00CC4D3E"/>
    <w:rsid w:val="00CC4EFD"/>
    <w:rsid w:val="00CC50CC"/>
    <w:rsid w:val="00CC5560"/>
    <w:rsid w:val="00CC5956"/>
    <w:rsid w:val="00CC59AD"/>
    <w:rsid w:val="00CC5F7B"/>
    <w:rsid w:val="00CC6260"/>
    <w:rsid w:val="00CC64EF"/>
    <w:rsid w:val="00CC6A99"/>
    <w:rsid w:val="00CC6CA9"/>
    <w:rsid w:val="00CC6D21"/>
    <w:rsid w:val="00CC6E3B"/>
    <w:rsid w:val="00CC719C"/>
    <w:rsid w:val="00CC75CA"/>
    <w:rsid w:val="00CC7C4F"/>
    <w:rsid w:val="00CC7CDB"/>
    <w:rsid w:val="00CC7EF8"/>
    <w:rsid w:val="00CD06DD"/>
    <w:rsid w:val="00CD0725"/>
    <w:rsid w:val="00CD11B5"/>
    <w:rsid w:val="00CD12A6"/>
    <w:rsid w:val="00CD1404"/>
    <w:rsid w:val="00CD19FB"/>
    <w:rsid w:val="00CD1B28"/>
    <w:rsid w:val="00CD1D0F"/>
    <w:rsid w:val="00CD24BD"/>
    <w:rsid w:val="00CD25BA"/>
    <w:rsid w:val="00CD25CA"/>
    <w:rsid w:val="00CD27AF"/>
    <w:rsid w:val="00CD35B7"/>
    <w:rsid w:val="00CD4408"/>
    <w:rsid w:val="00CD48EF"/>
    <w:rsid w:val="00CD53D1"/>
    <w:rsid w:val="00CD56BB"/>
    <w:rsid w:val="00CD5CED"/>
    <w:rsid w:val="00CD5F23"/>
    <w:rsid w:val="00CD6DDF"/>
    <w:rsid w:val="00CD7D89"/>
    <w:rsid w:val="00CD7E29"/>
    <w:rsid w:val="00CE0128"/>
    <w:rsid w:val="00CE148A"/>
    <w:rsid w:val="00CE1721"/>
    <w:rsid w:val="00CE1C93"/>
    <w:rsid w:val="00CE211B"/>
    <w:rsid w:val="00CE2589"/>
    <w:rsid w:val="00CE28AC"/>
    <w:rsid w:val="00CE28E3"/>
    <w:rsid w:val="00CE2916"/>
    <w:rsid w:val="00CE2D8A"/>
    <w:rsid w:val="00CE2DF8"/>
    <w:rsid w:val="00CE32D7"/>
    <w:rsid w:val="00CE3490"/>
    <w:rsid w:val="00CE368A"/>
    <w:rsid w:val="00CE36B0"/>
    <w:rsid w:val="00CE36CF"/>
    <w:rsid w:val="00CE374B"/>
    <w:rsid w:val="00CE3BD7"/>
    <w:rsid w:val="00CE3DDD"/>
    <w:rsid w:val="00CE473E"/>
    <w:rsid w:val="00CE491C"/>
    <w:rsid w:val="00CE4AA5"/>
    <w:rsid w:val="00CE527F"/>
    <w:rsid w:val="00CE56A4"/>
    <w:rsid w:val="00CE5C51"/>
    <w:rsid w:val="00CE6154"/>
    <w:rsid w:val="00CE6481"/>
    <w:rsid w:val="00CE652F"/>
    <w:rsid w:val="00CE6C8B"/>
    <w:rsid w:val="00CE6D67"/>
    <w:rsid w:val="00CE72D0"/>
    <w:rsid w:val="00CE73EB"/>
    <w:rsid w:val="00CE7CF9"/>
    <w:rsid w:val="00CF01A5"/>
    <w:rsid w:val="00CF0304"/>
    <w:rsid w:val="00CF03AE"/>
    <w:rsid w:val="00CF0561"/>
    <w:rsid w:val="00CF0563"/>
    <w:rsid w:val="00CF081A"/>
    <w:rsid w:val="00CF0CA9"/>
    <w:rsid w:val="00CF150C"/>
    <w:rsid w:val="00CF17F2"/>
    <w:rsid w:val="00CF1A2D"/>
    <w:rsid w:val="00CF25BB"/>
    <w:rsid w:val="00CF2874"/>
    <w:rsid w:val="00CF2913"/>
    <w:rsid w:val="00CF29D4"/>
    <w:rsid w:val="00CF311B"/>
    <w:rsid w:val="00CF3140"/>
    <w:rsid w:val="00CF3490"/>
    <w:rsid w:val="00CF3E4B"/>
    <w:rsid w:val="00CF3E8C"/>
    <w:rsid w:val="00CF439F"/>
    <w:rsid w:val="00CF5113"/>
    <w:rsid w:val="00CF5122"/>
    <w:rsid w:val="00CF5423"/>
    <w:rsid w:val="00CF55B2"/>
    <w:rsid w:val="00CF56D7"/>
    <w:rsid w:val="00CF596C"/>
    <w:rsid w:val="00CF5F0A"/>
    <w:rsid w:val="00CF5FE5"/>
    <w:rsid w:val="00CF6C37"/>
    <w:rsid w:val="00CF6D1D"/>
    <w:rsid w:val="00CF6E72"/>
    <w:rsid w:val="00CF7120"/>
    <w:rsid w:val="00CF7174"/>
    <w:rsid w:val="00CF724C"/>
    <w:rsid w:val="00CF7279"/>
    <w:rsid w:val="00CF7DAF"/>
    <w:rsid w:val="00CF7E80"/>
    <w:rsid w:val="00CF7FA7"/>
    <w:rsid w:val="00D001B4"/>
    <w:rsid w:val="00D003B7"/>
    <w:rsid w:val="00D00C95"/>
    <w:rsid w:val="00D00E36"/>
    <w:rsid w:val="00D01706"/>
    <w:rsid w:val="00D02220"/>
    <w:rsid w:val="00D02302"/>
    <w:rsid w:val="00D0237D"/>
    <w:rsid w:val="00D029DE"/>
    <w:rsid w:val="00D02F4F"/>
    <w:rsid w:val="00D032BD"/>
    <w:rsid w:val="00D03351"/>
    <w:rsid w:val="00D03867"/>
    <w:rsid w:val="00D04555"/>
    <w:rsid w:val="00D045CB"/>
    <w:rsid w:val="00D0462B"/>
    <w:rsid w:val="00D04A48"/>
    <w:rsid w:val="00D04CB3"/>
    <w:rsid w:val="00D04D2C"/>
    <w:rsid w:val="00D04DA4"/>
    <w:rsid w:val="00D0531E"/>
    <w:rsid w:val="00D05511"/>
    <w:rsid w:val="00D0622F"/>
    <w:rsid w:val="00D0626C"/>
    <w:rsid w:val="00D06CD0"/>
    <w:rsid w:val="00D06D33"/>
    <w:rsid w:val="00D06E2B"/>
    <w:rsid w:val="00D076CD"/>
    <w:rsid w:val="00D07714"/>
    <w:rsid w:val="00D07F19"/>
    <w:rsid w:val="00D10280"/>
    <w:rsid w:val="00D10309"/>
    <w:rsid w:val="00D104DE"/>
    <w:rsid w:val="00D10BAA"/>
    <w:rsid w:val="00D10FFE"/>
    <w:rsid w:val="00D110A8"/>
    <w:rsid w:val="00D110AC"/>
    <w:rsid w:val="00D11508"/>
    <w:rsid w:val="00D1158C"/>
    <w:rsid w:val="00D11949"/>
    <w:rsid w:val="00D11E87"/>
    <w:rsid w:val="00D1227E"/>
    <w:rsid w:val="00D12987"/>
    <w:rsid w:val="00D12B68"/>
    <w:rsid w:val="00D12BBE"/>
    <w:rsid w:val="00D130B7"/>
    <w:rsid w:val="00D13836"/>
    <w:rsid w:val="00D13B0D"/>
    <w:rsid w:val="00D13B2A"/>
    <w:rsid w:val="00D13BD2"/>
    <w:rsid w:val="00D14CFF"/>
    <w:rsid w:val="00D14E59"/>
    <w:rsid w:val="00D1511B"/>
    <w:rsid w:val="00D15678"/>
    <w:rsid w:val="00D15B32"/>
    <w:rsid w:val="00D15B8A"/>
    <w:rsid w:val="00D15D10"/>
    <w:rsid w:val="00D16538"/>
    <w:rsid w:val="00D16A44"/>
    <w:rsid w:val="00D17028"/>
    <w:rsid w:val="00D170D9"/>
    <w:rsid w:val="00D1715A"/>
    <w:rsid w:val="00D1735C"/>
    <w:rsid w:val="00D17833"/>
    <w:rsid w:val="00D179B0"/>
    <w:rsid w:val="00D17A97"/>
    <w:rsid w:val="00D20031"/>
    <w:rsid w:val="00D20C17"/>
    <w:rsid w:val="00D20C24"/>
    <w:rsid w:val="00D20E92"/>
    <w:rsid w:val="00D2142B"/>
    <w:rsid w:val="00D21658"/>
    <w:rsid w:val="00D21BEF"/>
    <w:rsid w:val="00D227BE"/>
    <w:rsid w:val="00D23103"/>
    <w:rsid w:val="00D233A2"/>
    <w:rsid w:val="00D2383F"/>
    <w:rsid w:val="00D2513F"/>
    <w:rsid w:val="00D256C4"/>
    <w:rsid w:val="00D25AB3"/>
    <w:rsid w:val="00D25DCE"/>
    <w:rsid w:val="00D25E50"/>
    <w:rsid w:val="00D25ED0"/>
    <w:rsid w:val="00D260A7"/>
    <w:rsid w:val="00D260C0"/>
    <w:rsid w:val="00D2682E"/>
    <w:rsid w:val="00D26A5E"/>
    <w:rsid w:val="00D26AA0"/>
    <w:rsid w:val="00D26AED"/>
    <w:rsid w:val="00D26CEB"/>
    <w:rsid w:val="00D26D01"/>
    <w:rsid w:val="00D26D87"/>
    <w:rsid w:val="00D27149"/>
    <w:rsid w:val="00D27453"/>
    <w:rsid w:val="00D27E9B"/>
    <w:rsid w:val="00D30001"/>
    <w:rsid w:val="00D309BC"/>
    <w:rsid w:val="00D30EB6"/>
    <w:rsid w:val="00D31187"/>
    <w:rsid w:val="00D311DF"/>
    <w:rsid w:val="00D3123F"/>
    <w:rsid w:val="00D313B3"/>
    <w:rsid w:val="00D319F4"/>
    <w:rsid w:val="00D31C7B"/>
    <w:rsid w:val="00D31F03"/>
    <w:rsid w:val="00D3235A"/>
    <w:rsid w:val="00D3292B"/>
    <w:rsid w:val="00D32AA3"/>
    <w:rsid w:val="00D32B30"/>
    <w:rsid w:val="00D33439"/>
    <w:rsid w:val="00D335E7"/>
    <w:rsid w:val="00D3390A"/>
    <w:rsid w:val="00D33914"/>
    <w:rsid w:val="00D33951"/>
    <w:rsid w:val="00D3396B"/>
    <w:rsid w:val="00D33F02"/>
    <w:rsid w:val="00D34434"/>
    <w:rsid w:val="00D34601"/>
    <w:rsid w:val="00D3505B"/>
    <w:rsid w:val="00D356A3"/>
    <w:rsid w:val="00D3581F"/>
    <w:rsid w:val="00D358F7"/>
    <w:rsid w:val="00D35A54"/>
    <w:rsid w:val="00D35E89"/>
    <w:rsid w:val="00D35EA7"/>
    <w:rsid w:val="00D36376"/>
    <w:rsid w:val="00D368CD"/>
    <w:rsid w:val="00D36CB5"/>
    <w:rsid w:val="00D36E67"/>
    <w:rsid w:val="00D36E8A"/>
    <w:rsid w:val="00D37238"/>
    <w:rsid w:val="00D37EF5"/>
    <w:rsid w:val="00D403E2"/>
    <w:rsid w:val="00D408DB"/>
    <w:rsid w:val="00D40AD9"/>
    <w:rsid w:val="00D41190"/>
    <w:rsid w:val="00D416BD"/>
    <w:rsid w:val="00D419C9"/>
    <w:rsid w:val="00D41AED"/>
    <w:rsid w:val="00D41B08"/>
    <w:rsid w:val="00D41D3B"/>
    <w:rsid w:val="00D428B9"/>
    <w:rsid w:val="00D42A38"/>
    <w:rsid w:val="00D42ACC"/>
    <w:rsid w:val="00D42DB9"/>
    <w:rsid w:val="00D42DE2"/>
    <w:rsid w:val="00D43246"/>
    <w:rsid w:val="00D43506"/>
    <w:rsid w:val="00D439C0"/>
    <w:rsid w:val="00D43E34"/>
    <w:rsid w:val="00D43FBA"/>
    <w:rsid w:val="00D44580"/>
    <w:rsid w:val="00D445F3"/>
    <w:rsid w:val="00D45750"/>
    <w:rsid w:val="00D457EA"/>
    <w:rsid w:val="00D45C42"/>
    <w:rsid w:val="00D45E15"/>
    <w:rsid w:val="00D463C3"/>
    <w:rsid w:val="00D4645C"/>
    <w:rsid w:val="00D474FE"/>
    <w:rsid w:val="00D47683"/>
    <w:rsid w:val="00D47687"/>
    <w:rsid w:val="00D47C71"/>
    <w:rsid w:val="00D5003E"/>
    <w:rsid w:val="00D50211"/>
    <w:rsid w:val="00D50A56"/>
    <w:rsid w:val="00D510B3"/>
    <w:rsid w:val="00D51767"/>
    <w:rsid w:val="00D51870"/>
    <w:rsid w:val="00D51AB4"/>
    <w:rsid w:val="00D51E37"/>
    <w:rsid w:val="00D51E60"/>
    <w:rsid w:val="00D521CC"/>
    <w:rsid w:val="00D522F9"/>
    <w:rsid w:val="00D523BB"/>
    <w:rsid w:val="00D52537"/>
    <w:rsid w:val="00D525C1"/>
    <w:rsid w:val="00D52671"/>
    <w:rsid w:val="00D52715"/>
    <w:rsid w:val="00D52780"/>
    <w:rsid w:val="00D52BBA"/>
    <w:rsid w:val="00D52E29"/>
    <w:rsid w:val="00D52E54"/>
    <w:rsid w:val="00D52F1A"/>
    <w:rsid w:val="00D52FF5"/>
    <w:rsid w:val="00D539B7"/>
    <w:rsid w:val="00D53DD4"/>
    <w:rsid w:val="00D53E62"/>
    <w:rsid w:val="00D53F74"/>
    <w:rsid w:val="00D5483C"/>
    <w:rsid w:val="00D553D6"/>
    <w:rsid w:val="00D5555B"/>
    <w:rsid w:val="00D55573"/>
    <w:rsid w:val="00D55866"/>
    <w:rsid w:val="00D55E4C"/>
    <w:rsid w:val="00D55E91"/>
    <w:rsid w:val="00D56027"/>
    <w:rsid w:val="00D56540"/>
    <w:rsid w:val="00D56587"/>
    <w:rsid w:val="00D56DFA"/>
    <w:rsid w:val="00D57305"/>
    <w:rsid w:val="00D573F7"/>
    <w:rsid w:val="00D576A2"/>
    <w:rsid w:val="00D57ACC"/>
    <w:rsid w:val="00D57BD7"/>
    <w:rsid w:val="00D57DDE"/>
    <w:rsid w:val="00D57EDA"/>
    <w:rsid w:val="00D6054A"/>
    <w:rsid w:val="00D60B7D"/>
    <w:rsid w:val="00D60D5D"/>
    <w:rsid w:val="00D60E22"/>
    <w:rsid w:val="00D60FC9"/>
    <w:rsid w:val="00D6103A"/>
    <w:rsid w:val="00D61302"/>
    <w:rsid w:val="00D617DA"/>
    <w:rsid w:val="00D61FE5"/>
    <w:rsid w:val="00D62093"/>
    <w:rsid w:val="00D624D9"/>
    <w:rsid w:val="00D62656"/>
    <w:rsid w:val="00D626E3"/>
    <w:rsid w:val="00D62F4D"/>
    <w:rsid w:val="00D63186"/>
    <w:rsid w:val="00D63314"/>
    <w:rsid w:val="00D634F8"/>
    <w:rsid w:val="00D6361E"/>
    <w:rsid w:val="00D6375E"/>
    <w:rsid w:val="00D63C40"/>
    <w:rsid w:val="00D644B2"/>
    <w:rsid w:val="00D644D2"/>
    <w:rsid w:val="00D64906"/>
    <w:rsid w:val="00D64F33"/>
    <w:rsid w:val="00D652D9"/>
    <w:rsid w:val="00D65332"/>
    <w:rsid w:val="00D65365"/>
    <w:rsid w:val="00D65772"/>
    <w:rsid w:val="00D665C8"/>
    <w:rsid w:val="00D670E1"/>
    <w:rsid w:val="00D670F5"/>
    <w:rsid w:val="00D67157"/>
    <w:rsid w:val="00D6728C"/>
    <w:rsid w:val="00D675A9"/>
    <w:rsid w:val="00D67E59"/>
    <w:rsid w:val="00D70006"/>
    <w:rsid w:val="00D700D6"/>
    <w:rsid w:val="00D70397"/>
    <w:rsid w:val="00D7085D"/>
    <w:rsid w:val="00D70BAF"/>
    <w:rsid w:val="00D70DDA"/>
    <w:rsid w:val="00D71CB2"/>
    <w:rsid w:val="00D71CF0"/>
    <w:rsid w:val="00D71E8F"/>
    <w:rsid w:val="00D72475"/>
    <w:rsid w:val="00D728F1"/>
    <w:rsid w:val="00D72A34"/>
    <w:rsid w:val="00D72CA0"/>
    <w:rsid w:val="00D73236"/>
    <w:rsid w:val="00D732B2"/>
    <w:rsid w:val="00D73A07"/>
    <w:rsid w:val="00D73AD9"/>
    <w:rsid w:val="00D74671"/>
    <w:rsid w:val="00D746C8"/>
    <w:rsid w:val="00D746D9"/>
    <w:rsid w:val="00D7470A"/>
    <w:rsid w:val="00D74D3C"/>
    <w:rsid w:val="00D75055"/>
    <w:rsid w:val="00D75149"/>
    <w:rsid w:val="00D75266"/>
    <w:rsid w:val="00D7587B"/>
    <w:rsid w:val="00D7588A"/>
    <w:rsid w:val="00D75991"/>
    <w:rsid w:val="00D75B7F"/>
    <w:rsid w:val="00D75D22"/>
    <w:rsid w:val="00D764C0"/>
    <w:rsid w:val="00D76EA4"/>
    <w:rsid w:val="00D76FC5"/>
    <w:rsid w:val="00D77263"/>
    <w:rsid w:val="00D77B20"/>
    <w:rsid w:val="00D77EDC"/>
    <w:rsid w:val="00D800E2"/>
    <w:rsid w:val="00D809FD"/>
    <w:rsid w:val="00D80B1E"/>
    <w:rsid w:val="00D80C29"/>
    <w:rsid w:val="00D80C49"/>
    <w:rsid w:val="00D812F3"/>
    <w:rsid w:val="00D82511"/>
    <w:rsid w:val="00D82F93"/>
    <w:rsid w:val="00D8316D"/>
    <w:rsid w:val="00D834B2"/>
    <w:rsid w:val="00D83645"/>
    <w:rsid w:val="00D83985"/>
    <w:rsid w:val="00D8398E"/>
    <w:rsid w:val="00D83B51"/>
    <w:rsid w:val="00D83D6E"/>
    <w:rsid w:val="00D84D9B"/>
    <w:rsid w:val="00D84ECA"/>
    <w:rsid w:val="00D84F09"/>
    <w:rsid w:val="00D8525E"/>
    <w:rsid w:val="00D85AD1"/>
    <w:rsid w:val="00D85F7B"/>
    <w:rsid w:val="00D860D7"/>
    <w:rsid w:val="00D864A7"/>
    <w:rsid w:val="00D8672E"/>
    <w:rsid w:val="00D867CC"/>
    <w:rsid w:val="00D867EB"/>
    <w:rsid w:val="00D86D89"/>
    <w:rsid w:val="00D87011"/>
    <w:rsid w:val="00D87203"/>
    <w:rsid w:val="00D876BA"/>
    <w:rsid w:val="00D87964"/>
    <w:rsid w:val="00D9041B"/>
    <w:rsid w:val="00D90903"/>
    <w:rsid w:val="00D909BB"/>
    <w:rsid w:val="00D90AF2"/>
    <w:rsid w:val="00D90DBB"/>
    <w:rsid w:val="00D9141D"/>
    <w:rsid w:val="00D91594"/>
    <w:rsid w:val="00D91D91"/>
    <w:rsid w:val="00D92178"/>
    <w:rsid w:val="00D92373"/>
    <w:rsid w:val="00D92B1B"/>
    <w:rsid w:val="00D93140"/>
    <w:rsid w:val="00D93A02"/>
    <w:rsid w:val="00D93C31"/>
    <w:rsid w:val="00D93D7C"/>
    <w:rsid w:val="00D93FFC"/>
    <w:rsid w:val="00D94131"/>
    <w:rsid w:val="00D94608"/>
    <w:rsid w:val="00D946C9"/>
    <w:rsid w:val="00D94CF3"/>
    <w:rsid w:val="00D95322"/>
    <w:rsid w:val="00D9534F"/>
    <w:rsid w:val="00D95667"/>
    <w:rsid w:val="00D95CF9"/>
    <w:rsid w:val="00D961C0"/>
    <w:rsid w:val="00D967A8"/>
    <w:rsid w:val="00D96872"/>
    <w:rsid w:val="00D97151"/>
    <w:rsid w:val="00D97309"/>
    <w:rsid w:val="00D976E4"/>
    <w:rsid w:val="00D97781"/>
    <w:rsid w:val="00D97BC1"/>
    <w:rsid w:val="00D97F6D"/>
    <w:rsid w:val="00DA03C9"/>
    <w:rsid w:val="00DA058E"/>
    <w:rsid w:val="00DA0B32"/>
    <w:rsid w:val="00DA0B91"/>
    <w:rsid w:val="00DA0C5E"/>
    <w:rsid w:val="00DA11A9"/>
    <w:rsid w:val="00DA15DE"/>
    <w:rsid w:val="00DA16F0"/>
    <w:rsid w:val="00DA17E6"/>
    <w:rsid w:val="00DA1A2C"/>
    <w:rsid w:val="00DA1C4C"/>
    <w:rsid w:val="00DA1ECF"/>
    <w:rsid w:val="00DA1F71"/>
    <w:rsid w:val="00DA23CB"/>
    <w:rsid w:val="00DA265B"/>
    <w:rsid w:val="00DA2B82"/>
    <w:rsid w:val="00DA2F30"/>
    <w:rsid w:val="00DA31CE"/>
    <w:rsid w:val="00DA4065"/>
    <w:rsid w:val="00DA4569"/>
    <w:rsid w:val="00DA48DF"/>
    <w:rsid w:val="00DA4FB3"/>
    <w:rsid w:val="00DA5017"/>
    <w:rsid w:val="00DA512C"/>
    <w:rsid w:val="00DA529D"/>
    <w:rsid w:val="00DA54D0"/>
    <w:rsid w:val="00DA56A9"/>
    <w:rsid w:val="00DA58F7"/>
    <w:rsid w:val="00DA5F67"/>
    <w:rsid w:val="00DA64A9"/>
    <w:rsid w:val="00DA6765"/>
    <w:rsid w:val="00DA678B"/>
    <w:rsid w:val="00DA682E"/>
    <w:rsid w:val="00DA69EA"/>
    <w:rsid w:val="00DA6A54"/>
    <w:rsid w:val="00DA6BE0"/>
    <w:rsid w:val="00DA6F7C"/>
    <w:rsid w:val="00DA734A"/>
    <w:rsid w:val="00DA777F"/>
    <w:rsid w:val="00DA791F"/>
    <w:rsid w:val="00DA793B"/>
    <w:rsid w:val="00DB003C"/>
    <w:rsid w:val="00DB0680"/>
    <w:rsid w:val="00DB0FCF"/>
    <w:rsid w:val="00DB11C8"/>
    <w:rsid w:val="00DB16BC"/>
    <w:rsid w:val="00DB1D74"/>
    <w:rsid w:val="00DB1E91"/>
    <w:rsid w:val="00DB29C0"/>
    <w:rsid w:val="00DB2CCC"/>
    <w:rsid w:val="00DB2D1C"/>
    <w:rsid w:val="00DB3343"/>
    <w:rsid w:val="00DB36BB"/>
    <w:rsid w:val="00DB42FA"/>
    <w:rsid w:val="00DB439C"/>
    <w:rsid w:val="00DB4410"/>
    <w:rsid w:val="00DB4A32"/>
    <w:rsid w:val="00DB4AD5"/>
    <w:rsid w:val="00DB4B5B"/>
    <w:rsid w:val="00DB5117"/>
    <w:rsid w:val="00DB542B"/>
    <w:rsid w:val="00DB5C6E"/>
    <w:rsid w:val="00DB5DD7"/>
    <w:rsid w:val="00DB6031"/>
    <w:rsid w:val="00DB61E5"/>
    <w:rsid w:val="00DB6207"/>
    <w:rsid w:val="00DB63F2"/>
    <w:rsid w:val="00DB664A"/>
    <w:rsid w:val="00DB7463"/>
    <w:rsid w:val="00DB78B4"/>
    <w:rsid w:val="00DB7901"/>
    <w:rsid w:val="00DB7946"/>
    <w:rsid w:val="00DB7F49"/>
    <w:rsid w:val="00DB7FDD"/>
    <w:rsid w:val="00DC0085"/>
    <w:rsid w:val="00DC00E9"/>
    <w:rsid w:val="00DC01EF"/>
    <w:rsid w:val="00DC04C1"/>
    <w:rsid w:val="00DC0543"/>
    <w:rsid w:val="00DC0824"/>
    <w:rsid w:val="00DC0D5C"/>
    <w:rsid w:val="00DC14AF"/>
    <w:rsid w:val="00DC1720"/>
    <w:rsid w:val="00DC1A93"/>
    <w:rsid w:val="00DC2241"/>
    <w:rsid w:val="00DC22D7"/>
    <w:rsid w:val="00DC26E2"/>
    <w:rsid w:val="00DC29AE"/>
    <w:rsid w:val="00DC2B9D"/>
    <w:rsid w:val="00DC2EAD"/>
    <w:rsid w:val="00DC30F0"/>
    <w:rsid w:val="00DC3633"/>
    <w:rsid w:val="00DC3D3D"/>
    <w:rsid w:val="00DC4108"/>
    <w:rsid w:val="00DC42B2"/>
    <w:rsid w:val="00DC440D"/>
    <w:rsid w:val="00DC4597"/>
    <w:rsid w:val="00DC46A2"/>
    <w:rsid w:val="00DC48F7"/>
    <w:rsid w:val="00DC49A6"/>
    <w:rsid w:val="00DC4EC7"/>
    <w:rsid w:val="00DC4F64"/>
    <w:rsid w:val="00DC50C5"/>
    <w:rsid w:val="00DC54D4"/>
    <w:rsid w:val="00DC55AC"/>
    <w:rsid w:val="00DC56E6"/>
    <w:rsid w:val="00DC5791"/>
    <w:rsid w:val="00DC5CFF"/>
    <w:rsid w:val="00DC5DB1"/>
    <w:rsid w:val="00DC5EF0"/>
    <w:rsid w:val="00DC64A7"/>
    <w:rsid w:val="00DC67E9"/>
    <w:rsid w:val="00DC6B0A"/>
    <w:rsid w:val="00DC6C15"/>
    <w:rsid w:val="00DC6D34"/>
    <w:rsid w:val="00DC6F7B"/>
    <w:rsid w:val="00DC74DF"/>
    <w:rsid w:val="00DC775E"/>
    <w:rsid w:val="00DC7C3D"/>
    <w:rsid w:val="00DC7F15"/>
    <w:rsid w:val="00DD003E"/>
    <w:rsid w:val="00DD0641"/>
    <w:rsid w:val="00DD06A4"/>
    <w:rsid w:val="00DD0953"/>
    <w:rsid w:val="00DD0B03"/>
    <w:rsid w:val="00DD1111"/>
    <w:rsid w:val="00DD1A95"/>
    <w:rsid w:val="00DD1E89"/>
    <w:rsid w:val="00DD211F"/>
    <w:rsid w:val="00DD2468"/>
    <w:rsid w:val="00DD24E4"/>
    <w:rsid w:val="00DD25A8"/>
    <w:rsid w:val="00DD275F"/>
    <w:rsid w:val="00DD29D0"/>
    <w:rsid w:val="00DD2B4E"/>
    <w:rsid w:val="00DD2C81"/>
    <w:rsid w:val="00DD2EDD"/>
    <w:rsid w:val="00DD34F7"/>
    <w:rsid w:val="00DD3C2E"/>
    <w:rsid w:val="00DD3D54"/>
    <w:rsid w:val="00DD47CD"/>
    <w:rsid w:val="00DD53D7"/>
    <w:rsid w:val="00DD5A96"/>
    <w:rsid w:val="00DD5B2C"/>
    <w:rsid w:val="00DD68C3"/>
    <w:rsid w:val="00DD75A8"/>
    <w:rsid w:val="00DD7979"/>
    <w:rsid w:val="00DD7CB4"/>
    <w:rsid w:val="00DD7E0E"/>
    <w:rsid w:val="00DE031D"/>
    <w:rsid w:val="00DE0D94"/>
    <w:rsid w:val="00DE0F26"/>
    <w:rsid w:val="00DE124B"/>
    <w:rsid w:val="00DE19A9"/>
    <w:rsid w:val="00DE1AC9"/>
    <w:rsid w:val="00DE1FF0"/>
    <w:rsid w:val="00DE2496"/>
    <w:rsid w:val="00DE2B25"/>
    <w:rsid w:val="00DE2CB1"/>
    <w:rsid w:val="00DE2EED"/>
    <w:rsid w:val="00DE30B6"/>
    <w:rsid w:val="00DE33FB"/>
    <w:rsid w:val="00DE3741"/>
    <w:rsid w:val="00DE3F11"/>
    <w:rsid w:val="00DE3FC4"/>
    <w:rsid w:val="00DE474B"/>
    <w:rsid w:val="00DE4D8A"/>
    <w:rsid w:val="00DE56DC"/>
    <w:rsid w:val="00DE570A"/>
    <w:rsid w:val="00DE578D"/>
    <w:rsid w:val="00DE625C"/>
    <w:rsid w:val="00DE65BC"/>
    <w:rsid w:val="00DE7055"/>
    <w:rsid w:val="00DE7099"/>
    <w:rsid w:val="00DE7208"/>
    <w:rsid w:val="00DE7467"/>
    <w:rsid w:val="00DE78A2"/>
    <w:rsid w:val="00DE7CEB"/>
    <w:rsid w:val="00DE7EE5"/>
    <w:rsid w:val="00DF044A"/>
    <w:rsid w:val="00DF06AE"/>
    <w:rsid w:val="00DF0714"/>
    <w:rsid w:val="00DF099B"/>
    <w:rsid w:val="00DF09B8"/>
    <w:rsid w:val="00DF0FAA"/>
    <w:rsid w:val="00DF149B"/>
    <w:rsid w:val="00DF1665"/>
    <w:rsid w:val="00DF1808"/>
    <w:rsid w:val="00DF234E"/>
    <w:rsid w:val="00DF2A0C"/>
    <w:rsid w:val="00DF33A9"/>
    <w:rsid w:val="00DF341B"/>
    <w:rsid w:val="00DF37DA"/>
    <w:rsid w:val="00DF39E9"/>
    <w:rsid w:val="00DF3D64"/>
    <w:rsid w:val="00DF3DB7"/>
    <w:rsid w:val="00DF3F25"/>
    <w:rsid w:val="00DF404B"/>
    <w:rsid w:val="00DF431B"/>
    <w:rsid w:val="00DF489C"/>
    <w:rsid w:val="00DF4CFA"/>
    <w:rsid w:val="00DF4F75"/>
    <w:rsid w:val="00DF504E"/>
    <w:rsid w:val="00DF50DC"/>
    <w:rsid w:val="00DF53DD"/>
    <w:rsid w:val="00DF5A9B"/>
    <w:rsid w:val="00DF5C0D"/>
    <w:rsid w:val="00DF62AF"/>
    <w:rsid w:val="00DF6EAD"/>
    <w:rsid w:val="00DF70EE"/>
    <w:rsid w:val="00DF742C"/>
    <w:rsid w:val="00DF74D9"/>
    <w:rsid w:val="00DF7822"/>
    <w:rsid w:val="00DF7CF7"/>
    <w:rsid w:val="00DF7E28"/>
    <w:rsid w:val="00DF7EFB"/>
    <w:rsid w:val="00E00081"/>
    <w:rsid w:val="00E00F7E"/>
    <w:rsid w:val="00E00FA7"/>
    <w:rsid w:val="00E012DE"/>
    <w:rsid w:val="00E01802"/>
    <w:rsid w:val="00E01DC1"/>
    <w:rsid w:val="00E01F5E"/>
    <w:rsid w:val="00E02091"/>
    <w:rsid w:val="00E02653"/>
    <w:rsid w:val="00E03326"/>
    <w:rsid w:val="00E03342"/>
    <w:rsid w:val="00E03585"/>
    <w:rsid w:val="00E0360B"/>
    <w:rsid w:val="00E03A23"/>
    <w:rsid w:val="00E03A96"/>
    <w:rsid w:val="00E03E4B"/>
    <w:rsid w:val="00E03F3D"/>
    <w:rsid w:val="00E04C25"/>
    <w:rsid w:val="00E04D3F"/>
    <w:rsid w:val="00E04E43"/>
    <w:rsid w:val="00E04F4F"/>
    <w:rsid w:val="00E051B1"/>
    <w:rsid w:val="00E05BB6"/>
    <w:rsid w:val="00E05C51"/>
    <w:rsid w:val="00E05D56"/>
    <w:rsid w:val="00E05D7F"/>
    <w:rsid w:val="00E05EC9"/>
    <w:rsid w:val="00E064EB"/>
    <w:rsid w:val="00E06938"/>
    <w:rsid w:val="00E06C21"/>
    <w:rsid w:val="00E06E56"/>
    <w:rsid w:val="00E06EE6"/>
    <w:rsid w:val="00E07352"/>
    <w:rsid w:val="00E07991"/>
    <w:rsid w:val="00E079B8"/>
    <w:rsid w:val="00E07A2A"/>
    <w:rsid w:val="00E07B1B"/>
    <w:rsid w:val="00E07E37"/>
    <w:rsid w:val="00E10308"/>
    <w:rsid w:val="00E105A9"/>
    <w:rsid w:val="00E106FD"/>
    <w:rsid w:val="00E10965"/>
    <w:rsid w:val="00E10DFB"/>
    <w:rsid w:val="00E1106C"/>
    <w:rsid w:val="00E11781"/>
    <w:rsid w:val="00E118E9"/>
    <w:rsid w:val="00E12105"/>
    <w:rsid w:val="00E12285"/>
    <w:rsid w:val="00E122F2"/>
    <w:rsid w:val="00E12303"/>
    <w:rsid w:val="00E12605"/>
    <w:rsid w:val="00E12696"/>
    <w:rsid w:val="00E1279A"/>
    <w:rsid w:val="00E12D8A"/>
    <w:rsid w:val="00E12F46"/>
    <w:rsid w:val="00E13231"/>
    <w:rsid w:val="00E137CA"/>
    <w:rsid w:val="00E13B1A"/>
    <w:rsid w:val="00E15056"/>
    <w:rsid w:val="00E1548C"/>
    <w:rsid w:val="00E15530"/>
    <w:rsid w:val="00E15570"/>
    <w:rsid w:val="00E15743"/>
    <w:rsid w:val="00E1590F"/>
    <w:rsid w:val="00E15A4B"/>
    <w:rsid w:val="00E15BC9"/>
    <w:rsid w:val="00E15C0E"/>
    <w:rsid w:val="00E15CB6"/>
    <w:rsid w:val="00E15CED"/>
    <w:rsid w:val="00E15DB1"/>
    <w:rsid w:val="00E16308"/>
    <w:rsid w:val="00E16C82"/>
    <w:rsid w:val="00E16D84"/>
    <w:rsid w:val="00E17406"/>
    <w:rsid w:val="00E17504"/>
    <w:rsid w:val="00E17552"/>
    <w:rsid w:val="00E17DBC"/>
    <w:rsid w:val="00E17E66"/>
    <w:rsid w:val="00E20009"/>
    <w:rsid w:val="00E20293"/>
    <w:rsid w:val="00E2049F"/>
    <w:rsid w:val="00E20605"/>
    <w:rsid w:val="00E2090F"/>
    <w:rsid w:val="00E20960"/>
    <w:rsid w:val="00E20CBA"/>
    <w:rsid w:val="00E212A3"/>
    <w:rsid w:val="00E21519"/>
    <w:rsid w:val="00E21B03"/>
    <w:rsid w:val="00E21FB3"/>
    <w:rsid w:val="00E22445"/>
    <w:rsid w:val="00E2245E"/>
    <w:rsid w:val="00E2253C"/>
    <w:rsid w:val="00E22659"/>
    <w:rsid w:val="00E22A54"/>
    <w:rsid w:val="00E238F7"/>
    <w:rsid w:val="00E23BCA"/>
    <w:rsid w:val="00E23F8E"/>
    <w:rsid w:val="00E24469"/>
    <w:rsid w:val="00E2461F"/>
    <w:rsid w:val="00E248D9"/>
    <w:rsid w:val="00E24B3E"/>
    <w:rsid w:val="00E24E9A"/>
    <w:rsid w:val="00E250D9"/>
    <w:rsid w:val="00E25951"/>
    <w:rsid w:val="00E259AB"/>
    <w:rsid w:val="00E25B88"/>
    <w:rsid w:val="00E25D6A"/>
    <w:rsid w:val="00E260A3"/>
    <w:rsid w:val="00E26807"/>
    <w:rsid w:val="00E26A5B"/>
    <w:rsid w:val="00E26A71"/>
    <w:rsid w:val="00E26D15"/>
    <w:rsid w:val="00E26E18"/>
    <w:rsid w:val="00E27186"/>
    <w:rsid w:val="00E274E5"/>
    <w:rsid w:val="00E2760E"/>
    <w:rsid w:val="00E278E4"/>
    <w:rsid w:val="00E27DDB"/>
    <w:rsid w:val="00E30494"/>
    <w:rsid w:val="00E30729"/>
    <w:rsid w:val="00E30C16"/>
    <w:rsid w:val="00E31702"/>
    <w:rsid w:val="00E31B75"/>
    <w:rsid w:val="00E3217B"/>
    <w:rsid w:val="00E3242E"/>
    <w:rsid w:val="00E32460"/>
    <w:rsid w:val="00E32681"/>
    <w:rsid w:val="00E327DD"/>
    <w:rsid w:val="00E32CE8"/>
    <w:rsid w:val="00E32D2C"/>
    <w:rsid w:val="00E32FB2"/>
    <w:rsid w:val="00E3303F"/>
    <w:rsid w:val="00E330C9"/>
    <w:rsid w:val="00E3311D"/>
    <w:rsid w:val="00E332A4"/>
    <w:rsid w:val="00E3330E"/>
    <w:rsid w:val="00E3351F"/>
    <w:rsid w:val="00E33695"/>
    <w:rsid w:val="00E33992"/>
    <w:rsid w:val="00E33E23"/>
    <w:rsid w:val="00E33FCA"/>
    <w:rsid w:val="00E34391"/>
    <w:rsid w:val="00E348F4"/>
    <w:rsid w:val="00E3498F"/>
    <w:rsid w:val="00E34CD9"/>
    <w:rsid w:val="00E34F70"/>
    <w:rsid w:val="00E3503D"/>
    <w:rsid w:val="00E3535B"/>
    <w:rsid w:val="00E35A59"/>
    <w:rsid w:val="00E35BEF"/>
    <w:rsid w:val="00E36F74"/>
    <w:rsid w:val="00E3795A"/>
    <w:rsid w:val="00E37965"/>
    <w:rsid w:val="00E3796F"/>
    <w:rsid w:val="00E408AF"/>
    <w:rsid w:val="00E40A0A"/>
    <w:rsid w:val="00E40D1C"/>
    <w:rsid w:val="00E40DAE"/>
    <w:rsid w:val="00E40F62"/>
    <w:rsid w:val="00E416FB"/>
    <w:rsid w:val="00E41F03"/>
    <w:rsid w:val="00E42367"/>
    <w:rsid w:val="00E42679"/>
    <w:rsid w:val="00E42B71"/>
    <w:rsid w:val="00E43249"/>
    <w:rsid w:val="00E43301"/>
    <w:rsid w:val="00E43383"/>
    <w:rsid w:val="00E4351D"/>
    <w:rsid w:val="00E436A2"/>
    <w:rsid w:val="00E436C7"/>
    <w:rsid w:val="00E437A0"/>
    <w:rsid w:val="00E4397D"/>
    <w:rsid w:val="00E4431E"/>
    <w:rsid w:val="00E4461F"/>
    <w:rsid w:val="00E4468A"/>
    <w:rsid w:val="00E44DD7"/>
    <w:rsid w:val="00E45007"/>
    <w:rsid w:val="00E4512D"/>
    <w:rsid w:val="00E458D8"/>
    <w:rsid w:val="00E45928"/>
    <w:rsid w:val="00E45AA8"/>
    <w:rsid w:val="00E46C3F"/>
    <w:rsid w:val="00E46D79"/>
    <w:rsid w:val="00E4706E"/>
    <w:rsid w:val="00E47C86"/>
    <w:rsid w:val="00E5024C"/>
    <w:rsid w:val="00E50390"/>
    <w:rsid w:val="00E50D40"/>
    <w:rsid w:val="00E50E26"/>
    <w:rsid w:val="00E513E6"/>
    <w:rsid w:val="00E518A7"/>
    <w:rsid w:val="00E51D48"/>
    <w:rsid w:val="00E51FCC"/>
    <w:rsid w:val="00E527E8"/>
    <w:rsid w:val="00E529F5"/>
    <w:rsid w:val="00E5356B"/>
    <w:rsid w:val="00E536FF"/>
    <w:rsid w:val="00E537C8"/>
    <w:rsid w:val="00E5392F"/>
    <w:rsid w:val="00E53966"/>
    <w:rsid w:val="00E53A63"/>
    <w:rsid w:val="00E53E00"/>
    <w:rsid w:val="00E53EE1"/>
    <w:rsid w:val="00E54221"/>
    <w:rsid w:val="00E547AD"/>
    <w:rsid w:val="00E549B2"/>
    <w:rsid w:val="00E54C4B"/>
    <w:rsid w:val="00E54E42"/>
    <w:rsid w:val="00E55167"/>
    <w:rsid w:val="00E55549"/>
    <w:rsid w:val="00E55CCB"/>
    <w:rsid w:val="00E55EB3"/>
    <w:rsid w:val="00E55EE7"/>
    <w:rsid w:val="00E5650A"/>
    <w:rsid w:val="00E56574"/>
    <w:rsid w:val="00E5662D"/>
    <w:rsid w:val="00E56659"/>
    <w:rsid w:val="00E56707"/>
    <w:rsid w:val="00E56D6F"/>
    <w:rsid w:val="00E56EC6"/>
    <w:rsid w:val="00E570E5"/>
    <w:rsid w:val="00E574EC"/>
    <w:rsid w:val="00E57A41"/>
    <w:rsid w:val="00E57F9C"/>
    <w:rsid w:val="00E60079"/>
    <w:rsid w:val="00E600C5"/>
    <w:rsid w:val="00E603AF"/>
    <w:rsid w:val="00E60514"/>
    <w:rsid w:val="00E615F9"/>
    <w:rsid w:val="00E6171C"/>
    <w:rsid w:val="00E6193C"/>
    <w:rsid w:val="00E61EED"/>
    <w:rsid w:val="00E624D6"/>
    <w:rsid w:val="00E62BC2"/>
    <w:rsid w:val="00E62C71"/>
    <w:rsid w:val="00E63093"/>
    <w:rsid w:val="00E6321E"/>
    <w:rsid w:val="00E632E4"/>
    <w:rsid w:val="00E632F2"/>
    <w:rsid w:val="00E63A3F"/>
    <w:rsid w:val="00E63BF5"/>
    <w:rsid w:val="00E63DAA"/>
    <w:rsid w:val="00E63F9B"/>
    <w:rsid w:val="00E64AC1"/>
    <w:rsid w:val="00E65008"/>
    <w:rsid w:val="00E6500B"/>
    <w:rsid w:val="00E654DD"/>
    <w:rsid w:val="00E6583D"/>
    <w:rsid w:val="00E65A22"/>
    <w:rsid w:val="00E65C6C"/>
    <w:rsid w:val="00E65E53"/>
    <w:rsid w:val="00E65FE1"/>
    <w:rsid w:val="00E6614F"/>
    <w:rsid w:val="00E66491"/>
    <w:rsid w:val="00E66800"/>
    <w:rsid w:val="00E6688F"/>
    <w:rsid w:val="00E67342"/>
    <w:rsid w:val="00E674BF"/>
    <w:rsid w:val="00E674EA"/>
    <w:rsid w:val="00E67DD1"/>
    <w:rsid w:val="00E7011F"/>
    <w:rsid w:val="00E70D14"/>
    <w:rsid w:val="00E70D47"/>
    <w:rsid w:val="00E7116A"/>
    <w:rsid w:val="00E7172C"/>
    <w:rsid w:val="00E717CF"/>
    <w:rsid w:val="00E71E40"/>
    <w:rsid w:val="00E71FF4"/>
    <w:rsid w:val="00E7221D"/>
    <w:rsid w:val="00E72564"/>
    <w:rsid w:val="00E72790"/>
    <w:rsid w:val="00E72DFB"/>
    <w:rsid w:val="00E72E02"/>
    <w:rsid w:val="00E731B2"/>
    <w:rsid w:val="00E7348C"/>
    <w:rsid w:val="00E736FD"/>
    <w:rsid w:val="00E73C49"/>
    <w:rsid w:val="00E73C70"/>
    <w:rsid w:val="00E73E1F"/>
    <w:rsid w:val="00E73E5E"/>
    <w:rsid w:val="00E73E83"/>
    <w:rsid w:val="00E744FD"/>
    <w:rsid w:val="00E747CB"/>
    <w:rsid w:val="00E7497F"/>
    <w:rsid w:val="00E74F67"/>
    <w:rsid w:val="00E7515F"/>
    <w:rsid w:val="00E755AB"/>
    <w:rsid w:val="00E75A4E"/>
    <w:rsid w:val="00E7615F"/>
    <w:rsid w:val="00E761AF"/>
    <w:rsid w:val="00E763B8"/>
    <w:rsid w:val="00E763FC"/>
    <w:rsid w:val="00E764B1"/>
    <w:rsid w:val="00E766BB"/>
    <w:rsid w:val="00E76AE0"/>
    <w:rsid w:val="00E76D0E"/>
    <w:rsid w:val="00E77710"/>
    <w:rsid w:val="00E806F2"/>
    <w:rsid w:val="00E81A87"/>
    <w:rsid w:val="00E81C41"/>
    <w:rsid w:val="00E827B6"/>
    <w:rsid w:val="00E828AD"/>
    <w:rsid w:val="00E83948"/>
    <w:rsid w:val="00E83CF9"/>
    <w:rsid w:val="00E83FAF"/>
    <w:rsid w:val="00E84548"/>
    <w:rsid w:val="00E84853"/>
    <w:rsid w:val="00E84D15"/>
    <w:rsid w:val="00E86022"/>
    <w:rsid w:val="00E860EC"/>
    <w:rsid w:val="00E86363"/>
    <w:rsid w:val="00E86564"/>
    <w:rsid w:val="00E86ACA"/>
    <w:rsid w:val="00E87869"/>
    <w:rsid w:val="00E87EF9"/>
    <w:rsid w:val="00E90B62"/>
    <w:rsid w:val="00E91B64"/>
    <w:rsid w:val="00E91BC8"/>
    <w:rsid w:val="00E92385"/>
    <w:rsid w:val="00E9260B"/>
    <w:rsid w:val="00E92974"/>
    <w:rsid w:val="00E92F98"/>
    <w:rsid w:val="00E93312"/>
    <w:rsid w:val="00E9331D"/>
    <w:rsid w:val="00E9336F"/>
    <w:rsid w:val="00E93802"/>
    <w:rsid w:val="00E93848"/>
    <w:rsid w:val="00E940B7"/>
    <w:rsid w:val="00E941E9"/>
    <w:rsid w:val="00E94259"/>
    <w:rsid w:val="00E945F5"/>
    <w:rsid w:val="00E94857"/>
    <w:rsid w:val="00E94E37"/>
    <w:rsid w:val="00E95322"/>
    <w:rsid w:val="00E95490"/>
    <w:rsid w:val="00E95EAA"/>
    <w:rsid w:val="00E9606D"/>
    <w:rsid w:val="00E968C1"/>
    <w:rsid w:val="00E970B8"/>
    <w:rsid w:val="00E97197"/>
    <w:rsid w:val="00E971F6"/>
    <w:rsid w:val="00E97893"/>
    <w:rsid w:val="00E97D42"/>
    <w:rsid w:val="00E97D8A"/>
    <w:rsid w:val="00EA0B95"/>
    <w:rsid w:val="00EA0CDD"/>
    <w:rsid w:val="00EA0E54"/>
    <w:rsid w:val="00EA1186"/>
    <w:rsid w:val="00EA12A0"/>
    <w:rsid w:val="00EA158A"/>
    <w:rsid w:val="00EA15E5"/>
    <w:rsid w:val="00EA16F4"/>
    <w:rsid w:val="00EA1769"/>
    <w:rsid w:val="00EA1CE1"/>
    <w:rsid w:val="00EA1DEB"/>
    <w:rsid w:val="00EA22BF"/>
    <w:rsid w:val="00EA239E"/>
    <w:rsid w:val="00EA250E"/>
    <w:rsid w:val="00EA27DA"/>
    <w:rsid w:val="00EA3671"/>
    <w:rsid w:val="00EA3B17"/>
    <w:rsid w:val="00EA3E85"/>
    <w:rsid w:val="00EA3F14"/>
    <w:rsid w:val="00EA4270"/>
    <w:rsid w:val="00EA4870"/>
    <w:rsid w:val="00EA4AFE"/>
    <w:rsid w:val="00EA4BEC"/>
    <w:rsid w:val="00EA4CAA"/>
    <w:rsid w:val="00EA6914"/>
    <w:rsid w:val="00EA6A57"/>
    <w:rsid w:val="00EA6C64"/>
    <w:rsid w:val="00EA70FB"/>
    <w:rsid w:val="00EA7284"/>
    <w:rsid w:val="00EA76F7"/>
    <w:rsid w:val="00EA7E9B"/>
    <w:rsid w:val="00EB02CF"/>
    <w:rsid w:val="00EB0DEA"/>
    <w:rsid w:val="00EB16BB"/>
    <w:rsid w:val="00EB1A03"/>
    <w:rsid w:val="00EB1EB6"/>
    <w:rsid w:val="00EB1F63"/>
    <w:rsid w:val="00EB27BC"/>
    <w:rsid w:val="00EB2A3D"/>
    <w:rsid w:val="00EB31B4"/>
    <w:rsid w:val="00EB333E"/>
    <w:rsid w:val="00EB34C1"/>
    <w:rsid w:val="00EB386F"/>
    <w:rsid w:val="00EB4903"/>
    <w:rsid w:val="00EB4AE1"/>
    <w:rsid w:val="00EB5797"/>
    <w:rsid w:val="00EB59E3"/>
    <w:rsid w:val="00EB6106"/>
    <w:rsid w:val="00EB621D"/>
    <w:rsid w:val="00EB6A32"/>
    <w:rsid w:val="00EB6AB8"/>
    <w:rsid w:val="00EB6C45"/>
    <w:rsid w:val="00EB6E21"/>
    <w:rsid w:val="00EB7E75"/>
    <w:rsid w:val="00EC009F"/>
    <w:rsid w:val="00EC05C9"/>
    <w:rsid w:val="00EC114C"/>
    <w:rsid w:val="00EC150A"/>
    <w:rsid w:val="00EC1F87"/>
    <w:rsid w:val="00EC2212"/>
    <w:rsid w:val="00EC2862"/>
    <w:rsid w:val="00EC2F40"/>
    <w:rsid w:val="00EC2F42"/>
    <w:rsid w:val="00EC32C0"/>
    <w:rsid w:val="00EC33A0"/>
    <w:rsid w:val="00EC370F"/>
    <w:rsid w:val="00EC4262"/>
    <w:rsid w:val="00EC4312"/>
    <w:rsid w:val="00EC43A2"/>
    <w:rsid w:val="00EC45BF"/>
    <w:rsid w:val="00EC4836"/>
    <w:rsid w:val="00EC4C70"/>
    <w:rsid w:val="00EC5088"/>
    <w:rsid w:val="00EC50C6"/>
    <w:rsid w:val="00EC5C7C"/>
    <w:rsid w:val="00EC6617"/>
    <w:rsid w:val="00EC6C78"/>
    <w:rsid w:val="00EC6DF2"/>
    <w:rsid w:val="00EC6DFF"/>
    <w:rsid w:val="00EC74AB"/>
    <w:rsid w:val="00EC7601"/>
    <w:rsid w:val="00EC76B5"/>
    <w:rsid w:val="00EC7728"/>
    <w:rsid w:val="00EC7798"/>
    <w:rsid w:val="00EC78A3"/>
    <w:rsid w:val="00EC7A30"/>
    <w:rsid w:val="00EC7B97"/>
    <w:rsid w:val="00EC7CB1"/>
    <w:rsid w:val="00EC7FC8"/>
    <w:rsid w:val="00EC7FD5"/>
    <w:rsid w:val="00ED0037"/>
    <w:rsid w:val="00ED02E3"/>
    <w:rsid w:val="00ED0451"/>
    <w:rsid w:val="00ED06B0"/>
    <w:rsid w:val="00ED0BEF"/>
    <w:rsid w:val="00ED15C1"/>
    <w:rsid w:val="00ED1629"/>
    <w:rsid w:val="00ED1BA8"/>
    <w:rsid w:val="00ED1E1E"/>
    <w:rsid w:val="00ED2060"/>
    <w:rsid w:val="00ED2599"/>
    <w:rsid w:val="00ED265E"/>
    <w:rsid w:val="00ED410E"/>
    <w:rsid w:val="00ED42C8"/>
    <w:rsid w:val="00ED478A"/>
    <w:rsid w:val="00ED4B89"/>
    <w:rsid w:val="00ED4D64"/>
    <w:rsid w:val="00ED51C6"/>
    <w:rsid w:val="00ED52CF"/>
    <w:rsid w:val="00ED5586"/>
    <w:rsid w:val="00ED5CE8"/>
    <w:rsid w:val="00ED5E38"/>
    <w:rsid w:val="00ED7958"/>
    <w:rsid w:val="00ED7C10"/>
    <w:rsid w:val="00EE03C1"/>
    <w:rsid w:val="00EE0527"/>
    <w:rsid w:val="00EE0819"/>
    <w:rsid w:val="00EE0AC8"/>
    <w:rsid w:val="00EE0CC4"/>
    <w:rsid w:val="00EE13C8"/>
    <w:rsid w:val="00EE1678"/>
    <w:rsid w:val="00EE177E"/>
    <w:rsid w:val="00EE1CC8"/>
    <w:rsid w:val="00EE1E9D"/>
    <w:rsid w:val="00EE1F0C"/>
    <w:rsid w:val="00EE1FB4"/>
    <w:rsid w:val="00EE20F5"/>
    <w:rsid w:val="00EE2398"/>
    <w:rsid w:val="00EE23B0"/>
    <w:rsid w:val="00EE2D5C"/>
    <w:rsid w:val="00EE2E2C"/>
    <w:rsid w:val="00EE2EAB"/>
    <w:rsid w:val="00EE362A"/>
    <w:rsid w:val="00EE4490"/>
    <w:rsid w:val="00EE4C2D"/>
    <w:rsid w:val="00EE4EEF"/>
    <w:rsid w:val="00EE5329"/>
    <w:rsid w:val="00EE5517"/>
    <w:rsid w:val="00EE5979"/>
    <w:rsid w:val="00EE59B4"/>
    <w:rsid w:val="00EE5A29"/>
    <w:rsid w:val="00EE5BB3"/>
    <w:rsid w:val="00EE626A"/>
    <w:rsid w:val="00EE63A9"/>
    <w:rsid w:val="00EE650B"/>
    <w:rsid w:val="00EE6779"/>
    <w:rsid w:val="00EE6832"/>
    <w:rsid w:val="00EE6A5C"/>
    <w:rsid w:val="00EE6AD8"/>
    <w:rsid w:val="00EE6B7D"/>
    <w:rsid w:val="00EE6E27"/>
    <w:rsid w:val="00EE738F"/>
    <w:rsid w:val="00EE77F1"/>
    <w:rsid w:val="00EE7C55"/>
    <w:rsid w:val="00EE7DF2"/>
    <w:rsid w:val="00EF028D"/>
    <w:rsid w:val="00EF1755"/>
    <w:rsid w:val="00EF1CBB"/>
    <w:rsid w:val="00EF230C"/>
    <w:rsid w:val="00EF27B4"/>
    <w:rsid w:val="00EF2E1F"/>
    <w:rsid w:val="00EF2EB4"/>
    <w:rsid w:val="00EF3546"/>
    <w:rsid w:val="00EF36C3"/>
    <w:rsid w:val="00EF3D58"/>
    <w:rsid w:val="00EF492E"/>
    <w:rsid w:val="00EF4D96"/>
    <w:rsid w:val="00EF4FF0"/>
    <w:rsid w:val="00EF5491"/>
    <w:rsid w:val="00EF5BCE"/>
    <w:rsid w:val="00EF5F88"/>
    <w:rsid w:val="00EF6372"/>
    <w:rsid w:val="00EF6858"/>
    <w:rsid w:val="00EF6E2D"/>
    <w:rsid w:val="00EF7063"/>
    <w:rsid w:val="00EF7084"/>
    <w:rsid w:val="00EF70DC"/>
    <w:rsid w:val="00EF7109"/>
    <w:rsid w:val="00EF73AA"/>
    <w:rsid w:val="00EF7B7B"/>
    <w:rsid w:val="00EF7F4E"/>
    <w:rsid w:val="00F001D5"/>
    <w:rsid w:val="00F01C37"/>
    <w:rsid w:val="00F02037"/>
    <w:rsid w:val="00F02412"/>
    <w:rsid w:val="00F028A9"/>
    <w:rsid w:val="00F029F7"/>
    <w:rsid w:val="00F02ABB"/>
    <w:rsid w:val="00F02DBC"/>
    <w:rsid w:val="00F03245"/>
    <w:rsid w:val="00F0364B"/>
    <w:rsid w:val="00F038AB"/>
    <w:rsid w:val="00F0392F"/>
    <w:rsid w:val="00F03B39"/>
    <w:rsid w:val="00F03C15"/>
    <w:rsid w:val="00F03D62"/>
    <w:rsid w:val="00F04052"/>
    <w:rsid w:val="00F040C3"/>
    <w:rsid w:val="00F04FED"/>
    <w:rsid w:val="00F054DD"/>
    <w:rsid w:val="00F05C32"/>
    <w:rsid w:val="00F05F55"/>
    <w:rsid w:val="00F063E0"/>
    <w:rsid w:val="00F06673"/>
    <w:rsid w:val="00F066FE"/>
    <w:rsid w:val="00F06700"/>
    <w:rsid w:val="00F0681D"/>
    <w:rsid w:val="00F06961"/>
    <w:rsid w:val="00F06E6D"/>
    <w:rsid w:val="00F07380"/>
    <w:rsid w:val="00F077B6"/>
    <w:rsid w:val="00F07B1E"/>
    <w:rsid w:val="00F07FCF"/>
    <w:rsid w:val="00F101AA"/>
    <w:rsid w:val="00F1066F"/>
    <w:rsid w:val="00F10734"/>
    <w:rsid w:val="00F10794"/>
    <w:rsid w:val="00F10A0E"/>
    <w:rsid w:val="00F10CC2"/>
    <w:rsid w:val="00F10E97"/>
    <w:rsid w:val="00F10FFB"/>
    <w:rsid w:val="00F112F1"/>
    <w:rsid w:val="00F120F4"/>
    <w:rsid w:val="00F128D8"/>
    <w:rsid w:val="00F131A7"/>
    <w:rsid w:val="00F1350A"/>
    <w:rsid w:val="00F13744"/>
    <w:rsid w:val="00F13999"/>
    <w:rsid w:val="00F13D43"/>
    <w:rsid w:val="00F1415F"/>
    <w:rsid w:val="00F14201"/>
    <w:rsid w:val="00F149F5"/>
    <w:rsid w:val="00F1508C"/>
    <w:rsid w:val="00F15399"/>
    <w:rsid w:val="00F1578E"/>
    <w:rsid w:val="00F15944"/>
    <w:rsid w:val="00F16064"/>
    <w:rsid w:val="00F17136"/>
    <w:rsid w:val="00F1795A"/>
    <w:rsid w:val="00F17E7A"/>
    <w:rsid w:val="00F20763"/>
    <w:rsid w:val="00F20900"/>
    <w:rsid w:val="00F20975"/>
    <w:rsid w:val="00F211FE"/>
    <w:rsid w:val="00F2123C"/>
    <w:rsid w:val="00F218E5"/>
    <w:rsid w:val="00F219C9"/>
    <w:rsid w:val="00F22421"/>
    <w:rsid w:val="00F2254C"/>
    <w:rsid w:val="00F22600"/>
    <w:rsid w:val="00F227C8"/>
    <w:rsid w:val="00F22C6F"/>
    <w:rsid w:val="00F230E7"/>
    <w:rsid w:val="00F232FF"/>
    <w:rsid w:val="00F23C22"/>
    <w:rsid w:val="00F23CB7"/>
    <w:rsid w:val="00F241FE"/>
    <w:rsid w:val="00F243FB"/>
    <w:rsid w:val="00F24536"/>
    <w:rsid w:val="00F24674"/>
    <w:rsid w:val="00F246B3"/>
    <w:rsid w:val="00F24A3C"/>
    <w:rsid w:val="00F251DA"/>
    <w:rsid w:val="00F252DE"/>
    <w:rsid w:val="00F257B5"/>
    <w:rsid w:val="00F2636D"/>
    <w:rsid w:val="00F26802"/>
    <w:rsid w:val="00F2720E"/>
    <w:rsid w:val="00F27313"/>
    <w:rsid w:val="00F2776D"/>
    <w:rsid w:val="00F27826"/>
    <w:rsid w:val="00F278DC"/>
    <w:rsid w:val="00F278E4"/>
    <w:rsid w:val="00F27AFD"/>
    <w:rsid w:val="00F27C4A"/>
    <w:rsid w:val="00F300BB"/>
    <w:rsid w:val="00F305D0"/>
    <w:rsid w:val="00F306B3"/>
    <w:rsid w:val="00F30F2A"/>
    <w:rsid w:val="00F3116D"/>
    <w:rsid w:val="00F3166B"/>
    <w:rsid w:val="00F31876"/>
    <w:rsid w:val="00F326E0"/>
    <w:rsid w:val="00F33309"/>
    <w:rsid w:val="00F33C48"/>
    <w:rsid w:val="00F341AB"/>
    <w:rsid w:val="00F346E6"/>
    <w:rsid w:val="00F35B0D"/>
    <w:rsid w:val="00F35E01"/>
    <w:rsid w:val="00F36218"/>
    <w:rsid w:val="00F3693F"/>
    <w:rsid w:val="00F36BF9"/>
    <w:rsid w:val="00F36C70"/>
    <w:rsid w:val="00F37326"/>
    <w:rsid w:val="00F376FF"/>
    <w:rsid w:val="00F37973"/>
    <w:rsid w:val="00F37C32"/>
    <w:rsid w:val="00F37FB8"/>
    <w:rsid w:val="00F40158"/>
    <w:rsid w:val="00F4082C"/>
    <w:rsid w:val="00F40848"/>
    <w:rsid w:val="00F40864"/>
    <w:rsid w:val="00F40BA3"/>
    <w:rsid w:val="00F40BED"/>
    <w:rsid w:val="00F40E50"/>
    <w:rsid w:val="00F40F83"/>
    <w:rsid w:val="00F41189"/>
    <w:rsid w:val="00F4214F"/>
    <w:rsid w:val="00F424A5"/>
    <w:rsid w:val="00F424CA"/>
    <w:rsid w:val="00F42A6B"/>
    <w:rsid w:val="00F42AAB"/>
    <w:rsid w:val="00F42D3E"/>
    <w:rsid w:val="00F42F6B"/>
    <w:rsid w:val="00F43654"/>
    <w:rsid w:val="00F43AAB"/>
    <w:rsid w:val="00F4446D"/>
    <w:rsid w:val="00F44895"/>
    <w:rsid w:val="00F44FF5"/>
    <w:rsid w:val="00F4509B"/>
    <w:rsid w:val="00F45D98"/>
    <w:rsid w:val="00F4639A"/>
    <w:rsid w:val="00F4652A"/>
    <w:rsid w:val="00F46938"/>
    <w:rsid w:val="00F46E99"/>
    <w:rsid w:val="00F47835"/>
    <w:rsid w:val="00F4796A"/>
    <w:rsid w:val="00F50585"/>
    <w:rsid w:val="00F50BA1"/>
    <w:rsid w:val="00F50C85"/>
    <w:rsid w:val="00F50D75"/>
    <w:rsid w:val="00F5130D"/>
    <w:rsid w:val="00F515CF"/>
    <w:rsid w:val="00F516C9"/>
    <w:rsid w:val="00F516E3"/>
    <w:rsid w:val="00F51C03"/>
    <w:rsid w:val="00F51C0F"/>
    <w:rsid w:val="00F522BD"/>
    <w:rsid w:val="00F5349D"/>
    <w:rsid w:val="00F545C4"/>
    <w:rsid w:val="00F54832"/>
    <w:rsid w:val="00F54A18"/>
    <w:rsid w:val="00F5503B"/>
    <w:rsid w:val="00F5686D"/>
    <w:rsid w:val="00F5687C"/>
    <w:rsid w:val="00F56945"/>
    <w:rsid w:val="00F56AE2"/>
    <w:rsid w:val="00F56B15"/>
    <w:rsid w:val="00F56C12"/>
    <w:rsid w:val="00F57324"/>
    <w:rsid w:val="00F57589"/>
    <w:rsid w:val="00F57632"/>
    <w:rsid w:val="00F57885"/>
    <w:rsid w:val="00F57D51"/>
    <w:rsid w:val="00F57E79"/>
    <w:rsid w:val="00F60654"/>
    <w:rsid w:val="00F606CD"/>
    <w:rsid w:val="00F60E3F"/>
    <w:rsid w:val="00F61274"/>
    <w:rsid w:val="00F6175C"/>
    <w:rsid w:val="00F61B16"/>
    <w:rsid w:val="00F61F1A"/>
    <w:rsid w:val="00F62326"/>
    <w:rsid w:val="00F6235D"/>
    <w:rsid w:val="00F627AC"/>
    <w:rsid w:val="00F62E6C"/>
    <w:rsid w:val="00F62F28"/>
    <w:rsid w:val="00F62F43"/>
    <w:rsid w:val="00F6334C"/>
    <w:rsid w:val="00F633C9"/>
    <w:rsid w:val="00F63A07"/>
    <w:rsid w:val="00F63B57"/>
    <w:rsid w:val="00F642DC"/>
    <w:rsid w:val="00F642E0"/>
    <w:rsid w:val="00F6443E"/>
    <w:rsid w:val="00F6488A"/>
    <w:rsid w:val="00F648C1"/>
    <w:rsid w:val="00F64B77"/>
    <w:rsid w:val="00F64BFF"/>
    <w:rsid w:val="00F64E0E"/>
    <w:rsid w:val="00F64E8B"/>
    <w:rsid w:val="00F6540E"/>
    <w:rsid w:val="00F65C89"/>
    <w:rsid w:val="00F65DA2"/>
    <w:rsid w:val="00F66144"/>
    <w:rsid w:val="00F6632E"/>
    <w:rsid w:val="00F664E9"/>
    <w:rsid w:val="00F6651E"/>
    <w:rsid w:val="00F667C1"/>
    <w:rsid w:val="00F66BED"/>
    <w:rsid w:val="00F66CF0"/>
    <w:rsid w:val="00F66EAC"/>
    <w:rsid w:val="00F6713F"/>
    <w:rsid w:val="00F677F7"/>
    <w:rsid w:val="00F678B6"/>
    <w:rsid w:val="00F679CC"/>
    <w:rsid w:val="00F67B5B"/>
    <w:rsid w:val="00F67E87"/>
    <w:rsid w:val="00F700EE"/>
    <w:rsid w:val="00F71220"/>
    <w:rsid w:val="00F712BF"/>
    <w:rsid w:val="00F7170B"/>
    <w:rsid w:val="00F71762"/>
    <w:rsid w:val="00F71D10"/>
    <w:rsid w:val="00F71E9E"/>
    <w:rsid w:val="00F72A98"/>
    <w:rsid w:val="00F73639"/>
    <w:rsid w:val="00F737AB"/>
    <w:rsid w:val="00F74B51"/>
    <w:rsid w:val="00F75EC0"/>
    <w:rsid w:val="00F75FB5"/>
    <w:rsid w:val="00F7620C"/>
    <w:rsid w:val="00F763AE"/>
    <w:rsid w:val="00F76486"/>
    <w:rsid w:val="00F768AF"/>
    <w:rsid w:val="00F76B90"/>
    <w:rsid w:val="00F772D3"/>
    <w:rsid w:val="00F77B00"/>
    <w:rsid w:val="00F77C9D"/>
    <w:rsid w:val="00F8010A"/>
    <w:rsid w:val="00F80800"/>
    <w:rsid w:val="00F80968"/>
    <w:rsid w:val="00F80C41"/>
    <w:rsid w:val="00F80CA6"/>
    <w:rsid w:val="00F80E7F"/>
    <w:rsid w:val="00F81362"/>
    <w:rsid w:val="00F81681"/>
    <w:rsid w:val="00F8189C"/>
    <w:rsid w:val="00F824BD"/>
    <w:rsid w:val="00F82615"/>
    <w:rsid w:val="00F82756"/>
    <w:rsid w:val="00F827D3"/>
    <w:rsid w:val="00F830E6"/>
    <w:rsid w:val="00F83C01"/>
    <w:rsid w:val="00F83D92"/>
    <w:rsid w:val="00F83DD6"/>
    <w:rsid w:val="00F83E6C"/>
    <w:rsid w:val="00F84461"/>
    <w:rsid w:val="00F84AC7"/>
    <w:rsid w:val="00F84C3F"/>
    <w:rsid w:val="00F84C7A"/>
    <w:rsid w:val="00F85063"/>
    <w:rsid w:val="00F8522B"/>
    <w:rsid w:val="00F854EE"/>
    <w:rsid w:val="00F859EE"/>
    <w:rsid w:val="00F85AA3"/>
    <w:rsid w:val="00F85B03"/>
    <w:rsid w:val="00F860F9"/>
    <w:rsid w:val="00F86117"/>
    <w:rsid w:val="00F86334"/>
    <w:rsid w:val="00F8648F"/>
    <w:rsid w:val="00F86A4A"/>
    <w:rsid w:val="00F8702A"/>
    <w:rsid w:val="00F87221"/>
    <w:rsid w:val="00F8744E"/>
    <w:rsid w:val="00F8781B"/>
    <w:rsid w:val="00F87B96"/>
    <w:rsid w:val="00F905A2"/>
    <w:rsid w:val="00F9082F"/>
    <w:rsid w:val="00F90897"/>
    <w:rsid w:val="00F90917"/>
    <w:rsid w:val="00F90EFD"/>
    <w:rsid w:val="00F9128C"/>
    <w:rsid w:val="00F91353"/>
    <w:rsid w:val="00F92299"/>
    <w:rsid w:val="00F9264D"/>
    <w:rsid w:val="00F926E2"/>
    <w:rsid w:val="00F928A9"/>
    <w:rsid w:val="00F928C5"/>
    <w:rsid w:val="00F92AA4"/>
    <w:rsid w:val="00F92F84"/>
    <w:rsid w:val="00F940A8"/>
    <w:rsid w:val="00F95248"/>
    <w:rsid w:val="00F952C5"/>
    <w:rsid w:val="00F954E7"/>
    <w:rsid w:val="00F95907"/>
    <w:rsid w:val="00F9623F"/>
    <w:rsid w:val="00F963A4"/>
    <w:rsid w:val="00F9668E"/>
    <w:rsid w:val="00F9684A"/>
    <w:rsid w:val="00F96AEF"/>
    <w:rsid w:val="00F96B54"/>
    <w:rsid w:val="00F96D88"/>
    <w:rsid w:val="00F96ED9"/>
    <w:rsid w:val="00F96F05"/>
    <w:rsid w:val="00F97232"/>
    <w:rsid w:val="00F97360"/>
    <w:rsid w:val="00F97420"/>
    <w:rsid w:val="00F97602"/>
    <w:rsid w:val="00F97619"/>
    <w:rsid w:val="00F97893"/>
    <w:rsid w:val="00F97B46"/>
    <w:rsid w:val="00F97CF3"/>
    <w:rsid w:val="00F97E6B"/>
    <w:rsid w:val="00FA00CC"/>
    <w:rsid w:val="00FA04D4"/>
    <w:rsid w:val="00FA0550"/>
    <w:rsid w:val="00FA0825"/>
    <w:rsid w:val="00FA08AD"/>
    <w:rsid w:val="00FA118F"/>
    <w:rsid w:val="00FA1197"/>
    <w:rsid w:val="00FA134B"/>
    <w:rsid w:val="00FA1452"/>
    <w:rsid w:val="00FA21C6"/>
    <w:rsid w:val="00FA2222"/>
    <w:rsid w:val="00FA2AFC"/>
    <w:rsid w:val="00FA2D9D"/>
    <w:rsid w:val="00FA2F27"/>
    <w:rsid w:val="00FA38A7"/>
    <w:rsid w:val="00FA3A59"/>
    <w:rsid w:val="00FA3B47"/>
    <w:rsid w:val="00FA4150"/>
    <w:rsid w:val="00FA4311"/>
    <w:rsid w:val="00FA4524"/>
    <w:rsid w:val="00FA50C5"/>
    <w:rsid w:val="00FA5766"/>
    <w:rsid w:val="00FA5FDE"/>
    <w:rsid w:val="00FA6195"/>
    <w:rsid w:val="00FA627C"/>
    <w:rsid w:val="00FA66A2"/>
    <w:rsid w:val="00FA716C"/>
    <w:rsid w:val="00FA7B6C"/>
    <w:rsid w:val="00FA7D7D"/>
    <w:rsid w:val="00FA7DA5"/>
    <w:rsid w:val="00FB0281"/>
    <w:rsid w:val="00FB036E"/>
    <w:rsid w:val="00FB0559"/>
    <w:rsid w:val="00FB0873"/>
    <w:rsid w:val="00FB17CF"/>
    <w:rsid w:val="00FB18B1"/>
    <w:rsid w:val="00FB1D2E"/>
    <w:rsid w:val="00FB1F09"/>
    <w:rsid w:val="00FB2089"/>
    <w:rsid w:val="00FB275D"/>
    <w:rsid w:val="00FB2F48"/>
    <w:rsid w:val="00FB30D5"/>
    <w:rsid w:val="00FB3159"/>
    <w:rsid w:val="00FB37F4"/>
    <w:rsid w:val="00FB3899"/>
    <w:rsid w:val="00FB45FA"/>
    <w:rsid w:val="00FB53C8"/>
    <w:rsid w:val="00FB54AC"/>
    <w:rsid w:val="00FB5AC6"/>
    <w:rsid w:val="00FB5DC6"/>
    <w:rsid w:val="00FB620D"/>
    <w:rsid w:val="00FB66EA"/>
    <w:rsid w:val="00FB6971"/>
    <w:rsid w:val="00FB6A83"/>
    <w:rsid w:val="00FB6B3B"/>
    <w:rsid w:val="00FB6EBB"/>
    <w:rsid w:val="00FB6F67"/>
    <w:rsid w:val="00FB7AB2"/>
    <w:rsid w:val="00FC016E"/>
    <w:rsid w:val="00FC02CA"/>
    <w:rsid w:val="00FC0508"/>
    <w:rsid w:val="00FC07A3"/>
    <w:rsid w:val="00FC08FA"/>
    <w:rsid w:val="00FC0AD7"/>
    <w:rsid w:val="00FC10DE"/>
    <w:rsid w:val="00FC1A09"/>
    <w:rsid w:val="00FC1DF3"/>
    <w:rsid w:val="00FC1F3D"/>
    <w:rsid w:val="00FC21D5"/>
    <w:rsid w:val="00FC28D1"/>
    <w:rsid w:val="00FC2B15"/>
    <w:rsid w:val="00FC2D4E"/>
    <w:rsid w:val="00FC2D5F"/>
    <w:rsid w:val="00FC2FC8"/>
    <w:rsid w:val="00FC35EA"/>
    <w:rsid w:val="00FC460B"/>
    <w:rsid w:val="00FC4737"/>
    <w:rsid w:val="00FC4E18"/>
    <w:rsid w:val="00FC4F03"/>
    <w:rsid w:val="00FC52D1"/>
    <w:rsid w:val="00FC5603"/>
    <w:rsid w:val="00FC7167"/>
    <w:rsid w:val="00FC7899"/>
    <w:rsid w:val="00FD02DA"/>
    <w:rsid w:val="00FD09FC"/>
    <w:rsid w:val="00FD0B28"/>
    <w:rsid w:val="00FD0B3D"/>
    <w:rsid w:val="00FD0B4A"/>
    <w:rsid w:val="00FD0CA1"/>
    <w:rsid w:val="00FD0DF6"/>
    <w:rsid w:val="00FD1090"/>
    <w:rsid w:val="00FD1377"/>
    <w:rsid w:val="00FD13BE"/>
    <w:rsid w:val="00FD16FC"/>
    <w:rsid w:val="00FD17BA"/>
    <w:rsid w:val="00FD1850"/>
    <w:rsid w:val="00FD1D07"/>
    <w:rsid w:val="00FD1E3F"/>
    <w:rsid w:val="00FD1FEB"/>
    <w:rsid w:val="00FD2296"/>
    <w:rsid w:val="00FD2AEC"/>
    <w:rsid w:val="00FD2C9D"/>
    <w:rsid w:val="00FD2F74"/>
    <w:rsid w:val="00FD3B94"/>
    <w:rsid w:val="00FD3BF4"/>
    <w:rsid w:val="00FD3E74"/>
    <w:rsid w:val="00FD40DD"/>
    <w:rsid w:val="00FD435E"/>
    <w:rsid w:val="00FD43B3"/>
    <w:rsid w:val="00FD46FC"/>
    <w:rsid w:val="00FD46FE"/>
    <w:rsid w:val="00FD4B86"/>
    <w:rsid w:val="00FD55A3"/>
    <w:rsid w:val="00FD5C61"/>
    <w:rsid w:val="00FD6295"/>
    <w:rsid w:val="00FD6616"/>
    <w:rsid w:val="00FD69CE"/>
    <w:rsid w:val="00FD70A5"/>
    <w:rsid w:val="00FD7393"/>
    <w:rsid w:val="00FD7515"/>
    <w:rsid w:val="00FD7938"/>
    <w:rsid w:val="00FD79CC"/>
    <w:rsid w:val="00FD7F1E"/>
    <w:rsid w:val="00FD7FB8"/>
    <w:rsid w:val="00FE0856"/>
    <w:rsid w:val="00FE0C55"/>
    <w:rsid w:val="00FE0E88"/>
    <w:rsid w:val="00FE1118"/>
    <w:rsid w:val="00FE1412"/>
    <w:rsid w:val="00FE141A"/>
    <w:rsid w:val="00FE15B6"/>
    <w:rsid w:val="00FE218F"/>
    <w:rsid w:val="00FE2494"/>
    <w:rsid w:val="00FE28E6"/>
    <w:rsid w:val="00FE295F"/>
    <w:rsid w:val="00FE29C7"/>
    <w:rsid w:val="00FE2B37"/>
    <w:rsid w:val="00FE2E9A"/>
    <w:rsid w:val="00FE3504"/>
    <w:rsid w:val="00FE3761"/>
    <w:rsid w:val="00FE3BFB"/>
    <w:rsid w:val="00FE3D0E"/>
    <w:rsid w:val="00FE40E5"/>
    <w:rsid w:val="00FE4739"/>
    <w:rsid w:val="00FE4DB2"/>
    <w:rsid w:val="00FE5F40"/>
    <w:rsid w:val="00FE5F78"/>
    <w:rsid w:val="00FE62D5"/>
    <w:rsid w:val="00FE681D"/>
    <w:rsid w:val="00FE6CD2"/>
    <w:rsid w:val="00FE74DF"/>
    <w:rsid w:val="00FE75F2"/>
    <w:rsid w:val="00FE7938"/>
    <w:rsid w:val="00FE7D0D"/>
    <w:rsid w:val="00FE7FDE"/>
    <w:rsid w:val="00FF0086"/>
    <w:rsid w:val="00FF01CC"/>
    <w:rsid w:val="00FF04CA"/>
    <w:rsid w:val="00FF0DBD"/>
    <w:rsid w:val="00FF0F71"/>
    <w:rsid w:val="00FF14AB"/>
    <w:rsid w:val="00FF14B9"/>
    <w:rsid w:val="00FF1A29"/>
    <w:rsid w:val="00FF1CA0"/>
    <w:rsid w:val="00FF2100"/>
    <w:rsid w:val="00FF212B"/>
    <w:rsid w:val="00FF2AB1"/>
    <w:rsid w:val="00FF2D35"/>
    <w:rsid w:val="00FF30BE"/>
    <w:rsid w:val="00FF33BB"/>
    <w:rsid w:val="00FF3762"/>
    <w:rsid w:val="00FF3A07"/>
    <w:rsid w:val="00FF3F4F"/>
    <w:rsid w:val="00FF3FEA"/>
    <w:rsid w:val="00FF457A"/>
    <w:rsid w:val="00FF4765"/>
    <w:rsid w:val="00FF4C68"/>
    <w:rsid w:val="00FF4D79"/>
    <w:rsid w:val="00FF566B"/>
    <w:rsid w:val="00FF574B"/>
    <w:rsid w:val="00FF57EA"/>
    <w:rsid w:val="00FF5909"/>
    <w:rsid w:val="00FF5C38"/>
    <w:rsid w:val="00FF5C74"/>
    <w:rsid w:val="00FF5DA5"/>
    <w:rsid w:val="00FF6B17"/>
    <w:rsid w:val="00FF6B43"/>
    <w:rsid w:val="00FF6BA8"/>
    <w:rsid w:val="00FF6CD5"/>
    <w:rsid w:val="00FF6DC4"/>
    <w:rsid w:val="00FF6E12"/>
    <w:rsid w:val="00FF6FD2"/>
    <w:rsid w:val="00FF73A7"/>
    <w:rsid w:val="00FF73EF"/>
    <w:rsid w:val="00FF7D6D"/>
    <w:rsid w:val="010DFECE"/>
    <w:rsid w:val="0113F56F"/>
    <w:rsid w:val="014DA7FA"/>
    <w:rsid w:val="015CE162"/>
    <w:rsid w:val="016A6AD7"/>
    <w:rsid w:val="017B7757"/>
    <w:rsid w:val="017B7F51"/>
    <w:rsid w:val="017B8FD6"/>
    <w:rsid w:val="0182D3DA"/>
    <w:rsid w:val="0194AE30"/>
    <w:rsid w:val="01983CEB"/>
    <w:rsid w:val="01CAC082"/>
    <w:rsid w:val="01DA855F"/>
    <w:rsid w:val="01DC2474"/>
    <w:rsid w:val="01F11782"/>
    <w:rsid w:val="02001DBC"/>
    <w:rsid w:val="020414E5"/>
    <w:rsid w:val="02214466"/>
    <w:rsid w:val="0233738A"/>
    <w:rsid w:val="023C68F0"/>
    <w:rsid w:val="024D5397"/>
    <w:rsid w:val="025720E7"/>
    <w:rsid w:val="02AC1462"/>
    <w:rsid w:val="02AF08E6"/>
    <w:rsid w:val="02B16478"/>
    <w:rsid w:val="02D9D84F"/>
    <w:rsid w:val="02E191EE"/>
    <w:rsid w:val="02EBAE6A"/>
    <w:rsid w:val="02F43CCD"/>
    <w:rsid w:val="02F72799"/>
    <w:rsid w:val="02F8EBCF"/>
    <w:rsid w:val="02FBC913"/>
    <w:rsid w:val="02FE119B"/>
    <w:rsid w:val="0302D351"/>
    <w:rsid w:val="0305DD70"/>
    <w:rsid w:val="030699E8"/>
    <w:rsid w:val="030DF6CE"/>
    <w:rsid w:val="0333A3E1"/>
    <w:rsid w:val="035CD33F"/>
    <w:rsid w:val="03615528"/>
    <w:rsid w:val="037070EF"/>
    <w:rsid w:val="039809DA"/>
    <w:rsid w:val="039982A1"/>
    <w:rsid w:val="03A75411"/>
    <w:rsid w:val="03BC5A2C"/>
    <w:rsid w:val="03BFE698"/>
    <w:rsid w:val="03ED15A4"/>
    <w:rsid w:val="040EDAD0"/>
    <w:rsid w:val="040F31E9"/>
    <w:rsid w:val="041DF954"/>
    <w:rsid w:val="042F05F4"/>
    <w:rsid w:val="045FCC5C"/>
    <w:rsid w:val="04608980"/>
    <w:rsid w:val="0460DAD4"/>
    <w:rsid w:val="04659DC1"/>
    <w:rsid w:val="0466A991"/>
    <w:rsid w:val="04706D38"/>
    <w:rsid w:val="04AC9B76"/>
    <w:rsid w:val="04B39DE9"/>
    <w:rsid w:val="04D8CCC7"/>
    <w:rsid w:val="04FC0F80"/>
    <w:rsid w:val="0507AE26"/>
    <w:rsid w:val="050C0D7F"/>
    <w:rsid w:val="050CFF7B"/>
    <w:rsid w:val="05113431"/>
    <w:rsid w:val="05372844"/>
    <w:rsid w:val="055A73DF"/>
    <w:rsid w:val="055EF8CB"/>
    <w:rsid w:val="05714CBD"/>
    <w:rsid w:val="05925AAB"/>
    <w:rsid w:val="059B24AE"/>
    <w:rsid w:val="05A266BA"/>
    <w:rsid w:val="05AC59A2"/>
    <w:rsid w:val="05B6AC16"/>
    <w:rsid w:val="05C06C88"/>
    <w:rsid w:val="05D2F55D"/>
    <w:rsid w:val="05DE3073"/>
    <w:rsid w:val="05F97489"/>
    <w:rsid w:val="05FD43EE"/>
    <w:rsid w:val="062F6953"/>
    <w:rsid w:val="0655BD1E"/>
    <w:rsid w:val="06569C42"/>
    <w:rsid w:val="06654C01"/>
    <w:rsid w:val="0694658E"/>
    <w:rsid w:val="069A3937"/>
    <w:rsid w:val="06C799BC"/>
    <w:rsid w:val="06CC964C"/>
    <w:rsid w:val="06E44878"/>
    <w:rsid w:val="06E806BA"/>
    <w:rsid w:val="06F0CD70"/>
    <w:rsid w:val="06F44F04"/>
    <w:rsid w:val="07403F33"/>
    <w:rsid w:val="074E3C32"/>
    <w:rsid w:val="074EBCF1"/>
    <w:rsid w:val="078BD7FE"/>
    <w:rsid w:val="07926260"/>
    <w:rsid w:val="0792B531"/>
    <w:rsid w:val="079C61FB"/>
    <w:rsid w:val="07BF4286"/>
    <w:rsid w:val="07D48FE3"/>
    <w:rsid w:val="07F880C2"/>
    <w:rsid w:val="07FEDC21"/>
    <w:rsid w:val="080C8CA5"/>
    <w:rsid w:val="081E00DB"/>
    <w:rsid w:val="08219B71"/>
    <w:rsid w:val="08371AAE"/>
    <w:rsid w:val="083A8643"/>
    <w:rsid w:val="083FAD7B"/>
    <w:rsid w:val="08538DF8"/>
    <w:rsid w:val="08660E66"/>
    <w:rsid w:val="08693002"/>
    <w:rsid w:val="0874DABB"/>
    <w:rsid w:val="08752A15"/>
    <w:rsid w:val="08885841"/>
    <w:rsid w:val="0899E18D"/>
    <w:rsid w:val="08AE0F3E"/>
    <w:rsid w:val="08C10402"/>
    <w:rsid w:val="08CBA3C1"/>
    <w:rsid w:val="08D542FA"/>
    <w:rsid w:val="08D78AE5"/>
    <w:rsid w:val="08D7F57D"/>
    <w:rsid w:val="08DBC048"/>
    <w:rsid w:val="08F1F4B8"/>
    <w:rsid w:val="08F645B9"/>
    <w:rsid w:val="09140B65"/>
    <w:rsid w:val="09163CD4"/>
    <w:rsid w:val="09363BE0"/>
    <w:rsid w:val="093C09F7"/>
    <w:rsid w:val="096DDACD"/>
    <w:rsid w:val="097FFC97"/>
    <w:rsid w:val="09899A13"/>
    <w:rsid w:val="098F1D67"/>
    <w:rsid w:val="0992B201"/>
    <w:rsid w:val="0996EA4B"/>
    <w:rsid w:val="09C439DD"/>
    <w:rsid w:val="09C4E4BA"/>
    <w:rsid w:val="09DEE3E2"/>
    <w:rsid w:val="09E2F32D"/>
    <w:rsid w:val="0A03F692"/>
    <w:rsid w:val="0A0A97E8"/>
    <w:rsid w:val="0A1D7321"/>
    <w:rsid w:val="0A222651"/>
    <w:rsid w:val="0A237EED"/>
    <w:rsid w:val="0A3C1DB5"/>
    <w:rsid w:val="0A48057A"/>
    <w:rsid w:val="0A5C86B6"/>
    <w:rsid w:val="0A623C43"/>
    <w:rsid w:val="0A6B55A1"/>
    <w:rsid w:val="0A6B742B"/>
    <w:rsid w:val="0A92800A"/>
    <w:rsid w:val="0A9696CD"/>
    <w:rsid w:val="0ABBBC79"/>
    <w:rsid w:val="0AC4377A"/>
    <w:rsid w:val="0AC86663"/>
    <w:rsid w:val="0AD8B03B"/>
    <w:rsid w:val="0AF8886E"/>
    <w:rsid w:val="0B0B71D6"/>
    <w:rsid w:val="0B35EA4B"/>
    <w:rsid w:val="0B398C51"/>
    <w:rsid w:val="0B48AC45"/>
    <w:rsid w:val="0B4F1777"/>
    <w:rsid w:val="0B77AE20"/>
    <w:rsid w:val="0B838968"/>
    <w:rsid w:val="0B83A99C"/>
    <w:rsid w:val="0BE4F419"/>
    <w:rsid w:val="0C02B424"/>
    <w:rsid w:val="0C192CFB"/>
    <w:rsid w:val="0C1D48FF"/>
    <w:rsid w:val="0C220147"/>
    <w:rsid w:val="0C32924C"/>
    <w:rsid w:val="0C3A1ACD"/>
    <w:rsid w:val="0C4CC12F"/>
    <w:rsid w:val="0C5EFAE3"/>
    <w:rsid w:val="0C912771"/>
    <w:rsid w:val="0C98C354"/>
    <w:rsid w:val="0CAFB298"/>
    <w:rsid w:val="0CB70803"/>
    <w:rsid w:val="0CC438EA"/>
    <w:rsid w:val="0CD7ACD0"/>
    <w:rsid w:val="0CE90814"/>
    <w:rsid w:val="0CE97C53"/>
    <w:rsid w:val="0CEB7931"/>
    <w:rsid w:val="0D06F899"/>
    <w:rsid w:val="0D0C61C4"/>
    <w:rsid w:val="0D0D3206"/>
    <w:rsid w:val="0D2E26AA"/>
    <w:rsid w:val="0D368A78"/>
    <w:rsid w:val="0D42AF50"/>
    <w:rsid w:val="0D601C32"/>
    <w:rsid w:val="0DA24993"/>
    <w:rsid w:val="0DA75128"/>
    <w:rsid w:val="0DA81EF4"/>
    <w:rsid w:val="0DA89ED1"/>
    <w:rsid w:val="0DBB4737"/>
    <w:rsid w:val="0DC20EA2"/>
    <w:rsid w:val="0DC57154"/>
    <w:rsid w:val="0DC803BE"/>
    <w:rsid w:val="0DD6BFCE"/>
    <w:rsid w:val="0DD706D7"/>
    <w:rsid w:val="0DD89F6C"/>
    <w:rsid w:val="0DED721D"/>
    <w:rsid w:val="0DF27A3D"/>
    <w:rsid w:val="0DF9576E"/>
    <w:rsid w:val="0DFBD0D7"/>
    <w:rsid w:val="0E0D9B42"/>
    <w:rsid w:val="0E21E76C"/>
    <w:rsid w:val="0E2CB08E"/>
    <w:rsid w:val="0E449B2B"/>
    <w:rsid w:val="0E5128E6"/>
    <w:rsid w:val="0E6235DB"/>
    <w:rsid w:val="0E703B0A"/>
    <w:rsid w:val="0E7FD98C"/>
    <w:rsid w:val="0E81CC17"/>
    <w:rsid w:val="0E9AC0F4"/>
    <w:rsid w:val="0EB69BC0"/>
    <w:rsid w:val="0F02247A"/>
    <w:rsid w:val="0F081617"/>
    <w:rsid w:val="0F093BB9"/>
    <w:rsid w:val="0F226699"/>
    <w:rsid w:val="0F293D26"/>
    <w:rsid w:val="0F5336D1"/>
    <w:rsid w:val="0F695EA8"/>
    <w:rsid w:val="0F72A97C"/>
    <w:rsid w:val="0F7459B2"/>
    <w:rsid w:val="0F7F6E71"/>
    <w:rsid w:val="0F81C838"/>
    <w:rsid w:val="0FBB3D62"/>
    <w:rsid w:val="0FBC4E2F"/>
    <w:rsid w:val="0FC08F04"/>
    <w:rsid w:val="0FDB20C5"/>
    <w:rsid w:val="0FDF8081"/>
    <w:rsid w:val="0FDFAFA4"/>
    <w:rsid w:val="0FE09FEC"/>
    <w:rsid w:val="0FE0C3C0"/>
    <w:rsid w:val="0FF3E399"/>
    <w:rsid w:val="0FFA942C"/>
    <w:rsid w:val="104DE0AF"/>
    <w:rsid w:val="104EC190"/>
    <w:rsid w:val="104F2EB7"/>
    <w:rsid w:val="1055965C"/>
    <w:rsid w:val="105923AB"/>
    <w:rsid w:val="106C9F17"/>
    <w:rsid w:val="1073AA3C"/>
    <w:rsid w:val="1087C2CC"/>
    <w:rsid w:val="108A698B"/>
    <w:rsid w:val="1097A3DB"/>
    <w:rsid w:val="10D455C7"/>
    <w:rsid w:val="10E00C3B"/>
    <w:rsid w:val="10E451C0"/>
    <w:rsid w:val="10EA229E"/>
    <w:rsid w:val="10F11CE3"/>
    <w:rsid w:val="11290D4B"/>
    <w:rsid w:val="114393D8"/>
    <w:rsid w:val="11558502"/>
    <w:rsid w:val="115EA59D"/>
    <w:rsid w:val="11609E19"/>
    <w:rsid w:val="117E7F3C"/>
    <w:rsid w:val="1181D31B"/>
    <w:rsid w:val="11892ADC"/>
    <w:rsid w:val="11986534"/>
    <w:rsid w:val="119E37EA"/>
    <w:rsid w:val="11C60E56"/>
    <w:rsid w:val="11CF5635"/>
    <w:rsid w:val="11D890DA"/>
    <w:rsid w:val="121E0B07"/>
    <w:rsid w:val="122AC8EA"/>
    <w:rsid w:val="12370194"/>
    <w:rsid w:val="127FB448"/>
    <w:rsid w:val="128950E9"/>
    <w:rsid w:val="12BCBE4F"/>
    <w:rsid w:val="12DBD421"/>
    <w:rsid w:val="12E4A63F"/>
    <w:rsid w:val="12ECA79B"/>
    <w:rsid w:val="12ED24C8"/>
    <w:rsid w:val="13081914"/>
    <w:rsid w:val="131F7DA0"/>
    <w:rsid w:val="1320D019"/>
    <w:rsid w:val="1323C65C"/>
    <w:rsid w:val="133586C3"/>
    <w:rsid w:val="134218B6"/>
    <w:rsid w:val="1349B71E"/>
    <w:rsid w:val="135762D7"/>
    <w:rsid w:val="1360AD17"/>
    <w:rsid w:val="136A4A76"/>
    <w:rsid w:val="13713AC9"/>
    <w:rsid w:val="137FFBA1"/>
    <w:rsid w:val="1390654C"/>
    <w:rsid w:val="13A024B9"/>
    <w:rsid w:val="13AFF759"/>
    <w:rsid w:val="13BCBF2B"/>
    <w:rsid w:val="13C68C2B"/>
    <w:rsid w:val="13DDA1F3"/>
    <w:rsid w:val="13F485A3"/>
    <w:rsid w:val="13F79A8D"/>
    <w:rsid w:val="140DA8C2"/>
    <w:rsid w:val="1415245F"/>
    <w:rsid w:val="1424D7DB"/>
    <w:rsid w:val="143793E1"/>
    <w:rsid w:val="14468598"/>
    <w:rsid w:val="145BD983"/>
    <w:rsid w:val="14657C74"/>
    <w:rsid w:val="1469229C"/>
    <w:rsid w:val="1475CD72"/>
    <w:rsid w:val="1475E39D"/>
    <w:rsid w:val="147C7A13"/>
    <w:rsid w:val="148BE45F"/>
    <w:rsid w:val="148ED0C4"/>
    <w:rsid w:val="149474C2"/>
    <w:rsid w:val="14B1FD90"/>
    <w:rsid w:val="14B5938B"/>
    <w:rsid w:val="14BFCD06"/>
    <w:rsid w:val="14EBCCEA"/>
    <w:rsid w:val="14F7E24E"/>
    <w:rsid w:val="151059AF"/>
    <w:rsid w:val="15213568"/>
    <w:rsid w:val="152138F6"/>
    <w:rsid w:val="152EBD8D"/>
    <w:rsid w:val="154A1F73"/>
    <w:rsid w:val="15536960"/>
    <w:rsid w:val="1553BB49"/>
    <w:rsid w:val="155D7A09"/>
    <w:rsid w:val="156458C9"/>
    <w:rsid w:val="157D2DE3"/>
    <w:rsid w:val="1592A6BC"/>
    <w:rsid w:val="15B5111A"/>
    <w:rsid w:val="15B798B8"/>
    <w:rsid w:val="15D45F76"/>
    <w:rsid w:val="15DDA387"/>
    <w:rsid w:val="15E1D2D4"/>
    <w:rsid w:val="15EB025A"/>
    <w:rsid w:val="15EC630C"/>
    <w:rsid w:val="15EEB161"/>
    <w:rsid w:val="15F215BF"/>
    <w:rsid w:val="16029BDF"/>
    <w:rsid w:val="16049A05"/>
    <w:rsid w:val="1617C013"/>
    <w:rsid w:val="161FE6F9"/>
    <w:rsid w:val="166A0B39"/>
    <w:rsid w:val="1688CA4E"/>
    <w:rsid w:val="168DF9F2"/>
    <w:rsid w:val="169D014C"/>
    <w:rsid w:val="16CDBC1D"/>
    <w:rsid w:val="16FF5E79"/>
    <w:rsid w:val="16FFFF3A"/>
    <w:rsid w:val="170D5F0A"/>
    <w:rsid w:val="173D60E0"/>
    <w:rsid w:val="1747651A"/>
    <w:rsid w:val="174CA0A3"/>
    <w:rsid w:val="174CABDB"/>
    <w:rsid w:val="1752FEBE"/>
    <w:rsid w:val="175426B3"/>
    <w:rsid w:val="17566F49"/>
    <w:rsid w:val="17698B5D"/>
    <w:rsid w:val="177C26DF"/>
    <w:rsid w:val="17904008"/>
    <w:rsid w:val="179997D4"/>
    <w:rsid w:val="17B037FD"/>
    <w:rsid w:val="17C0F604"/>
    <w:rsid w:val="17C8A5F7"/>
    <w:rsid w:val="17D4A5A2"/>
    <w:rsid w:val="17DB8DF0"/>
    <w:rsid w:val="180165D0"/>
    <w:rsid w:val="18085048"/>
    <w:rsid w:val="183EF285"/>
    <w:rsid w:val="1873A144"/>
    <w:rsid w:val="187DC474"/>
    <w:rsid w:val="1888DF04"/>
    <w:rsid w:val="188CF814"/>
    <w:rsid w:val="18BAEA9E"/>
    <w:rsid w:val="18BC1E04"/>
    <w:rsid w:val="18D41D2F"/>
    <w:rsid w:val="18D68EB8"/>
    <w:rsid w:val="18F0DA50"/>
    <w:rsid w:val="18FE066C"/>
    <w:rsid w:val="1946DB09"/>
    <w:rsid w:val="19573142"/>
    <w:rsid w:val="195BB77F"/>
    <w:rsid w:val="197B6213"/>
    <w:rsid w:val="19A2897F"/>
    <w:rsid w:val="19AA6EB0"/>
    <w:rsid w:val="19B0868C"/>
    <w:rsid w:val="19D60725"/>
    <w:rsid w:val="19DF5780"/>
    <w:rsid w:val="19F8168E"/>
    <w:rsid w:val="1A259EBB"/>
    <w:rsid w:val="1A28201E"/>
    <w:rsid w:val="1A2BF519"/>
    <w:rsid w:val="1A40CE58"/>
    <w:rsid w:val="1A44BD64"/>
    <w:rsid w:val="1A6FB123"/>
    <w:rsid w:val="1A84AF82"/>
    <w:rsid w:val="1A9A218C"/>
    <w:rsid w:val="1AACDDC9"/>
    <w:rsid w:val="1AC35A93"/>
    <w:rsid w:val="1AC4774B"/>
    <w:rsid w:val="1ADD04DC"/>
    <w:rsid w:val="1ADDF51D"/>
    <w:rsid w:val="1ADECF4C"/>
    <w:rsid w:val="1AEF81C2"/>
    <w:rsid w:val="1B2A81F4"/>
    <w:rsid w:val="1B4B0DD3"/>
    <w:rsid w:val="1B4BAFC8"/>
    <w:rsid w:val="1B778E9A"/>
    <w:rsid w:val="1B7994A3"/>
    <w:rsid w:val="1B8FEDA6"/>
    <w:rsid w:val="1BA7F046"/>
    <w:rsid w:val="1BA971BF"/>
    <w:rsid w:val="1BB668A7"/>
    <w:rsid w:val="1BDB6089"/>
    <w:rsid w:val="1C020FFF"/>
    <w:rsid w:val="1C02D914"/>
    <w:rsid w:val="1C0E1604"/>
    <w:rsid w:val="1C140101"/>
    <w:rsid w:val="1C19338F"/>
    <w:rsid w:val="1C1AF9DE"/>
    <w:rsid w:val="1C38CA08"/>
    <w:rsid w:val="1C3C257F"/>
    <w:rsid w:val="1C4A9E38"/>
    <w:rsid w:val="1C66DD90"/>
    <w:rsid w:val="1C7EF7A9"/>
    <w:rsid w:val="1C841A78"/>
    <w:rsid w:val="1CB87853"/>
    <w:rsid w:val="1CE50B01"/>
    <w:rsid w:val="1CF2F389"/>
    <w:rsid w:val="1D0A1E75"/>
    <w:rsid w:val="1D2D4D5A"/>
    <w:rsid w:val="1D4642CD"/>
    <w:rsid w:val="1D5579D0"/>
    <w:rsid w:val="1D67A984"/>
    <w:rsid w:val="1D7F40E1"/>
    <w:rsid w:val="1D81B1A2"/>
    <w:rsid w:val="1DBFCB53"/>
    <w:rsid w:val="1DF6EA90"/>
    <w:rsid w:val="1E0866EE"/>
    <w:rsid w:val="1E235FCF"/>
    <w:rsid w:val="1E56032C"/>
    <w:rsid w:val="1E5FB634"/>
    <w:rsid w:val="1E68989B"/>
    <w:rsid w:val="1E69889E"/>
    <w:rsid w:val="1E6B2515"/>
    <w:rsid w:val="1E72BD9A"/>
    <w:rsid w:val="1EC4D12B"/>
    <w:rsid w:val="1EC8C755"/>
    <w:rsid w:val="1ED2D01A"/>
    <w:rsid w:val="1EFFE73F"/>
    <w:rsid w:val="1F145E8C"/>
    <w:rsid w:val="1F4CEE08"/>
    <w:rsid w:val="1F4D0D48"/>
    <w:rsid w:val="1F6F8437"/>
    <w:rsid w:val="1F71EBFA"/>
    <w:rsid w:val="1F799560"/>
    <w:rsid w:val="1F840B3F"/>
    <w:rsid w:val="1F8B3911"/>
    <w:rsid w:val="1F8C4BCE"/>
    <w:rsid w:val="1FCB23A4"/>
    <w:rsid w:val="1FD237FB"/>
    <w:rsid w:val="200BD972"/>
    <w:rsid w:val="201DBF3F"/>
    <w:rsid w:val="2039697C"/>
    <w:rsid w:val="204CA891"/>
    <w:rsid w:val="205F289A"/>
    <w:rsid w:val="205F521F"/>
    <w:rsid w:val="206EB9C8"/>
    <w:rsid w:val="206FA0CE"/>
    <w:rsid w:val="207B66E1"/>
    <w:rsid w:val="207DDAA1"/>
    <w:rsid w:val="20980C7C"/>
    <w:rsid w:val="20A95D04"/>
    <w:rsid w:val="20AE5A29"/>
    <w:rsid w:val="20B13BFA"/>
    <w:rsid w:val="20C1BB23"/>
    <w:rsid w:val="20C93C56"/>
    <w:rsid w:val="20EF63C5"/>
    <w:rsid w:val="20F40F0D"/>
    <w:rsid w:val="20F520C8"/>
    <w:rsid w:val="210D6558"/>
    <w:rsid w:val="211831A2"/>
    <w:rsid w:val="212B9EDA"/>
    <w:rsid w:val="21510B85"/>
    <w:rsid w:val="218B8B60"/>
    <w:rsid w:val="21A86499"/>
    <w:rsid w:val="21ACEB0C"/>
    <w:rsid w:val="21B69077"/>
    <w:rsid w:val="21BE84CB"/>
    <w:rsid w:val="21CAB301"/>
    <w:rsid w:val="21D3F960"/>
    <w:rsid w:val="21E74286"/>
    <w:rsid w:val="21EFB4E7"/>
    <w:rsid w:val="22026E07"/>
    <w:rsid w:val="22034B8C"/>
    <w:rsid w:val="220476E2"/>
    <w:rsid w:val="2208F246"/>
    <w:rsid w:val="221B244A"/>
    <w:rsid w:val="222828AB"/>
    <w:rsid w:val="22322EEA"/>
    <w:rsid w:val="224143E2"/>
    <w:rsid w:val="2243E4CA"/>
    <w:rsid w:val="22684D1C"/>
    <w:rsid w:val="2287A1F7"/>
    <w:rsid w:val="22886131"/>
    <w:rsid w:val="2289DE2E"/>
    <w:rsid w:val="22B089F3"/>
    <w:rsid w:val="22D911A3"/>
    <w:rsid w:val="22FD5D9C"/>
    <w:rsid w:val="23036778"/>
    <w:rsid w:val="23164979"/>
    <w:rsid w:val="231D1D70"/>
    <w:rsid w:val="231D555B"/>
    <w:rsid w:val="234625EE"/>
    <w:rsid w:val="2354D80C"/>
    <w:rsid w:val="235A8487"/>
    <w:rsid w:val="2369ED41"/>
    <w:rsid w:val="23724E53"/>
    <w:rsid w:val="23942031"/>
    <w:rsid w:val="2399B18E"/>
    <w:rsid w:val="23A4F206"/>
    <w:rsid w:val="23A957CA"/>
    <w:rsid w:val="23B23767"/>
    <w:rsid w:val="23CCED46"/>
    <w:rsid w:val="23D7EF53"/>
    <w:rsid w:val="23E88D51"/>
    <w:rsid w:val="23FEF8BE"/>
    <w:rsid w:val="241D854E"/>
    <w:rsid w:val="242035D4"/>
    <w:rsid w:val="24227CD2"/>
    <w:rsid w:val="242A5EDB"/>
    <w:rsid w:val="242DC808"/>
    <w:rsid w:val="2463A2F2"/>
    <w:rsid w:val="247A9410"/>
    <w:rsid w:val="24877740"/>
    <w:rsid w:val="248A4D8F"/>
    <w:rsid w:val="248B6782"/>
    <w:rsid w:val="24993E68"/>
    <w:rsid w:val="249FD9EA"/>
    <w:rsid w:val="24B08B14"/>
    <w:rsid w:val="24BD1D33"/>
    <w:rsid w:val="24D306A0"/>
    <w:rsid w:val="24E914B9"/>
    <w:rsid w:val="24F1E2FB"/>
    <w:rsid w:val="24FA280E"/>
    <w:rsid w:val="250B17A6"/>
    <w:rsid w:val="2549DEE4"/>
    <w:rsid w:val="254B598B"/>
    <w:rsid w:val="254E9404"/>
    <w:rsid w:val="2558F129"/>
    <w:rsid w:val="255CC348"/>
    <w:rsid w:val="256A98DB"/>
    <w:rsid w:val="2580F487"/>
    <w:rsid w:val="25815E82"/>
    <w:rsid w:val="25A92A77"/>
    <w:rsid w:val="25C18006"/>
    <w:rsid w:val="25DAC856"/>
    <w:rsid w:val="25E2FB3E"/>
    <w:rsid w:val="260B6CAE"/>
    <w:rsid w:val="2626C519"/>
    <w:rsid w:val="2637D2E4"/>
    <w:rsid w:val="2639DB9E"/>
    <w:rsid w:val="2650C1FA"/>
    <w:rsid w:val="265DB420"/>
    <w:rsid w:val="26615DFF"/>
    <w:rsid w:val="26703661"/>
    <w:rsid w:val="269AF08D"/>
    <w:rsid w:val="26B19FB7"/>
    <w:rsid w:val="26EA3242"/>
    <w:rsid w:val="2719CCC7"/>
    <w:rsid w:val="2772F590"/>
    <w:rsid w:val="2783EDD9"/>
    <w:rsid w:val="279D9D58"/>
    <w:rsid w:val="27BB1139"/>
    <w:rsid w:val="27D4E6EC"/>
    <w:rsid w:val="28081901"/>
    <w:rsid w:val="2818DE14"/>
    <w:rsid w:val="2823B7E5"/>
    <w:rsid w:val="283BAD01"/>
    <w:rsid w:val="283D8467"/>
    <w:rsid w:val="2853F6E3"/>
    <w:rsid w:val="285D18D8"/>
    <w:rsid w:val="286175D2"/>
    <w:rsid w:val="289ACED2"/>
    <w:rsid w:val="289BC327"/>
    <w:rsid w:val="28DB5B5B"/>
    <w:rsid w:val="290634C0"/>
    <w:rsid w:val="29152BAD"/>
    <w:rsid w:val="2929695B"/>
    <w:rsid w:val="2933A21A"/>
    <w:rsid w:val="293AC708"/>
    <w:rsid w:val="2954A5A6"/>
    <w:rsid w:val="2969CE27"/>
    <w:rsid w:val="296F9DD4"/>
    <w:rsid w:val="298219DF"/>
    <w:rsid w:val="2990C32B"/>
    <w:rsid w:val="29983D86"/>
    <w:rsid w:val="29CBB4E9"/>
    <w:rsid w:val="29D25A50"/>
    <w:rsid w:val="2A04306F"/>
    <w:rsid w:val="2A30C6FE"/>
    <w:rsid w:val="2A430117"/>
    <w:rsid w:val="2A50ED53"/>
    <w:rsid w:val="2A562FD8"/>
    <w:rsid w:val="2A79C6C4"/>
    <w:rsid w:val="2A81C6C6"/>
    <w:rsid w:val="2A8D3B41"/>
    <w:rsid w:val="2A926ADF"/>
    <w:rsid w:val="2A9D0E84"/>
    <w:rsid w:val="2AC09E5A"/>
    <w:rsid w:val="2ACD4809"/>
    <w:rsid w:val="2AE41C7A"/>
    <w:rsid w:val="2AE74B9A"/>
    <w:rsid w:val="2AECAA79"/>
    <w:rsid w:val="2AFFC85C"/>
    <w:rsid w:val="2B168AFA"/>
    <w:rsid w:val="2B2CF7BE"/>
    <w:rsid w:val="2B2E8304"/>
    <w:rsid w:val="2B492B9E"/>
    <w:rsid w:val="2B4B8FD5"/>
    <w:rsid w:val="2B59FC04"/>
    <w:rsid w:val="2B68442C"/>
    <w:rsid w:val="2B89C734"/>
    <w:rsid w:val="2B8E759D"/>
    <w:rsid w:val="2BA0C800"/>
    <w:rsid w:val="2BA31213"/>
    <w:rsid w:val="2BBB1834"/>
    <w:rsid w:val="2BC432B8"/>
    <w:rsid w:val="2BCC76CA"/>
    <w:rsid w:val="2BD159BC"/>
    <w:rsid w:val="2BD2245C"/>
    <w:rsid w:val="2BE6674F"/>
    <w:rsid w:val="2BEA3D5E"/>
    <w:rsid w:val="2C1B040D"/>
    <w:rsid w:val="2C201C0D"/>
    <w:rsid w:val="2C702C21"/>
    <w:rsid w:val="2C7A3917"/>
    <w:rsid w:val="2C9651F6"/>
    <w:rsid w:val="2CA09DF5"/>
    <w:rsid w:val="2CA56969"/>
    <w:rsid w:val="2CCA937E"/>
    <w:rsid w:val="2CE023EA"/>
    <w:rsid w:val="2CE09D2D"/>
    <w:rsid w:val="2CE0C8BE"/>
    <w:rsid w:val="2CF49B18"/>
    <w:rsid w:val="2D1164EE"/>
    <w:rsid w:val="2D1824BE"/>
    <w:rsid w:val="2D3516CA"/>
    <w:rsid w:val="2D3569FB"/>
    <w:rsid w:val="2D3C8906"/>
    <w:rsid w:val="2D408B36"/>
    <w:rsid w:val="2D4AFFFB"/>
    <w:rsid w:val="2D8DA823"/>
    <w:rsid w:val="2DC1FF5B"/>
    <w:rsid w:val="2DC5B5FF"/>
    <w:rsid w:val="2DDD11B8"/>
    <w:rsid w:val="2DE0BB7C"/>
    <w:rsid w:val="2DFE65C1"/>
    <w:rsid w:val="2E19C386"/>
    <w:rsid w:val="2E2AF3C6"/>
    <w:rsid w:val="2E31EB35"/>
    <w:rsid w:val="2E548658"/>
    <w:rsid w:val="2E59492F"/>
    <w:rsid w:val="2E5FB992"/>
    <w:rsid w:val="2E6A5818"/>
    <w:rsid w:val="2E7E5243"/>
    <w:rsid w:val="2E8F6BFA"/>
    <w:rsid w:val="2EC1D972"/>
    <w:rsid w:val="2EDFA895"/>
    <w:rsid w:val="2F0735AB"/>
    <w:rsid w:val="2F09C98C"/>
    <w:rsid w:val="2F0A7C49"/>
    <w:rsid w:val="2F18DBA5"/>
    <w:rsid w:val="2F1D75BA"/>
    <w:rsid w:val="2F3E2A80"/>
    <w:rsid w:val="2F4A9486"/>
    <w:rsid w:val="2F6AA348"/>
    <w:rsid w:val="2F7CED2E"/>
    <w:rsid w:val="2F82E48F"/>
    <w:rsid w:val="2F88E8DD"/>
    <w:rsid w:val="2F907277"/>
    <w:rsid w:val="2FB62DA6"/>
    <w:rsid w:val="2FBECEB0"/>
    <w:rsid w:val="2FCEBD61"/>
    <w:rsid w:val="2FEBF98E"/>
    <w:rsid w:val="2FFB3AE0"/>
    <w:rsid w:val="301723C1"/>
    <w:rsid w:val="301BAE64"/>
    <w:rsid w:val="3034E38B"/>
    <w:rsid w:val="30476C60"/>
    <w:rsid w:val="3054A641"/>
    <w:rsid w:val="30669D04"/>
    <w:rsid w:val="30698C82"/>
    <w:rsid w:val="3069D1E8"/>
    <w:rsid w:val="306EAEB0"/>
    <w:rsid w:val="30921302"/>
    <w:rsid w:val="30C543D3"/>
    <w:rsid w:val="30DD828C"/>
    <w:rsid w:val="3111962C"/>
    <w:rsid w:val="312FDC01"/>
    <w:rsid w:val="313419A0"/>
    <w:rsid w:val="314BA2D2"/>
    <w:rsid w:val="31817F7A"/>
    <w:rsid w:val="318FFFB3"/>
    <w:rsid w:val="31B199A0"/>
    <w:rsid w:val="31C683B2"/>
    <w:rsid w:val="31F11308"/>
    <w:rsid w:val="31F3EE3D"/>
    <w:rsid w:val="32085B8F"/>
    <w:rsid w:val="3232D359"/>
    <w:rsid w:val="32636720"/>
    <w:rsid w:val="326CDC98"/>
    <w:rsid w:val="327D6659"/>
    <w:rsid w:val="328A7084"/>
    <w:rsid w:val="3293C780"/>
    <w:rsid w:val="329B994D"/>
    <w:rsid w:val="32A0617A"/>
    <w:rsid w:val="32A5FAB4"/>
    <w:rsid w:val="32A92918"/>
    <w:rsid w:val="32AB424A"/>
    <w:rsid w:val="32C77B46"/>
    <w:rsid w:val="32D450DC"/>
    <w:rsid w:val="32FBC147"/>
    <w:rsid w:val="32FD0AE6"/>
    <w:rsid w:val="33028808"/>
    <w:rsid w:val="331CCB3E"/>
    <w:rsid w:val="331E6494"/>
    <w:rsid w:val="332101A1"/>
    <w:rsid w:val="33321A19"/>
    <w:rsid w:val="33329319"/>
    <w:rsid w:val="3350DC79"/>
    <w:rsid w:val="335AB542"/>
    <w:rsid w:val="33616F2D"/>
    <w:rsid w:val="33655BF5"/>
    <w:rsid w:val="3370770D"/>
    <w:rsid w:val="33A1E609"/>
    <w:rsid w:val="33A70FBE"/>
    <w:rsid w:val="33ABDDDB"/>
    <w:rsid w:val="33AEA964"/>
    <w:rsid w:val="33D6917D"/>
    <w:rsid w:val="33DD6F74"/>
    <w:rsid w:val="33E7C631"/>
    <w:rsid w:val="33E957D0"/>
    <w:rsid w:val="33ED3C22"/>
    <w:rsid w:val="33F3CE41"/>
    <w:rsid w:val="3411C048"/>
    <w:rsid w:val="3411E216"/>
    <w:rsid w:val="34248C56"/>
    <w:rsid w:val="344EDBC3"/>
    <w:rsid w:val="344F49EE"/>
    <w:rsid w:val="3450AE83"/>
    <w:rsid w:val="3451E778"/>
    <w:rsid w:val="345DBBCB"/>
    <w:rsid w:val="34641766"/>
    <w:rsid w:val="347DE807"/>
    <w:rsid w:val="3490E799"/>
    <w:rsid w:val="349333B2"/>
    <w:rsid w:val="34C203E9"/>
    <w:rsid w:val="34CD63E4"/>
    <w:rsid w:val="34CF3E5C"/>
    <w:rsid w:val="34DFA638"/>
    <w:rsid w:val="3505FCA3"/>
    <w:rsid w:val="351FBE46"/>
    <w:rsid w:val="3533CE9C"/>
    <w:rsid w:val="353BCEB1"/>
    <w:rsid w:val="3549296B"/>
    <w:rsid w:val="354DBB10"/>
    <w:rsid w:val="3559BB1A"/>
    <w:rsid w:val="3588E21D"/>
    <w:rsid w:val="35DCC0EE"/>
    <w:rsid w:val="35DF5C19"/>
    <w:rsid w:val="35F77A48"/>
    <w:rsid w:val="35FD1476"/>
    <w:rsid w:val="3602A0E1"/>
    <w:rsid w:val="36085FF9"/>
    <w:rsid w:val="36107A2C"/>
    <w:rsid w:val="3628EE06"/>
    <w:rsid w:val="362B2192"/>
    <w:rsid w:val="363207C1"/>
    <w:rsid w:val="36335EA2"/>
    <w:rsid w:val="36528FC4"/>
    <w:rsid w:val="36683834"/>
    <w:rsid w:val="36982AD0"/>
    <w:rsid w:val="369A3D93"/>
    <w:rsid w:val="36AA3BB8"/>
    <w:rsid w:val="36B00487"/>
    <w:rsid w:val="36C81C2A"/>
    <w:rsid w:val="36CE2FD8"/>
    <w:rsid w:val="36EF1F3A"/>
    <w:rsid w:val="36FB2882"/>
    <w:rsid w:val="370B037E"/>
    <w:rsid w:val="370DEAC5"/>
    <w:rsid w:val="37108FE3"/>
    <w:rsid w:val="3717018B"/>
    <w:rsid w:val="3720EB50"/>
    <w:rsid w:val="372BA45A"/>
    <w:rsid w:val="372FD3E0"/>
    <w:rsid w:val="3742F3D2"/>
    <w:rsid w:val="374F60BA"/>
    <w:rsid w:val="375F5CCE"/>
    <w:rsid w:val="37686C44"/>
    <w:rsid w:val="376F8134"/>
    <w:rsid w:val="37784B0A"/>
    <w:rsid w:val="3779B7DD"/>
    <w:rsid w:val="377DC743"/>
    <w:rsid w:val="37A98CB0"/>
    <w:rsid w:val="37B87A76"/>
    <w:rsid w:val="37C1A3BA"/>
    <w:rsid w:val="37C70E71"/>
    <w:rsid w:val="37C9A017"/>
    <w:rsid w:val="37CD317E"/>
    <w:rsid w:val="380E4DCE"/>
    <w:rsid w:val="388575FE"/>
    <w:rsid w:val="38B0E764"/>
    <w:rsid w:val="38B59A1D"/>
    <w:rsid w:val="38B927F4"/>
    <w:rsid w:val="38CD8511"/>
    <w:rsid w:val="38D1EB78"/>
    <w:rsid w:val="38D2917F"/>
    <w:rsid w:val="38DF3BF4"/>
    <w:rsid w:val="38E89819"/>
    <w:rsid w:val="3934BBFE"/>
    <w:rsid w:val="39357567"/>
    <w:rsid w:val="393C96D6"/>
    <w:rsid w:val="394C2C46"/>
    <w:rsid w:val="395253A1"/>
    <w:rsid w:val="3956A20E"/>
    <w:rsid w:val="395F0990"/>
    <w:rsid w:val="3968D752"/>
    <w:rsid w:val="398C4D72"/>
    <w:rsid w:val="39CCCEA8"/>
    <w:rsid w:val="3A134C17"/>
    <w:rsid w:val="3A15346F"/>
    <w:rsid w:val="3A2FCAB6"/>
    <w:rsid w:val="3A31DEF6"/>
    <w:rsid w:val="3A31E28F"/>
    <w:rsid w:val="3A4769B4"/>
    <w:rsid w:val="3A4EEFBE"/>
    <w:rsid w:val="3A5C1874"/>
    <w:rsid w:val="3A79EDDA"/>
    <w:rsid w:val="3A7F2CBB"/>
    <w:rsid w:val="3A80C703"/>
    <w:rsid w:val="3A9D6C53"/>
    <w:rsid w:val="3AA484FD"/>
    <w:rsid w:val="3AC0306F"/>
    <w:rsid w:val="3AF34055"/>
    <w:rsid w:val="3B106315"/>
    <w:rsid w:val="3B21A44B"/>
    <w:rsid w:val="3B6913F7"/>
    <w:rsid w:val="3B86FC14"/>
    <w:rsid w:val="3B9FA35F"/>
    <w:rsid w:val="3BA72EDE"/>
    <w:rsid w:val="3BB365EF"/>
    <w:rsid w:val="3BB633CA"/>
    <w:rsid w:val="3BC90CEB"/>
    <w:rsid w:val="3BD5AA85"/>
    <w:rsid w:val="3BDF51C6"/>
    <w:rsid w:val="3BE2651E"/>
    <w:rsid w:val="3BF04E0C"/>
    <w:rsid w:val="3C190614"/>
    <w:rsid w:val="3C1C03DB"/>
    <w:rsid w:val="3C3CED33"/>
    <w:rsid w:val="3C3EF882"/>
    <w:rsid w:val="3C4B650E"/>
    <w:rsid w:val="3C4D57A1"/>
    <w:rsid w:val="3C75D97C"/>
    <w:rsid w:val="3C7D919F"/>
    <w:rsid w:val="3C813DA7"/>
    <w:rsid w:val="3C950B98"/>
    <w:rsid w:val="3C95D506"/>
    <w:rsid w:val="3C96BADA"/>
    <w:rsid w:val="3C9A12C3"/>
    <w:rsid w:val="3C9DBB8B"/>
    <w:rsid w:val="3CB0E447"/>
    <w:rsid w:val="3CB7E2A7"/>
    <w:rsid w:val="3CB88166"/>
    <w:rsid w:val="3CBF39AC"/>
    <w:rsid w:val="3CE1219D"/>
    <w:rsid w:val="3CE64460"/>
    <w:rsid w:val="3CF3288E"/>
    <w:rsid w:val="3D05147A"/>
    <w:rsid w:val="3D0566FF"/>
    <w:rsid w:val="3D22973F"/>
    <w:rsid w:val="3D272336"/>
    <w:rsid w:val="3D405DE2"/>
    <w:rsid w:val="3D48415E"/>
    <w:rsid w:val="3D4DC4D2"/>
    <w:rsid w:val="3D603C87"/>
    <w:rsid w:val="3D733E3F"/>
    <w:rsid w:val="3D8B3BC7"/>
    <w:rsid w:val="3DA48510"/>
    <w:rsid w:val="3DB8568A"/>
    <w:rsid w:val="3DC3F6F5"/>
    <w:rsid w:val="3DC86539"/>
    <w:rsid w:val="3DD14418"/>
    <w:rsid w:val="3DD7F679"/>
    <w:rsid w:val="3DD856A5"/>
    <w:rsid w:val="3DEAAD49"/>
    <w:rsid w:val="3E3243BB"/>
    <w:rsid w:val="3E7F0F65"/>
    <w:rsid w:val="3E94C5A4"/>
    <w:rsid w:val="3E975ABA"/>
    <w:rsid w:val="3E97B77C"/>
    <w:rsid w:val="3EA312F9"/>
    <w:rsid w:val="3EB1767C"/>
    <w:rsid w:val="3EC90826"/>
    <w:rsid w:val="3ED24F4B"/>
    <w:rsid w:val="3EE2A375"/>
    <w:rsid w:val="3EEB6BA6"/>
    <w:rsid w:val="3F08D11D"/>
    <w:rsid w:val="3F20ABCC"/>
    <w:rsid w:val="3F2F4F8A"/>
    <w:rsid w:val="3F34F11A"/>
    <w:rsid w:val="3F3B5336"/>
    <w:rsid w:val="3F5F437F"/>
    <w:rsid w:val="3F6A4962"/>
    <w:rsid w:val="3F6BAD43"/>
    <w:rsid w:val="3F6CB068"/>
    <w:rsid w:val="3F841690"/>
    <w:rsid w:val="3FA56B5F"/>
    <w:rsid w:val="3FAA435C"/>
    <w:rsid w:val="3FC1FA99"/>
    <w:rsid w:val="3FD6C373"/>
    <w:rsid w:val="3FDCA79B"/>
    <w:rsid w:val="3FDD0613"/>
    <w:rsid w:val="3FEFF482"/>
    <w:rsid w:val="3FF801CC"/>
    <w:rsid w:val="3FFEB1E7"/>
    <w:rsid w:val="400A6BF2"/>
    <w:rsid w:val="401A9581"/>
    <w:rsid w:val="402A37E6"/>
    <w:rsid w:val="4042BA98"/>
    <w:rsid w:val="406BB04C"/>
    <w:rsid w:val="40754B32"/>
    <w:rsid w:val="408F4409"/>
    <w:rsid w:val="4095B41E"/>
    <w:rsid w:val="40A28EBB"/>
    <w:rsid w:val="40BD676A"/>
    <w:rsid w:val="40D4088D"/>
    <w:rsid w:val="40DE781A"/>
    <w:rsid w:val="4102374C"/>
    <w:rsid w:val="410C9B8F"/>
    <w:rsid w:val="41217437"/>
    <w:rsid w:val="416E8AF4"/>
    <w:rsid w:val="4195F97F"/>
    <w:rsid w:val="4196BECF"/>
    <w:rsid w:val="41B74471"/>
    <w:rsid w:val="41C11B15"/>
    <w:rsid w:val="41C1FFFD"/>
    <w:rsid w:val="41CA7D14"/>
    <w:rsid w:val="42065D52"/>
    <w:rsid w:val="421B2F1C"/>
    <w:rsid w:val="42207C9D"/>
    <w:rsid w:val="4247D069"/>
    <w:rsid w:val="425D9C4A"/>
    <w:rsid w:val="427DE6BA"/>
    <w:rsid w:val="428121EF"/>
    <w:rsid w:val="4286FEB9"/>
    <w:rsid w:val="4288DF08"/>
    <w:rsid w:val="42D6C959"/>
    <w:rsid w:val="42E13BA5"/>
    <w:rsid w:val="430AFE17"/>
    <w:rsid w:val="431E058C"/>
    <w:rsid w:val="4326C02B"/>
    <w:rsid w:val="4326EB46"/>
    <w:rsid w:val="4364704C"/>
    <w:rsid w:val="436DE774"/>
    <w:rsid w:val="437C7FD5"/>
    <w:rsid w:val="437CCA7D"/>
    <w:rsid w:val="43862790"/>
    <w:rsid w:val="439335AC"/>
    <w:rsid w:val="43A7F299"/>
    <w:rsid w:val="43A858F9"/>
    <w:rsid w:val="43F08C0F"/>
    <w:rsid w:val="4407F942"/>
    <w:rsid w:val="440E387C"/>
    <w:rsid w:val="443649C3"/>
    <w:rsid w:val="4445E84E"/>
    <w:rsid w:val="444B6BDF"/>
    <w:rsid w:val="444C369A"/>
    <w:rsid w:val="446E51C3"/>
    <w:rsid w:val="44913C87"/>
    <w:rsid w:val="44B45A21"/>
    <w:rsid w:val="44D8CE36"/>
    <w:rsid w:val="44E17BEF"/>
    <w:rsid w:val="44E1CD60"/>
    <w:rsid w:val="44E87372"/>
    <w:rsid w:val="4501EC5A"/>
    <w:rsid w:val="451DF0B0"/>
    <w:rsid w:val="453A20CC"/>
    <w:rsid w:val="4544A91C"/>
    <w:rsid w:val="454FCEF5"/>
    <w:rsid w:val="4569769B"/>
    <w:rsid w:val="45756A35"/>
    <w:rsid w:val="45834D54"/>
    <w:rsid w:val="45A195EC"/>
    <w:rsid w:val="45A75F13"/>
    <w:rsid w:val="45A7DFA9"/>
    <w:rsid w:val="45C1CE69"/>
    <w:rsid w:val="45C56098"/>
    <w:rsid w:val="45ED8B93"/>
    <w:rsid w:val="461FDA2C"/>
    <w:rsid w:val="463E23DA"/>
    <w:rsid w:val="4669310F"/>
    <w:rsid w:val="466C8B80"/>
    <w:rsid w:val="4685B3E2"/>
    <w:rsid w:val="46BB8D86"/>
    <w:rsid w:val="46D00A76"/>
    <w:rsid w:val="46F43CC6"/>
    <w:rsid w:val="4705137F"/>
    <w:rsid w:val="47271FE3"/>
    <w:rsid w:val="472A0924"/>
    <w:rsid w:val="4730AB27"/>
    <w:rsid w:val="47392623"/>
    <w:rsid w:val="4739D479"/>
    <w:rsid w:val="4746155B"/>
    <w:rsid w:val="4773ABB0"/>
    <w:rsid w:val="4775E95E"/>
    <w:rsid w:val="47891214"/>
    <w:rsid w:val="479B5F72"/>
    <w:rsid w:val="479F8103"/>
    <w:rsid w:val="47C833B2"/>
    <w:rsid w:val="47D98F9A"/>
    <w:rsid w:val="47FF66F9"/>
    <w:rsid w:val="4803CD63"/>
    <w:rsid w:val="481158B6"/>
    <w:rsid w:val="4843F99F"/>
    <w:rsid w:val="48454429"/>
    <w:rsid w:val="48558FDE"/>
    <w:rsid w:val="485F676E"/>
    <w:rsid w:val="486CFB8F"/>
    <w:rsid w:val="48AB8D7C"/>
    <w:rsid w:val="48C9CF8C"/>
    <w:rsid w:val="48CAE21D"/>
    <w:rsid w:val="48EFEC9F"/>
    <w:rsid w:val="48FC37CE"/>
    <w:rsid w:val="490D14C1"/>
    <w:rsid w:val="49161CA7"/>
    <w:rsid w:val="495F0682"/>
    <w:rsid w:val="4970FD0A"/>
    <w:rsid w:val="49C7C408"/>
    <w:rsid w:val="49DEA3F2"/>
    <w:rsid w:val="49EBD83A"/>
    <w:rsid w:val="49EDD2F7"/>
    <w:rsid w:val="4A270EFC"/>
    <w:rsid w:val="4A281919"/>
    <w:rsid w:val="4A3F91FE"/>
    <w:rsid w:val="4A42ACC7"/>
    <w:rsid w:val="4A4329B2"/>
    <w:rsid w:val="4A50071C"/>
    <w:rsid w:val="4A5729A0"/>
    <w:rsid w:val="4A6789DE"/>
    <w:rsid w:val="4A68E668"/>
    <w:rsid w:val="4A6C45B1"/>
    <w:rsid w:val="4A7D2693"/>
    <w:rsid w:val="4A8E62A2"/>
    <w:rsid w:val="4A9DA090"/>
    <w:rsid w:val="4AE1F1F3"/>
    <w:rsid w:val="4AF53251"/>
    <w:rsid w:val="4B0CC435"/>
    <w:rsid w:val="4B24B677"/>
    <w:rsid w:val="4B4D3F4A"/>
    <w:rsid w:val="4B4DFE26"/>
    <w:rsid w:val="4B663F6F"/>
    <w:rsid w:val="4B82D6E1"/>
    <w:rsid w:val="4B86871E"/>
    <w:rsid w:val="4BD59928"/>
    <w:rsid w:val="4BEF1F9A"/>
    <w:rsid w:val="4BFA6D55"/>
    <w:rsid w:val="4C00AC7F"/>
    <w:rsid w:val="4C0863BD"/>
    <w:rsid w:val="4C1958CA"/>
    <w:rsid w:val="4C2CB647"/>
    <w:rsid w:val="4C47A05B"/>
    <w:rsid w:val="4C48B989"/>
    <w:rsid w:val="4C5ACFCB"/>
    <w:rsid w:val="4C8D70A8"/>
    <w:rsid w:val="4C938286"/>
    <w:rsid w:val="4CB176FA"/>
    <w:rsid w:val="4CB52F15"/>
    <w:rsid w:val="4CBEB915"/>
    <w:rsid w:val="4CC0D40A"/>
    <w:rsid w:val="4CCCBE6A"/>
    <w:rsid w:val="4D085FA9"/>
    <w:rsid w:val="4D2910A7"/>
    <w:rsid w:val="4D332F21"/>
    <w:rsid w:val="4D60B69A"/>
    <w:rsid w:val="4D76194F"/>
    <w:rsid w:val="4D823F53"/>
    <w:rsid w:val="4D90BC03"/>
    <w:rsid w:val="4D98D115"/>
    <w:rsid w:val="4D9B954C"/>
    <w:rsid w:val="4DB4CBA8"/>
    <w:rsid w:val="4DB9F0D1"/>
    <w:rsid w:val="4DCFD7D4"/>
    <w:rsid w:val="4DE7B3DF"/>
    <w:rsid w:val="4E040AE4"/>
    <w:rsid w:val="4E0A0B27"/>
    <w:rsid w:val="4E43F2E9"/>
    <w:rsid w:val="4E5718B3"/>
    <w:rsid w:val="4E878484"/>
    <w:rsid w:val="4EB8522A"/>
    <w:rsid w:val="4EC84C29"/>
    <w:rsid w:val="4EDA7A3F"/>
    <w:rsid w:val="4EE7B805"/>
    <w:rsid w:val="4EFD63BC"/>
    <w:rsid w:val="4F04DF09"/>
    <w:rsid w:val="4F0D5399"/>
    <w:rsid w:val="4F0E7722"/>
    <w:rsid w:val="4F12A376"/>
    <w:rsid w:val="4F26D229"/>
    <w:rsid w:val="4F2C92D3"/>
    <w:rsid w:val="4F2E7D7A"/>
    <w:rsid w:val="4F520FC6"/>
    <w:rsid w:val="4F5253ED"/>
    <w:rsid w:val="4F65AD7C"/>
    <w:rsid w:val="4FD8087C"/>
    <w:rsid w:val="500D6D25"/>
    <w:rsid w:val="500F8D85"/>
    <w:rsid w:val="50155F37"/>
    <w:rsid w:val="5035FA7B"/>
    <w:rsid w:val="505849F7"/>
    <w:rsid w:val="5095BAFF"/>
    <w:rsid w:val="509C310C"/>
    <w:rsid w:val="50BCB444"/>
    <w:rsid w:val="50BDDCCA"/>
    <w:rsid w:val="50CA03AE"/>
    <w:rsid w:val="50D2C3AD"/>
    <w:rsid w:val="50E30ABE"/>
    <w:rsid w:val="50E73B0B"/>
    <w:rsid w:val="50F70BF1"/>
    <w:rsid w:val="50FC0BD9"/>
    <w:rsid w:val="50FF55A4"/>
    <w:rsid w:val="51002FAD"/>
    <w:rsid w:val="510BE586"/>
    <w:rsid w:val="511778DE"/>
    <w:rsid w:val="511EAC12"/>
    <w:rsid w:val="511F4B60"/>
    <w:rsid w:val="515EDB1E"/>
    <w:rsid w:val="51695E1F"/>
    <w:rsid w:val="517E3520"/>
    <w:rsid w:val="517F22EA"/>
    <w:rsid w:val="5180F106"/>
    <w:rsid w:val="51BE8E28"/>
    <w:rsid w:val="51C8D387"/>
    <w:rsid w:val="51C9AFC4"/>
    <w:rsid w:val="51F4DCC1"/>
    <w:rsid w:val="5239FC03"/>
    <w:rsid w:val="523A2375"/>
    <w:rsid w:val="524D672B"/>
    <w:rsid w:val="52A6F6A0"/>
    <w:rsid w:val="52ACFB53"/>
    <w:rsid w:val="52BEE74A"/>
    <w:rsid w:val="52C20EEC"/>
    <w:rsid w:val="52D5C4EC"/>
    <w:rsid w:val="52DC4144"/>
    <w:rsid w:val="52EFF838"/>
    <w:rsid w:val="52F8A54B"/>
    <w:rsid w:val="5329CD51"/>
    <w:rsid w:val="532CA971"/>
    <w:rsid w:val="533AC692"/>
    <w:rsid w:val="5344F2DB"/>
    <w:rsid w:val="5353098A"/>
    <w:rsid w:val="537385B7"/>
    <w:rsid w:val="538E8979"/>
    <w:rsid w:val="539EFBB8"/>
    <w:rsid w:val="53AA0DBD"/>
    <w:rsid w:val="53ACF145"/>
    <w:rsid w:val="53ACF9BF"/>
    <w:rsid w:val="53AE4A48"/>
    <w:rsid w:val="53B10758"/>
    <w:rsid w:val="53BFF462"/>
    <w:rsid w:val="53C00EDB"/>
    <w:rsid w:val="53C3DB1B"/>
    <w:rsid w:val="53C87900"/>
    <w:rsid w:val="53D4C2B0"/>
    <w:rsid w:val="53DC12D0"/>
    <w:rsid w:val="53ECDB3D"/>
    <w:rsid w:val="53F4E766"/>
    <w:rsid w:val="53FB292A"/>
    <w:rsid w:val="544F768E"/>
    <w:rsid w:val="545F19D6"/>
    <w:rsid w:val="546B87BD"/>
    <w:rsid w:val="547F5AC7"/>
    <w:rsid w:val="549FFBC4"/>
    <w:rsid w:val="54A64B1D"/>
    <w:rsid w:val="54AA0C88"/>
    <w:rsid w:val="54BC0407"/>
    <w:rsid w:val="54FE7D96"/>
    <w:rsid w:val="552FBE8B"/>
    <w:rsid w:val="554015D7"/>
    <w:rsid w:val="554D7300"/>
    <w:rsid w:val="554F5965"/>
    <w:rsid w:val="555F13CA"/>
    <w:rsid w:val="556C6B81"/>
    <w:rsid w:val="557675D8"/>
    <w:rsid w:val="55782C1B"/>
    <w:rsid w:val="558054B0"/>
    <w:rsid w:val="55BEFF69"/>
    <w:rsid w:val="55E3B0B9"/>
    <w:rsid w:val="55E678F9"/>
    <w:rsid w:val="55F5A73A"/>
    <w:rsid w:val="56327F89"/>
    <w:rsid w:val="56358914"/>
    <w:rsid w:val="56594007"/>
    <w:rsid w:val="566129FB"/>
    <w:rsid w:val="5663C66E"/>
    <w:rsid w:val="5665A885"/>
    <w:rsid w:val="568F4418"/>
    <w:rsid w:val="56A25D7C"/>
    <w:rsid w:val="56AD5FBB"/>
    <w:rsid w:val="56B40CBD"/>
    <w:rsid w:val="56BF9729"/>
    <w:rsid w:val="5703B5CE"/>
    <w:rsid w:val="57160801"/>
    <w:rsid w:val="57161B1C"/>
    <w:rsid w:val="571EC925"/>
    <w:rsid w:val="5720B255"/>
    <w:rsid w:val="573BB7CA"/>
    <w:rsid w:val="573DD898"/>
    <w:rsid w:val="576E1B7D"/>
    <w:rsid w:val="57775882"/>
    <w:rsid w:val="578BE6E9"/>
    <w:rsid w:val="57CD7C86"/>
    <w:rsid w:val="57D3C959"/>
    <w:rsid w:val="57E088DD"/>
    <w:rsid w:val="57F4C527"/>
    <w:rsid w:val="57F58A5D"/>
    <w:rsid w:val="57FDF28B"/>
    <w:rsid w:val="58034604"/>
    <w:rsid w:val="582F5C83"/>
    <w:rsid w:val="5831BA4C"/>
    <w:rsid w:val="585A4B0B"/>
    <w:rsid w:val="585AD1AA"/>
    <w:rsid w:val="587ACF77"/>
    <w:rsid w:val="587C7669"/>
    <w:rsid w:val="587D81E8"/>
    <w:rsid w:val="589019F7"/>
    <w:rsid w:val="58B85E15"/>
    <w:rsid w:val="58BDCD31"/>
    <w:rsid w:val="58D0C3C4"/>
    <w:rsid w:val="58E3F8F6"/>
    <w:rsid w:val="58EFEC5D"/>
    <w:rsid w:val="58F58B70"/>
    <w:rsid w:val="58FFDD66"/>
    <w:rsid w:val="59065A5E"/>
    <w:rsid w:val="590AF53B"/>
    <w:rsid w:val="5918A747"/>
    <w:rsid w:val="592D698B"/>
    <w:rsid w:val="59519F73"/>
    <w:rsid w:val="595E1252"/>
    <w:rsid w:val="5982F648"/>
    <w:rsid w:val="59958739"/>
    <w:rsid w:val="59DDE585"/>
    <w:rsid w:val="59F759E3"/>
    <w:rsid w:val="59F84A8C"/>
    <w:rsid w:val="5A266A86"/>
    <w:rsid w:val="5A3B5725"/>
    <w:rsid w:val="5A4B8809"/>
    <w:rsid w:val="5A77CBA7"/>
    <w:rsid w:val="5A846BA6"/>
    <w:rsid w:val="5A8FA1BF"/>
    <w:rsid w:val="5A97C5E4"/>
    <w:rsid w:val="5AA58F88"/>
    <w:rsid w:val="5AACB2A6"/>
    <w:rsid w:val="5AB3BB30"/>
    <w:rsid w:val="5AEF20C3"/>
    <w:rsid w:val="5B0D71B4"/>
    <w:rsid w:val="5B12A07A"/>
    <w:rsid w:val="5B30A2AA"/>
    <w:rsid w:val="5B3727DA"/>
    <w:rsid w:val="5B380474"/>
    <w:rsid w:val="5B401D08"/>
    <w:rsid w:val="5B703D0C"/>
    <w:rsid w:val="5B7A3085"/>
    <w:rsid w:val="5B855C31"/>
    <w:rsid w:val="5B8AA645"/>
    <w:rsid w:val="5BB6F00C"/>
    <w:rsid w:val="5BC37E51"/>
    <w:rsid w:val="5BDFBB81"/>
    <w:rsid w:val="5BE31505"/>
    <w:rsid w:val="5BE350BD"/>
    <w:rsid w:val="5C19EEBB"/>
    <w:rsid w:val="5C2DAE87"/>
    <w:rsid w:val="5C2DB885"/>
    <w:rsid w:val="5C3C6945"/>
    <w:rsid w:val="5C6A74D4"/>
    <w:rsid w:val="5CAC64D6"/>
    <w:rsid w:val="5CBDB7C3"/>
    <w:rsid w:val="5CC86403"/>
    <w:rsid w:val="5CD492FA"/>
    <w:rsid w:val="5CE5AC81"/>
    <w:rsid w:val="5CF35E95"/>
    <w:rsid w:val="5D216BC9"/>
    <w:rsid w:val="5D29D50F"/>
    <w:rsid w:val="5D346C31"/>
    <w:rsid w:val="5D414403"/>
    <w:rsid w:val="5D59975D"/>
    <w:rsid w:val="5D76CBF7"/>
    <w:rsid w:val="5D8E33D1"/>
    <w:rsid w:val="5D920361"/>
    <w:rsid w:val="5D935487"/>
    <w:rsid w:val="5D9BEA45"/>
    <w:rsid w:val="5DD6EF89"/>
    <w:rsid w:val="5DEF4262"/>
    <w:rsid w:val="5DF52EF7"/>
    <w:rsid w:val="5DF5E123"/>
    <w:rsid w:val="5E30412B"/>
    <w:rsid w:val="5E3CFA7B"/>
    <w:rsid w:val="5E701CCF"/>
    <w:rsid w:val="5E75D4D5"/>
    <w:rsid w:val="5E92A569"/>
    <w:rsid w:val="5EAAF040"/>
    <w:rsid w:val="5EADDEAB"/>
    <w:rsid w:val="5EBD6B85"/>
    <w:rsid w:val="5EBDBF11"/>
    <w:rsid w:val="5ED7DD4F"/>
    <w:rsid w:val="5EEB53EE"/>
    <w:rsid w:val="5EEDB2A0"/>
    <w:rsid w:val="5EF84F6E"/>
    <w:rsid w:val="5F18CFCA"/>
    <w:rsid w:val="5F19A04E"/>
    <w:rsid w:val="5F2E70C9"/>
    <w:rsid w:val="5F3584C0"/>
    <w:rsid w:val="5F3D07B8"/>
    <w:rsid w:val="5F3E360E"/>
    <w:rsid w:val="5F4164CF"/>
    <w:rsid w:val="5F529EB2"/>
    <w:rsid w:val="5F53464C"/>
    <w:rsid w:val="5F55FA74"/>
    <w:rsid w:val="5F6B8696"/>
    <w:rsid w:val="5FA09048"/>
    <w:rsid w:val="5FA48F75"/>
    <w:rsid w:val="5FAC14A8"/>
    <w:rsid w:val="5FB0BEB8"/>
    <w:rsid w:val="5FB3D32F"/>
    <w:rsid w:val="5FBB16F6"/>
    <w:rsid w:val="5FC2AD10"/>
    <w:rsid w:val="5FD74D97"/>
    <w:rsid w:val="5FFDE3D9"/>
    <w:rsid w:val="6030F373"/>
    <w:rsid w:val="603B9F94"/>
    <w:rsid w:val="6051EDEF"/>
    <w:rsid w:val="6095797D"/>
    <w:rsid w:val="60CCED09"/>
    <w:rsid w:val="60E0A289"/>
    <w:rsid w:val="60EF3F76"/>
    <w:rsid w:val="60F5C63A"/>
    <w:rsid w:val="610035F8"/>
    <w:rsid w:val="6107CDFD"/>
    <w:rsid w:val="610AD7ED"/>
    <w:rsid w:val="611736D0"/>
    <w:rsid w:val="6118A642"/>
    <w:rsid w:val="616FD275"/>
    <w:rsid w:val="617539F3"/>
    <w:rsid w:val="617DCAE1"/>
    <w:rsid w:val="617DE6E6"/>
    <w:rsid w:val="6185129E"/>
    <w:rsid w:val="61981337"/>
    <w:rsid w:val="61B72777"/>
    <w:rsid w:val="61BD7AE6"/>
    <w:rsid w:val="61C80EDF"/>
    <w:rsid w:val="61D7F65A"/>
    <w:rsid w:val="61FAECAB"/>
    <w:rsid w:val="620C3EBE"/>
    <w:rsid w:val="62145F70"/>
    <w:rsid w:val="62306DD0"/>
    <w:rsid w:val="624C0BA6"/>
    <w:rsid w:val="625643E4"/>
    <w:rsid w:val="62567DF6"/>
    <w:rsid w:val="6269AA4A"/>
    <w:rsid w:val="6274ACDC"/>
    <w:rsid w:val="6274F259"/>
    <w:rsid w:val="6282E45E"/>
    <w:rsid w:val="62AA97CB"/>
    <w:rsid w:val="62B8DF2A"/>
    <w:rsid w:val="62BE5E16"/>
    <w:rsid w:val="62C50105"/>
    <w:rsid w:val="62CCEC86"/>
    <w:rsid w:val="62CF1E3D"/>
    <w:rsid w:val="62D37676"/>
    <w:rsid w:val="62DD7CA5"/>
    <w:rsid w:val="62F4519A"/>
    <w:rsid w:val="6302B49B"/>
    <w:rsid w:val="63384B9B"/>
    <w:rsid w:val="633DF1B5"/>
    <w:rsid w:val="6348A2D8"/>
    <w:rsid w:val="635A9A1B"/>
    <w:rsid w:val="63816E98"/>
    <w:rsid w:val="638850BD"/>
    <w:rsid w:val="63968B15"/>
    <w:rsid w:val="63DEAFEC"/>
    <w:rsid w:val="63E67F92"/>
    <w:rsid w:val="63F7968C"/>
    <w:rsid w:val="645D4322"/>
    <w:rsid w:val="646762A2"/>
    <w:rsid w:val="646907F1"/>
    <w:rsid w:val="6476041E"/>
    <w:rsid w:val="64979A25"/>
    <w:rsid w:val="64A51361"/>
    <w:rsid w:val="64AEAE27"/>
    <w:rsid w:val="64AF6A0A"/>
    <w:rsid w:val="64C56E2A"/>
    <w:rsid w:val="64C687A3"/>
    <w:rsid w:val="64D200C7"/>
    <w:rsid w:val="64DB777E"/>
    <w:rsid w:val="64E00D69"/>
    <w:rsid w:val="64EC6B46"/>
    <w:rsid w:val="64F3AAA0"/>
    <w:rsid w:val="6526164F"/>
    <w:rsid w:val="65379CC2"/>
    <w:rsid w:val="65413CBC"/>
    <w:rsid w:val="65433A24"/>
    <w:rsid w:val="6557807F"/>
    <w:rsid w:val="655F695E"/>
    <w:rsid w:val="6560DA74"/>
    <w:rsid w:val="656B6C58"/>
    <w:rsid w:val="656F79BE"/>
    <w:rsid w:val="6571BB45"/>
    <w:rsid w:val="657E0BAF"/>
    <w:rsid w:val="6581E905"/>
    <w:rsid w:val="658D18E9"/>
    <w:rsid w:val="65B3558C"/>
    <w:rsid w:val="65C6326D"/>
    <w:rsid w:val="65D35674"/>
    <w:rsid w:val="65D840BB"/>
    <w:rsid w:val="65E7D828"/>
    <w:rsid w:val="65F70DFF"/>
    <w:rsid w:val="65FA2405"/>
    <w:rsid w:val="65FF348E"/>
    <w:rsid w:val="66019B66"/>
    <w:rsid w:val="66391515"/>
    <w:rsid w:val="664CAF91"/>
    <w:rsid w:val="66533166"/>
    <w:rsid w:val="665B202C"/>
    <w:rsid w:val="665DFC1F"/>
    <w:rsid w:val="66AFEF0D"/>
    <w:rsid w:val="66B2C42C"/>
    <w:rsid w:val="66BF6587"/>
    <w:rsid w:val="66D66496"/>
    <w:rsid w:val="66E8B0F2"/>
    <w:rsid w:val="66F977F0"/>
    <w:rsid w:val="671F623F"/>
    <w:rsid w:val="6730693C"/>
    <w:rsid w:val="67416055"/>
    <w:rsid w:val="675BD005"/>
    <w:rsid w:val="67950DEA"/>
    <w:rsid w:val="67B8C88E"/>
    <w:rsid w:val="67C4CD00"/>
    <w:rsid w:val="67D1BAFA"/>
    <w:rsid w:val="67D7678F"/>
    <w:rsid w:val="67E30539"/>
    <w:rsid w:val="67E8D0F6"/>
    <w:rsid w:val="67F3A06D"/>
    <w:rsid w:val="680FC458"/>
    <w:rsid w:val="681DA0D7"/>
    <w:rsid w:val="68424CD6"/>
    <w:rsid w:val="684720A0"/>
    <w:rsid w:val="68543FA7"/>
    <w:rsid w:val="68676B6D"/>
    <w:rsid w:val="68925D13"/>
    <w:rsid w:val="68C35031"/>
    <w:rsid w:val="68C48B1A"/>
    <w:rsid w:val="68D2036C"/>
    <w:rsid w:val="68F8FF2F"/>
    <w:rsid w:val="68FA9B24"/>
    <w:rsid w:val="690FF3C3"/>
    <w:rsid w:val="6912A966"/>
    <w:rsid w:val="6918A099"/>
    <w:rsid w:val="693EE10A"/>
    <w:rsid w:val="6957AC25"/>
    <w:rsid w:val="695A0A69"/>
    <w:rsid w:val="695EB179"/>
    <w:rsid w:val="697206B3"/>
    <w:rsid w:val="6989A58D"/>
    <w:rsid w:val="69A5E6FD"/>
    <w:rsid w:val="69BB51EF"/>
    <w:rsid w:val="69DAB746"/>
    <w:rsid w:val="6A029785"/>
    <w:rsid w:val="6A070645"/>
    <w:rsid w:val="6A070CE4"/>
    <w:rsid w:val="6A094BBE"/>
    <w:rsid w:val="6A0BFDB2"/>
    <w:rsid w:val="6A0D1596"/>
    <w:rsid w:val="6A1A81D2"/>
    <w:rsid w:val="6A1D01D8"/>
    <w:rsid w:val="6A1F5A08"/>
    <w:rsid w:val="6A318CB0"/>
    <w:rsid w:val="6A351830"/>
    <w:rsid w:val="6A3ACCE5"/>
    <w:rsid w:val="6A54C238"/>
    <w:rsid w:val="6A6BB55D"/>
    <w:rsid w:val="6A6E3B60"/>
    <w:rsid w:val="6A74DC9F"/>
    <w:rsid w:val="6A75BFF9"/>
    <w:rsid w:val="6A795A76"/>
    <w:rsid w:val="6A7CC300"/>
    <w:rsid w:val="6A83FFEF"/>
    <w:rsid w:val="6A8C2B4C"/>
    <w:rsid w:val="6A95A67D"/>
    <w:rsid w:val="6AA26D97"/>
    <w:rsid w:val="6AAAF2C0"/>
    <w:rsid w:val="6ADFECED"/>
    <w:rsid w:val="6AE26B2F"/>
    <w:rsid w:val="6AF846A4"/>
    <w:rsid w:val="6B0B923B"/>
    <w:rsid w:val="6B146D49"/>
    <w:rsid w:val="6B14D893"/>
    <w:rsid w:val="6B2014D5"/>
    <w:rsid w:val="6B21BEA0"/>
    <w:rsid w:val="6B2A43C6"/>
    <w:rsid w:val="6B33A5C0"/>
    <w:rsid w:val="6B3D36AF"/>
    <w:rsid w:val="6B4F1E49"/>
    <w:rsid w:val="6B60C9FA"/>
    <w:rsid w:val="6B834BD5"/>
    <w:rsid w:val="6B9CBEA5"/>
    <w:rsid w:val="6BA9F8C6"/>
    <w:rsid w:val="6BB14938"/>
    <w:rsid w:val="6BDF5D6A"/>
    <w:rsid w:val="6BE1422E"/>
    <w:rsid w:val="6C071902"/>
    <w:rsid w:val="6C3033E6"/>
    <w:rsid w:val="6C8AC460"/>
    <w:rsid w:val="6C919593"/>
    <w:rsid w:val="6CCD55A8"/>
    <w:rsid w:val="6CD7188F"/>
    <w:rsid w:val="6CDB8FE5"/>
    <w:rsid w:val="6CFFA1DB"/>
    <w:rsid w:val="6D01B35A"/>
    <w:rsid w:val="6D02648B"/>
    <w:rsid w:val="6D1396D3"/>
    <w:rsid w:val="6D38353E"/>
    <w:rsid w:val="6D442693"/>
    <w:rsid w:val="6D6BE9FB"/>
    <w:rsid w:val="6D753DAD"/>
    <w:rsid w:val="6D7F7647"/>
    <w:rsid w:val="6D83D97E"/>
    <w:rsid w:val="6D98C993"/>
    <w:rsid w:val="6D9AF429"/>
    <w:rsid w:val="6DA38E0B"/>
    <w:rsid w:val="6DB20189"/>
    <w:rsid w:val="6DC2359D"/>
    <w:rsid w:val="6DD5B54B"/>
    <w:rsid w:val="6DE015C5"/>
    <w:rsid w:val="6DE9FBCB"/>
    <w:rsid w:val="6DFF2322"/>
    <w:rsid w:val="6DFFAE54"/>
    <w:rsid w:val="6E22F3C2"/>
    <w:rsid w:val="6E267C80"/>
    <w:rsid w:val="6E29F35B"/>
    <w:rsid w:val="6E3B4710"/>
    <w:rsid w:val="6E44B81A"/>
    <w:rsid w:val="6E4A5357"/>
    <w:rsid w:val="6E4B061F"/>
    <w:rsid w:val="6E7488CE"/>
    <w:rsid w:val="6E7A04B0"/>
    <w:rsid w:val="6E7B28E1"/>
    <w:rsid w:val="6E835A28"/>
    <w:rsid w:val="6EA7B040"/>
    <w:rsid w:val="6F1D666D"/>
    <w:rsid w:val="6F3207D4"/>
    <w:rsid w:val="6F3EFC3D"/>
    <w:rsid w:val="6F7706F9"/>
    <w:rsid w:val="6FA4AB0E"/>
    <w:rsid w:val="6FB6EF7F"/>
    <w:rsid w:val="6FB7701C"/>
    <w:rsid w:val="6FD8F57C"/>
    <w:rsid w:val="6FE47048"/>
    <w:rsid w:val="6FF00F54"/>
    <w:rsid w:val="6FFFA8F5"/>
    <w:rsid w:val="7005EC80"/>
    <w:rsid w:val="701E81E9"/>
    <w:rsid w:val="7029D5FA"/>
    <w:rsid w:val="702DE475"/>
    <w:rsid w:val="70327E5D"/>
    <w:rsid w:val="703752CF"/>
    <w:rsid w:val="703EA5E2"/>
    <w:rsid w:val="7051C2D2"/>
    <w:rsid w:val="70522550"/>
    <w:rsid w:val="70715919"/>
    <w:rsid w:val="709524C2"/>
    <w:rsid w:val="70A62939"/>
    <w:rsid w:val="70BE24FC"/>
    <w:rsid w:val="70C18E3B"/>
    <w:rsid w:val="70CEC0DC"/>
    <w:rsid w:val="70EF1292"/>
    <w:rsid w:val="70F2404E"/>
    <w:rsid w:val="70F9016E"/>
    <w:rsid w:val="71139440"/>
    <w:rsid w:val="711B22E0"/>
    <w:rsid w:val="712F35B2"/>
    <w:rsid w:val="71357A60"/>
    <w:rsid w:val="713D33FC"/>
    <w:rsid w:val="71599FF8"/>
    <w:rsid w:val="716037DE"/>
    <w:rsid w:val="718A30FE"/>
    <w:rsid w:val="719F8145"/>
    <w:rsid w:val="71C54D38"/>
    <w:rsid w:val="71D65792"/>
    <w:rsid w:val="71EB29AE"/>
    <w:rsid w:val="71FB8764"/>
    <w:rsid w:val="721C8078"/>
    <w:rsid w:val="723BDE08"/>
    <w:rsid w:val="7251955D"/>
    <w:rsid w:val="7260C5E0"/>
    <w:rsid w:val="7276191F"/>
    <w:rsid w:val="727E7CE2"/>
    <w:rsid w:val="728029D7"/>
    <w:rsid w:val="7307E2AC"/>
    <w:rsid w:val="7321C649"/>
    <w:rsid w:val="7332B0E2"/>
    <w:rsid w:val="734130FB"/>
    <w:rsid w:val="7354A2B9"/>
    <w:rsid w:val="73584C78"/>
    <w:rsid w:val="737E2F4C"/>
    <w:rsid w:val="73A0E445"/>
    <w:rsid w:val="73B3A094"/>
    <w:rsid w:val="73B5603F"/>
    <w:rsid w:val="73BF4017"/>
    <w:rsid w:val="73C7D8E7"/>
    <w:rsid w:val="73CBCB3A"/>
    <w:rsid w:val="73E9944F"/>
    <w:rsid w:val="73FBADED"/>
    <w:rsid w:val="740147C1"/>
    <w:rsid w:val="7411EACE"/>
    <w:rsid w:val="742FFDD5"/>
    <w:rsid w:val="74A98FE7"/>
    <w:rsid w:val="74DD9BF4"/>
    <w:rsid w:val="74DDED3D"/>
    <w:rsid w:val="74E36856"/>
    <w:rsid w:val="74F71E02"/>
    <w:rsid w:val="750F8AC3"/>
    <w:rsid w:val="7515E34C"/>
    <w:rsid w:val="75165741"/>
    <w:rsid w:val="75285E3A"/>
    <w:rsid w:val="7533DC79"/>
    <w:rsid w:val="7543EDAD"/>
    <w:rsid w:val="754EE065"/>
    <w:rsid w:val="75934E19"/>
    <w:rsid w:val="75991A99"/>
    <w:rsid w:val="759E937B"/>
    <w:rsid w:val="75A473BE"/>
    <w:rsid w:val="75AC1939"/>
    <w:rsid w:val="75B4E4A3"/>
    <w:rsid w:val="75BF6D29"/>
    <w:rsid w:val="75C06FDF"/>
    <w:rsid w:val="75E50815"/>
    <w:rsid w:val="75E5DDEC"/>
    <w:rsid w:val="76025E34"/>
    <w:rsid w:val="7607B7EA"/>
    <w:rsid w:val="76182B1A"/>
    <w:rsid w:val="761FB87C"/>
    <w:rsid w:val="76444F97"/>
    <w:rsid w:val="764B4C60"/>
    <w:rsid w:val="76604683"/>
    <w:rsid w:val="766CFA71"/>
    <w:rsid w:val="76C51112"/>
    <w:rsid w:val="76CE08D2"/>
    <w:rsid w:val="76EAC284"/>
    <w:rsid w:val="76F46D06"/>
    <w:rsid w:val="77616994"/>
    <w:rsid w:val="776B6FC8"/>
    <w:rsid w:val="7771C3AD"/>
    <w:rsid w:val="7794FBB4"/>
    <w:rsid w:val="77A09442"/>
    <w:rsid w:val="77A47CF7"/>
    <w:rsid w:val="77A99B20"/>
    <w:rsid w:val="77D94743"/>
    <w:rsid w:val="77E52DAD"/>
    <w:rsid w:val="77EA2FBF"/>
    <w:rsid w:val="77F4A447"/>
    <w:rsid w:val="77F7282A"/>
    <w:rsid w:val="77F743EF"/>
    <w:rsid w:val="7815CC9C"/>
    <w:rsid w:val="781F1754"/>
    <w:rsid w:val="78400F89"/>
    <w:rsid w:val="78647FDF"/>
    <w:rsid w:val="786BA046"/>
    <w:rsid w:val="786EED31"/>
    <w:rsid w:val="7895A84C"/>
    <w:rsid w:val="78B04BFE"/>
    <w:rsid w:val="78B3D2C6"/>
    <w:rsid w:val="78CF4956"/>
    <w:rsid w:val="78E02A9D"/>
    <w:rsid w:val="78E73A59"/>
    <w:rsid w:val="78E8D748"/>
    <w:rsid w:val="78EAB5A7"/>
    <w:rsid w:val="78ED1261"/>
    <w:rsid w:val="78F6E772"/>
    <w:rsid w:val="790C8528"/>
    <w:rsid w:val="7916C3BF"/>
    <w:rsid w:val="79180E64"/>
    <w:rsid w:val="79436F1F"/>
    <w:rsid w:val="794C90E0"/>
    <w:rsid w:val="795B023A"/>
    <w:rsid w:val="7973300F"/>
    <w:rsid w:val="798430EB"/>
    <w:rsid w:val="7989C9CC"/>
    <w:rsid w:val="79AAB560"/>
    <w:rsid w:val="79B65520"/>
    <w:rsid w:val="79F210A1"/>
    <w:rsid w:val="7A001FCE"/>
    <w:rsid w:val="7A1F0DBB"/>
    <w:rsid w:val="7A2E43E2"/>
    <w:rsid w:val="7AB66158"/>
    <w:rsid w:val="7AE3E398"/>
    <w:rsid w:val="7AE8B8D6"/>
    <w:rsid w:val="7B063938"/>
    <w:rsid w:val="7B0F6CFF"/>
    <w:rsid w:val="7B23892C"/>
    <w:rsid w:val="7B23F383"/>
    <w:rsid w:val="7B36E651"/>
    <w:rsid w:val="7B42F2B3"/>
    <w:rsid w:val="7B4F438C"/>
    <w:rsid w:val="7B58432B"/>
    <w:rsid w:val="7B72FF4E"/>
    <w:rsid w:val="7B82B848"/>
    <w:rsid w:val="7B9969A8"/>
    <w:rsid w:val="7B9B6068"/>
    <w:rsid w:val="7BA8261B"/>
    <w:rsid w:val="7BAB937D"/>
    <w:rsid w:val="7BB47AA0"/>
    <w:rsid w:val="7BB6EFEB"/>
    <w:rsid w:val="7BB7FDA5"/>
    <w:rsid w:val="7BE0819E"/>
    <w:rsid w:val="7BEDC04B"/>
    <w:rsid w:val="7BFEB5FC"/>
    <w:rsid w:val="7BFEF15F"/>
    <w:rsid w:val="7C01203E"/>
    <w:rsid w:val="7C17D9D1"/>
    <w:rsid w:val="7C442591"/>
    <w:rsid w:val="7C62C3D8"/>
    <w:rsid w:val="7C8BC5A7"/>
    <w:rsid w:val="7CB4E06A"/>
    <w:rsid w:val="7CD4313E"/>
    <w:rsid w:val="7CD59D49"/>
    <w:rsid w:val="7CE6DAFE"/>
    <w:rsid w:val="7CEFF2B3"/>
    <w:rsid w:val="7CFCF966"/>
    <w:rsid w:val="7D19EA7D"/>
    <w:rsid w:val="7D1E3A1C"/>
    <w:rsid w:val="7D317B18"/>
    <w:rsid w:val="7D3D512A"/>
    <w:rsid w:val="7D41F425"/>
    <w:rsid w:val="7D5C23A4"/>
    <w:rsid w:val="7D5C8957"/>
    <w:rsid w:val="7D7E010E"/>
    <w:rsid w:val="7DB01582"/>
    <w:rsid w:val="7DE1EB61"/>
    <w:rsid w:val="7DF1D192"/>
    <w:rsid w:val="7DFA18C4"/>
    <w:rsid w:val="7E0FEC44"/>
    <w:rsid w:val="7E4FDAC8"/>
    <w:rsid w:val="7EABFDA3"/>
    <w:rsid w:val="7EB41C12"/>
    <w:rsid w:val="7ECB8588"/>
    <w:rsid w:val="7ECF3D53"/>
    <w:rsid w:val="7EE60B96"/>
    <w:rsid w:val="7EFB9013"/>
    <w:rsid w:val="7EFE1A1B"/>
    <w:rsid w:val="7F2A6B70"/>
    <w:rsid w:val="7F3F342E"/>
    <w:rsid w:val="7F3F8B87"/>
    <w:rsid w:val="7F81EB25"/>
    <w:rsid w:val="7F8F6905"/>
    <w:rsid w:val="7FAB3DF8"/>
    <w:rsid w:val="7FB724C7"/>
    <w:rsid w:val="7FC163BA"/>
    <w:rsid w:val="7FCF7047"/>
    <w:rsid w:val="7FE322F1"/>
    <w:rsid w:val="7FE3E506"/>
    <w:rsid w:val="7FF794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03"/>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HealthConsult,PBAC table,HTAtableplain,Lash Style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KMC16-Text">
    <w:name w:val="KMC16 - Text"/>
    <w:basedOn w:val="Normal"/>
    <w:link w:val="KMC16-TextChar"/>
    <w:qFormat/>
    <w:rsid w:val="00ED1E1E"/>
    <w:pPr>
      <w:spacing w:before="0" w:after="240" w:line="360" w:lineRule="auto"/>
      <w:jc w:val="both"/>
    </w:pPr>
    <w:rPr>
      <w:rFonts w:ascii="Arial" w:eastAsia="Batang" w:hAnsi="Arial"/>
      <w:color w:val="000000" w:themeColor="text1"/>
    </w:rPr>
  </w:style>
  <w:style w:type="character" w:customStyle="1" w:styleId="KMC16-TextChar">
    <w:name w:val="KMC16 - Text Char"/>
    <w:basedOn w:val="DefaultParagraphFont"/>
    <w:link w:val="KMC16-Text"/>
    <w:rsid w:val="00ED1E1E"/>
    <w:rPr>
      <w:rFonts w:ascii="Arial" w:eastAsia="Batang" w:hAnsi="Arial"/>
      <w:color w:val="000000" w:themeColor="text1"/>
    </w:rPr>
  </w:style>
  <w:style w:type="paragraph" w:customStyle="1" w:styleId="KMC16-Tablecontent">
    <w:name w:val="KMC16 - Table content"/>
    <w:basedOn w:val="Normal"/>
    <w:link w:val="KMC16-TablecontentChar"/>
    <w:qFormat/>
    <w:rsid w:val="00147112"/>
    <w:pPr>
      <w:spacing w:before="40" w:after="40" w:line="240" w:lineRule="auto"/>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147112"/>
    <w:rPr>
      <w:rFonts w:ascii="Arial Narrow" w:eastAsia="Times New Roman" w:hAnsi="Arial Narrow" w:cs="Arial"/>
      <w:color w:val="000000"/>
      <w:sz w:val="20"/>
      <w:lang w:val="en-GB"/>
    </w:rPr>
  </w:style>
  <w:style w:type="paragraph" w:customStyle="1" w:styleId="KMC16-Caption">
    <w:name w:val="KMC16 - Caption"/>
    <w:basedOn w:val="Normal"/>
    <w:qFormat/>
    <w:rsid w:val="00D94131"/>
    <w:pPr>
      <w:keepNext/>
      <w:tabs>
        <w:tab w:val="left" w:pos="567"/>
      </w:tabs>
      <w:spacing w:before="240" w:after="40" w:line="240" w:lineRule="auto"/>
      <w:ind w:left="964" w:hanging="964"/>
      <w:contextualSpacing/>
    </w:pPr>
    <w:rPr>
      <w:rFonts w:ascii="Arial" w:eastAsia="Times New Roman" w:hAnsi="Arial" w:cs="Times New Roman"/>
      <w:b/>
      <w:color w:val="000000"/>
      <w:sz w:val="20"/>
      <w:szCs w:val="20"/>
      <w:lang w:eastAsia="en-AU"/>
    </w:rPr>
  </w:style>
  <w:style w:type="paragraph" w:customStyle="1" w:styleId="KMC16-NumLists">
    <w:name w:val="KMC16 - Num Lists"/>
    <w:basedOn w:val="Normal"/>
    <w:qFormat/>
    <w:rsid w:val="00E012DE"/>
    <w:pPr>
      <w:numPr>
        <w:numId w:val="15"/>
      </w:numPr>
      <w:spacing w:after="120" w:line="360" w:lineRule="auto"/>
      <w:contextualSpacing/>
    </w:pPr>
    <w:rPr>
      <w:rFonts w:ascii="Arial" w:eastAsia="Batang" w:hAnsi="Arial"/>
      <w:bCs/>
      <w:snapToGrid w:val="0"/>
      <w:color w:val="000000" w:themeColor="text1"/>
    </w:rPr>
  </w:style>
  <w:style w:type="paragraph" w:customStyle="1" w:styleId="KMC16-TableHeading">
    <w:name w:val="KMC16 - Table Heading"/>
    <w:basedOn w:val="Normal"/>
    <w:qFormat/>
    <w:rsid w:val="007C1D70"/>
    <w:pPr>
      <w:spacing w:before="40" w:after="40" w:line="240" w:lineRule="auto"/>
      <w:jc w:val="center"/>
    </w:pPr>
    <w:rPr>
      <w:rFonts w:ascii="Arial Narrow" w:eastAsia="Times New Roman" w:hAnsi="Arial Narrow" w:cs="Arial"/>
      <w:b/>
      <w:color w:val="000000"/>
      <w:sz w:val="20"/>
    </w:rPr>
  </w:style>
  <w:style w:type="character" w:styleId="Mention">
    <w:name w:val="Mention"/>
    <w:basedOn w:val="DefaultParagraphFont"/>
    <w:uiPriority w:val="99"/>
    <w:unhideWhenUsed/>
    <w:rsid w:val="00BB64C2"/>
    <w:rPr>
      <w:color w:val="2B579A"/>
      <w:shd w:val="clear" w:color="auto" w:fill="E1DFDD"/>
    </w:rPr>
  </w:style>
  <w:style w:type="character" w:styleId="UnresolvedMention">
    <w:name w:val="Unresolved Mention"/>
    <w:basedOn w:val="DefaultParagraphFont"/>
    <w:uiPriority w:val="99"/>
    <w:semiHidden/>
    <w:unhideWhenUsed/>
    <w:rsid w:val="00DF149B"/>
    <w:rPr>
      <w:color w:val="605E5C"/>
      <w:shd w:val="clear" w:color="auto" w:fill="E1DFDD"/>
    </w:rPr>
  </w:style>
  <w:style w:type="paragraph" w:customStyle="1" w:styleId="TableDash">
    <w:name w:val="TableDash"/>
    <w:basedOn w:val="TableText1"/>
    <w:rsid w:val="00152BA5"/>
    <w:pPr>
      <w:numPr>
        <w:numId w:val="20"/>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152BA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152BA5"/>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152BA5"/>
    <w:pPr>
      <w:numPr>
        <w:numId w:val="21"/>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styleId="EndnoteText">
    <w:name w:val="endnote text"/>
    <w:basedOn w:val="Normal"/>
    <w:link w:val="EndnoteTextChar"/>
    <w:uiPriority w:val="99"/>
    <w:semiHidden/>
    <w:unhideWhenUsed/>
    <w:rsid w:val="006A2D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A2D43"/>
    <w:rPr>
      <w:rFonts w:ascii="Franklin Gothic Book" w:hAnsi="Franklin Gothic Book"/>
      <w:sz w:val="20"/>
      <w:szCs w:val="20"/>
    </w:rPr>
  </w:style>
  <w:style w:type="character" w:styleId="EndnoteReference">
    <w:name w:val="endnote reference"/>
    <w:basedOn w:val="DefaultParagraphFont"/>
    <w:uiPriority w:val="99"/>
    <w:semiHidden/>
    <w:unhideWhenUsed/>
    <w:rsid w:val="006A2D43"/>
    <w:rPr>
      <w:vertAlign w:val="superscript"/>
    </w:rPr>
  </w:style>
  <w:style w:type="table" w:customStyle="1" w:styleId="Section3-footnot1">
    <w:name w:val="Section 3- footnot1"/>
    <w:basedOn w:val="TableNormal"/>
    <w:next w:val="TableGrid"/>
    <w:uiPriority w:val="59"/>
    <w:rsid w:val="001F1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E5979"/>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EE5979"/>
    <w:rPr>
      <w:rFonts w:ascii="Franklin Gothic Book" w:eastAsia="Times New Roman" w:hAnsi="Franklin Gothic Book" w:cs="Times New Roman"/>
      <w:color w:val="000000"/>
      <w:szCs w:val="20"/>
      <w:lang w:eastAsia="en-AU"/>
    </w:rPr>
  </w:style>
  <w:style w:type="paragraph" w:styleId="NormalWeb">
    <w:name w:val="Normal (Web)"/>
    <w:basedOn w:val="Normal"/>
    <w:uiPriority w:val="99"/>
    <w:semiHidden/>
    <w:unhideWhenUsed/>
    <w:rsid w:val="00D51E37"/>
    <w:pPr>
      <w:spacing w:before="100" w:beforeAutospacing="1" w:after="100" w:afterAutospacing="1" w:line="240" w:lineRule="auto"/>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sites/default/files/2024-04/framework-for-the-assessment-funding-and-implementation-of-high-cost-highly-specialised-therapies-and-services.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ac.gov.au/internet/msac/publishing.nsf/Content/Hom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sites/default/files/auspar-dinutuximab-beta-200630-pi.pdf" TargetMode="External"/><Relationship Id="rId1" Type="http://schemas.openxmlformats.org/officeDocument/2006/relationships/hyperlink" Target="https://www.ema.europa.eu/en/documents/product-information/qarziba-epar-product-inform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C160F130-E261-455C-A53F-74D73809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7E03A-28CC-45D9-A959-18F9BEBE9021}">
  <ds:schemaRefs>
    <ds:schemaRef ds:uri="http://schemas.openxmlformats.org/officeDocument/2006/bibliography"/>
  </ds:schemaRefs>
</ds:datastoreItem>
</file>

<file path=customXml/itemProps3.xml><?xml version="1.0" encoding="utf-8"?>
<ds:datastoreItem xmlns:ds="http://schemas.openxmlformats.org/officeDocument/2006/customXml" ds:itemID="{BEA59992-168A-467B-9387-C562789304D2}">
  <ds:schemaRefs>
    <ds:schemaRef ds:uri="http://schemas.microsoft.com/sharepoint/v3/contenttype/forms"/>
  </ds:schemaRefs>
</ds:datastoreItem>
</file>

<file path=customXml/itemProps4.xml><?xml version="1.0" encoding="utf-8"?>
<ds:datastoreItem xmlns:ds="http://schemas.openxmlformats.org/officeDocument/2006/customXml" ds:itemID="{4C4310D5-F170-4340-91FB-3AE6F0C8929C}">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17148</Words>
  <Characters>97744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114663</CharactersWithSpaces>
  <SharedDoc>false</SharedDoc>
  <HyperlinkBase/>
  <HLinks>
    <vt:vector size="30" baseType="variant">
      <vt:variant>
        <vt:i4>6684716</vt:i4>
      </vt:variant>
      <vt:variant>
        <vt:i4>141</vt:i4>
      </vt:variant>
      <vt:variant>
        <vt:i4>0</vt:i4>
      </vt:variant>
      <vt:variant>
        <vt:i4>5</vt:i4>
      </vt:variant>
      <vt:variant>
        <vt:lpwstr>http://msac.gov.au/internet/msac/publishing.nsf/Content/Home-1</vt:lpwstr>
      </vt:variant>
      <vt:variant>
        <vt:lpwstr/>
      </vt:variant>
      <vt:variant>
        <vt:i4>67</vt:i4>
      </vt:variant>
      <vt:variant>
        <vt:i4>3</vt:i4>
      </vt:variant>
      <vt:variant>
        <vt:i4>0</vt:i4>
      </vt:variant>
      <vt:variant>
        <vt:i4>5</vt:i4>
      </vt:variant>
      <vt:variant>
        <vt:lpwstr>https://www.health.gov.au/sites/default/files/2024-04/framework-for-the-assessment-funding-and-implementation-of-high-cost-highly-specialised-therapies-and-services.pdf</vt:lpwstr>
      </vt:variant>
      <vt:variant>
        <vt:lpwstr/>
      </vt:variant>
      <vt:variant>
        <vt:i4>3997744</vt:i4>
      </vt:variant>
      <vt:variant>
        <vt:i4>0</vt:i4>
      </vt:variant>
      <vt:variant>
        <vt:i4>0</vt:i4>
      </vt:variant>
      <vt:variant>
        <vt:i4>5</vt:i4>
      </vt:variant>
      <vt:variant>
        <vt:lpwstr>http://www.msac.gov.au/</vt:lpwstr>
      </vt:variant>
      <vt:variant>
        <vt:lpwstr/>
      </vt:variant>
      <vt:variant>
        <vt:i4>5111812</vt:i4>
      </vt:variant>
      <vt:variant>
        <vt:i4>3</vt:i4>
      </vt:variant>
      <vt:variant>
        <vt:i4>0</vt:i4>
      </vt:variant>
      <vt:variant>
        <vt:i4>5</vt:i4>
      </vt:variant>
      <vt:variant>
        <vt:lpwstr>https://www.tga.gov.au/sites/default/files/auspar-dinutuximab-beta-200630-pi.pdf</vt:lpwstr>
      </vt:variant>
      <vt:variant>
        <vt:lpwstr/>
      </vt:variant>
      <vt:variant>
        <vt:i4>786538</vt:i4>
      </vt:variant>
      <vt:variant>
        <vt:i4>0</vt:i4>
      </vt:variant>
      <vt:variant>
        <vt:i4>0</vt:i4>
      </vt:variant>
      <vt:variant>
        <vt:i4>5</vt:i4>
      </vt:variant>
      <vt:variant>
        <vt:lpwstr>https://www.ema.europa.eu/en/documents/product-information/qarziba-epar-product-information_en.pdf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2025-06-02T03:06:00Z</dcterms:created>
  <dcterms:modified xsi:type="dcterms:W3CDTF">2025-06-17T03:42:00Z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