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E6B6C" w14:textId="38CC7182" w:rsidR="006478E7" w:rsidRPr="00490FBB" w:rsidRDefault="006478E7" w:rsidP="006478E7">
      <w:pPr>
        <w:spacing w:before="120" w:after="120" w:line="312" w:lineRule="auto"/>
        <w:jc w:val="center"/>
      </w:pPr>
    </w:p>
    <w:p w14:paraId="50B6D781" w14:textId="4E98DE4A" w:rsidR="006478E7" w:rsidRPr="00490FBB" w:rsidRDefault="00BB0FFB" w:rsidP="00BB0FFB">
      <w:pPr>
        <w:pStyle w:val="Heading10"/>
        <w:spacing w:before="2880"/>
        <w:jc w:val="center"/>
        <w:rPr>
          <w:sz w:val="48"/>
          <w:szCs w:val="48"/>
        </w:rPr>
      </w:pPr>
      <w:r>
        <w:rPr>
          <w:sz w:val="48"/>
          <w:szCs w:val="48"/>
        </w:rPr>
        <w:t xml:space="preserve">MSAC </w:t>
      </w:r>
      <w:r w:rsidR="006478E7" w:rsidRPr="00490FBB">
        <w:rPr>
          <w:sz w:val="48"/>
          <w:szCs w:val="48"/>
        </w:rPr>
        <w:t xml:space="preserve">Application </w:t>
      </w:r>
      <w:r w:rsidR="0013131A">
        <w:rPr>
          <w:sz w:val="48"/>
          <w:szCs w:val="48"/>
        </w:rPr>
        <w:t>1796</w:t>
      </w:r>
    </w:p>
    <w:p w14:paraId="11765312" w14:textId="2F557738" w:rsidR="006478E7" w:rsidRDefault="4EB0C8D4" w:rsidP="006478E7">
      <w:pPr>
        <w:pStyle w:val="Heading10"/>
        <w:jc w:val="center"/>
        <w:rPr>
          <w:color w:val="548DD4"/>
          <w:sz w:val="48"/>
          <w:szCs w:val="48"/>
        </w:rPr>
      </w:pPr>
      <w:r w:rsidRPr="41B304CA">
        <w:rPr>
          <w:color w:val="548DD4"/>
          <w:sz w:val="48"/>
          <w:szCs w:val="48"/>
        </w:rPr>
        <w:t>ADAMTS13 testing for the diagnosis of thrombotic thrombocytopenic purpura (TTP)</w:t>
      </w:r>
    </w:p>
    <w:p w14:paraId="44FD303D" w14:textId="23F1D0CB" w:rsidR="00477EE1" w:rsidRPr="003E73D3" w:rsidRDefault="1261B628" w:rsidP="41B304CA">
      <w:pPr>
        <w:pStyle w:val="Heading10"/>
        <w:jc w:val="center"/>
        <w:rPr>
          <w:color w:val="5B9BD5" w:themeColor="accent1"/>
          <w:sz w:val="40"/>
          <w:szCs w:val="40"/>
        </w:rPr>
      </w:pPr>
      <w:r w:rsidRPr="41B304CA">
        <w:rPr>
          <w:color w:val="548DD4"/>
          <w:sz w:val="40"/>
          <w:szCs w:val="40"/>
        </w:rPr>
        <w:t xml:space="preserve">Applicant: </w:t>
      </w:r>
      <w:r w:rsidR="18C46468" w:rsidRPr="41B304CA">
        <w:rPr>
          <w:color w:val="548DD4"/>
          <w:sz w:val="40"/>
          <w:szCs w:val="40"/>
        </w:rPr>
        <w:t>The Royal College of Pathologists of Australasia (RCPA)</w:t>
      </w:r>
    </w:p>
    <w:p w14:paraId="23900CA0" w14:textId="0993A8FF" w:rsidR="006478E7" w:rsidRPr="00490FBB" w:rsidRDefault="006478E7" w:rsidP="00BB0FFB">
      <w:pPr>
        <w:pStyle w:val="Heading1"/>
      </w:pPr>
      <w:r w:rsidRPr="00490FBB">
        <w:t>PICO Confirmation</w:t>
      </w:r>
      <w:r w:rsidRPr="00490FBB">
        <w:br w:type="page"/>
      </w:r>
    </w:p>
    <w:p w14:paraId="219312C8" w14:textId="77777777" w:rsidR="006478E7" w:rsidRPr="00D52956" w:rsidRDefault="006478E7" w:rsidP="00BB0FFB">
      <w:pPr>
        <w:pStyle w:val="Heading2"/>
      </w:pPr>
      <w:r w:rsidRPr="00D52956">
        <w:lastRenderedPageBreak/>
        <w:t>Summary of PI</w:t>
      </w:r>
      <w:r w:rsidR="00235B21">
        <w:t xml:space="preserve">CO/PPICO criteria to define </w:t>
      </w:r>
      <w:r w:rsidRPr="00D52956">
        <w:t>question(s) to be addressed in an Assessment Report to the Medical Services Advisory Committee (MSAC)</w:t>
      </w:r>
    </w:p>
    <w:p w14:paraId="224459F3" w14:textId="01522363" w:rsidR="00D52956" w:rsidRDefault="00D52956" w:rsidP="00D52956">
      <w:pPr>
        <w:pStyle w:val="Caption"/>
      </w:pPr>
      <w:bookmarkStart w:id="0" w:name="_Ref69732160"/>
      <w:bookmarkStart w:id="1" w:name="_Ref69732155"/>
      <w:r>
        <w:t>Table</w:t>
      </w:r>
      <w:r w:rsidR="00FD4C65">
        <w:t> </w:t>
      </w:r>
      <w:r>
        <w:fldChar w:fldCharType="begin"/>
      </w:r>
      <w:r>
        <w:instrText xml:space="preserve"> SEQ Table \* ARABIC </w:instrText>
      </w:r>
      <w:r>
        <w:fldChar w:fldCharType="separate"/>
      </w:r>
      <w:r w:rsidR="00AE1C62" w:rsidRPr="7091EC2E">
        <w:rPr>
          <w:noProof/>
        </w:rPr>
        <w:t>1</w:t>
      </w:r>
      <w:r>
        <w:fldChar w:fldCharType="end"/>
      </w:r>
      <w:bookmarkEnd w:id="0"/>
      <w:r>
        <w:tab/>
        <w:t>PICO</w:t>
      </w:r>
      <w:r w:rsidR="004F6731">
        <w:t xml:space="preserve"> Set 1:</w:t>
      </w:r>
      <w:r>
        <w:t xml:space="preserve"> </w:t>
      </w:r>
      <w:r w:rsidR="00FD167B">
        <w:t>ADAMTS13</w:t>
      </w:r>
      <w:r w:rsidR="00631939">
        <w:t xml:space="preserve"> testing</w:t>
      </w:r>
      <w:r>
        <w:t xml:space="preserve"> in </w:t>
      </w:r>
      <w:r w:rsidR="00631939">
        <w:t>patient</w:t>
      </w:r>
      <w:r w:rsidR="0071083F">
        <w:t>s</w:t>
      </w:r>
      <w:r w:rsidR="00631939">
        <w:t xml:space="preserve"> with </w:t>
      </w:r>
      <w:r w:rsidR="6BA2EC1E">
        <w:t>symptoms and signs</w:t>
      </w:r>
      <w:r w:rsidR="0071083F">
        <w:t xml:space="preserve"> </w:t>
      </w:r>
      <w:r w:rsidR="0082563D">
        <w:t xml:space="preserve">suggestive </w:t>
      </w:r>
      <w:r w:rsidR="00B9390B">
        <w:t xml:space="preserve">of </w:t>
      </w:r>
      <w:r w:rsidR="004644CD">
        <w:t>thrombotic microangiopathy (</w:t>
      </w:r>
      <w:r w:rsidR="00D62DA8">
        <w:t>TMA</w:t>
      </w:r>
      <w:r w:rsidR="004644CD">
        <w:t>)</w:t>
      </w:r>
      <w:r w:rsidR="00D62DA8">
        <w:t xml:space="preserve"> </w:t>
      </w:r>
      <w:r w:rsidR="0071083F">
        <w:t xml:space="preserve">for the </w:t>
      </w:r>
      <w:r w:rsidR="00CD6597">
        <w:t xml:space="preserve">differential </w:t>
      </w:r>
      <w:r w:rsidR="0071083F">
        <w:t>diagnosis of</w:t>
      </w:r>
      <w:r w:rsidR="00993E8B">
        <w:t xml:space="preserve"> </w:t>
      </w:r>
      <w:r w:rsidR="005025B0">
        <w:t>thrombotic thrombocytopenic purpura (</w:t>
      </w:r>
      <w:r w:rsidR="006F7F5D">
        <w:t>TTP</w:t>
      </w:r>
      <w:r w:rsidR="005025B0">
        <w:t>)</w:t>
      </w:r>
      <w:r w:rsidR="006F7F5D">
        <w:t xml:space="preserve"> vs. non-TTP and </w:t>
      </w:r>
      <w:r w:rsidR="00281371">
        <w:t xml:space="preserve">immune-mediated </w:t>
      </w:r>
      <w:r w:rsidR="004178D9">
        <w:t>TTP</w:t>
      </w:r>
      <w:r w:rsidR="00672341">
        <w:t xml:space="preserve"> vs. </w:t>
      </w:r>
      <w:r w:rsidR="00281371">
        <w:t xml:space="preserve">congenital </w:t>
      </w:r>
      <w:r w:rsidR="00BF2FD3">
        <w:t>TTP</w:t>
      </w:r>
      <w:bookmarkEnd w:id="1"/>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6478E7" w:rsidRPr="00490FBB" w14:paraId="2A509B30" w14:textId="77777777" w:rsidTr="7091EC2E">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333B8A35" w14:textId="77777777" w:rsidR="006478E7" w:rsidRPr="00490FBB" w:rsidRDefault="006478E7" w:rsidP="00C54349">
            <w:pPr>
              <w:spacing w:before="20" w:after="20" w:line="240" w:lineRule="auto"/>
              <w:rPr>
                <w:b/>
              </w:rPr>
            </w:pPr>
            <w:bookmarkStart w:id="2" w:name="Title_Table1" w:colFirst="0" w:colLast="0"/>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31DF4F" w14:textId="77777777" w:rsidR="006478E7" w:rsidRPr="00490FBB" w:rsidRDefault="006478E7" w:rsidP="00C54349">
            <w:pPr>
              <w:spacing w:before="20" w:after="20" w:line="240" w:lineRule="auto"/>
              <w:rPr>
                <w:b/>
              </w:rPr>
            </w:pPr>
            <w:r w:rsidRPr="00490FBB">
              <w:rPr>
                <w:b/>
              </w:rPr>
              <w:t>Description</w:t>
            </w:r>
          </w:p>
        </w:tc>
      </w:tr>
      <w:bookmarkEnd w:id="2"/>
      <w:tr w:rsidR="006478E7" w:rsidRPr="006264AC" w14:paraId="78E0BB65" w14:textId="77777777" w:rsidTr="7091EC2E">
        <w:tc>
          <w:tcPr>
            <w:tcW w:w="1005" w:type="pct"/>
            <w:tcBorders>
              <w:top w:val="single" w:sz="8" w:space="0" w:color="auto"/>
              <w:left w:val="single" w:sz="8" w:space="0" w:color="auto"/>
              <w:bottom w:val="single" w:sz="4" w:space="0" w:color="auto"/>
              <w:right w:val="single" w:sz="4" w:space="0" w:color="auto"/>
            </w:tcBorders>
            <w:hideMark/>
          </w:tcPr>
          <w:p w14:paraId="715E50D5" w14:textId="74EB4863" w:rsidR="006478E7" w:rsidRPr="006264AC" w:rsidRDefault="00F660E8" w:rsidP="00CA6EB8">
            <w:pPr>
              <w:pStyle w:val="TableText0"/>
              <w:rPr>
                <w:rFonts w:ascii="Calibri" w:hAnsi="Calibri" w:cs="Calibri"/>
                <w:sz w:val="22"/>
              </w:rPr>
            </w:pPr>
            <w:r w:rsidRPr="006264AC">
              <w:rPr>
                <w:rFonts w:ascii="Calibri" w:hAnsi="Calibri" w:cs="Calibri"/>
                <w:sz w:val="22"/>
              </w:rPr>
              <w:t>Population</w:t>
            </w:r>
          </w:p>
        </w:tc>
        <w:tc>
          <w:tcPr>
            <w:tcW w:w="3995" w:type="pct"/>
            <w:tcBorders>
              <w:top w:val="single" w:sz="4" w:space="0" w:color="auto"/>
              <w:left w:val="single" w:sz="4" w:space="0" w:color="auto"/>
              <w:bottom w:val="single" w:sz="4" w:space="0" w:color="auto"/>
              <w:right w:val="single" w:sz="4" w:space="0" w:color="auto"/>
            </w:tcBorders>
            <w:hideMark/>
          </w:tcPr>
          <w:p w14:paraId="4A4FF7C2" w14:textId="39EE499F" w:rsidR="008C40C6" w:rsidRPr="006264AC" w:rsidRDefault="00EF314C" w:rsidP="00EE12DA">
            <w:pPr>
              <w:pStyle w:val="TableText0"/>
              <w:rPr>
                <w:rFonts w:ascii="Calibri" w:hAnsi="Calibri" w:cs="Calibri"/>
                <w:sz w:val="22"/>
              </w:rPr>
            </w:pPr>
            <w:r w:rsidRPr="006264AC">
              <w:rPr>
                <w:rFonts w:ascii="Calibri" w:hAnsi="Calibri" w:cs="Calibri"/>
                <w:sz w:val="22"/>
              </w:rPr>
              <w:t xml:space="preserve">Patients with </w:t>
            </w:r>
            <w:r w:rsidR="33AEE283" w:rsidRPr="006264AC">
              <w:rPr>
                <w:rFonts w:ascii="Calibri" w:hAnsi="Calibri" w:cs="Calibri"/>
                <w:sz w:val="22"/>
              </w:rPr>
              <w:t>symptoms a</w:t>
            </w:r>
            <w:r w:rsidR="6716E752" w:rsidRPr="006264AC">
              <w:rPr>
                <w:rFonts w:ascii="Calibri" w:hAnsi="Calibri" w:cs="Calibri"/>
                <w:sz w:val="22"/>
              </w:rPr>
              <w:t>n</w:t>
            </w:r>
            <w:r w:rsidR="33AEE283" w:rsidRPr="006264AC">
              <w:rPr>
                <w:rFonts w:ascii="Calibri" w:hAnsi="Calibri" w:cs="Calibri"/>
                <w:sz w:val="22"/>
              </w:rPr>
              <w:t xml:space="preserve">d signs </w:t>
            </w:r>
            <w:r w:rsidR="003A2A49" w:rsidRPr="006264AC">
              <w:rPr>
                <w:rFonts w:ascii="Calibri" w:hAnsi="Calibri" w:cs="Calibri"/>
                <w:sz w:val="22"/>
              </w:rPr>
              <w:t xml:space="preserve">suggestive </w:t>
            </w:r>
            <w:r w:rsidR="00F13D9E" w:rsidRPr="006264AC">
              <w:rPr>
                <w:rFonts w:ascii="Calibri" w:hAnsi="Calibri" w:cs="Calibri"/>
                <w:sz w:val="22"/>
              </w:rPr>
              <w:t xml:space="preserve">of </w:t>
            </w:r>
            <w:r w:rsidRPr="006264AC">
              <w:rPr>
                <w:rFonts w:ascii="Calibri" w:hAnsi="Calibri" w:cs="Calibri"/>
                <w:sz w:val="22"/>
              </w:rPr>
              <w:t xml:space="preserve">TMA </w:t>
            </w:r>
            <w:r w:rsidR="001B14EE" w:rsidRPr="006264AC">
              <w:rPr>
                <w:rFonts w:ascii="Calibri" w:hAnsi="Calibri" w:cs="Calibri"/>
                <w:sz w:val="22"/>
              </w:rPr>
              <w:t>(</w:t>
            </w:r>
            <w:r w:rsidRPr="006264AC">
              <w:rPr>
                <w:rFonts w:ascii="Calibri" w:hAnsi="Calibri" w:cs="Calibri"/>
                <w:sz w:val="22"/>
              </w:rPr>
              <w:t xml:space="preserve">such as </w:t>
            </w:r>
            <w:r w:rsidR="00F13D9E" w:rsidRPr="006264AC">
              <w:rPr>
                <w:rFonts w:ascii="Calibri" w:hAnsi="Calibri" w:cs="Calibri"/>
                <w:sz w:val="22"/>
              </w:rPr>
              <w:t>thrombocytopenia, microangiopathic haemolytic anaemia and neurological symptoms ranging from headache to coma</w:t>
            </w:r>
            <w:r w:rsidR="001B14EE" w:rsidRPr="006264AC">
              <w:rPr>
                <w:rFonts w:ascii="Calibri" w:hAnsi="Calibri" w:cs="Calibri"/>
                <w:sz w:val="22"/>
              </w:rPr>
              <w:t>),</w:t>
            </w:r>
            <w:r w:rsidR="00064706" w:rsidRPr="006264AC">
              <w:rPr>
                <w:rFonts w:ascii="Calibri" w:hAnsi="Calibri" w:cs="Calibri"/>
                <w:sz w:val="22"/>
              </w:rPr>
              <w:t xml:space="preserve"> </w:t>
            </w:r>
            <w:r w:rsidR="001B14EE" w:rsidRPr="006264AC">
              <w:rPr>
                <w:rFonts w:ascii="Calibri" w:hAnsi="Calibri" w:cs="Calibri"/>
                <w:sz w:val="22"/>
              </w:rPr>
              <w:t>and a</w:t>
            </w:r>
            <w:r w:rsidR="002A1092" w:rsidRPr="006264AC">
              <w:rPr>
                <w:rFonts w:ascii="Calibri" w:hAnsi="Calibri" w:cs="Calibri"/>
                <w:sz w:val="22"/>
              </w:rPr>
              <w:t xml:space="preserve"> PLASMIC score </w:t>
            </w:r>
            <w:r w:rsidR="00246A1D" w:rsidRPr="006264AC">
              <w:rPr>
                <w:rFonts w:ascii="Calibri" w:hAnsi="Calibri" w:cs="Calibri"/>
                <w:sz w:val="22"/>
              </w:rPr>
              <w:t>&gt;</w:t>
            </w:r>
            <w:r w:rsidR="00AE7E73" w:rsidRPr="006264AC">
              <w:rPr>
                <w:rFonts w:ascii="Calibri" w:hAnsi="Calibri" w:cs="Calibri"/>
                <w:sz w:val="22"/>
              </w:rPr>
              <w:t>4</w:t>
            </w:r>
            <w:r w:rsidR="00A658E3" w:rsidRPr="006264AC">
              <w:rPr>
                <w:rFonts w:ascii="Calibri" w:hAnsi="Calibri" w:cs="Calibri"/>
                <w:sz w:val="22"/>
                <w:vertAlign w:val="superscript"/>
              </w:rPr>
              <w:t>a</w:t>
            </w:r>
          </w:p>
        </w:tc>
      </w:tr>
      <w:tr w:rsidR="006478E7" w:rsidRPr="006264AC" w14:paraId="2A9CC9A6" w14:textId="77777777" w:rsidTr="7091EC2E">
        <w:tc>
          <w:tcPr>
            <w:tcW w:w="1005" w:type="pct"/>
            <w:tcBorders>
              <w:top w:val="single" w:sz="8" w:space="0" w:color="auto"/>
              <w:left w:val="single" w:sz="8" w:space="0" w:color="auto"/>
              <w:bottom w:val="single" w:sz="4" w:space="0" w:color="auto"/>
              <w:right w:val="single" w:sz="4" w:space="0" w:color="auto"/>
            </w:tcBorders>
            <w:hideMark/>
          </w:tcPr>
          <w:p w14:paraId="75E49351" w14:textId="48C42D33" w:rsidR="006478E7" w:rsidRPr="006264AC" w:rsidRDefault="006478E7" w:rsidP="00CA6EB8">
            <w:pPr>
              <w:pStyle w:val="TableText0"/>
              <w:rPr>
                <w:rFonts w:asciiTheme="minorHAnsi" w:hAnsiTheme="minorHAnsi" w:cstheme="minorHAnsi"/>
                <w:sz w:val="22"/>
              </w:rPr>
            </w:pPr>
            <w:r w:rsidRPr="006264AC">
              <w:rPr>
                <w:rFonts w:asciiTheme="minorHAnsi" w:hAnsiTheme="minorHAnsi" w:cstheme="minorHAnsi"/>
                <w:sz w:val="22"/>
              </w:rPr>
              <w:t>Prior tests</w:t>
            </w:r>
            <w:r w:rsidR="00C54349" w:rsidRPr="006264AC">
              <w:rPr>
                <w:rFonts w:asciiTheme="minorHAnsi" w:hAnsiTheme="minorHAnsi" w:cstheme="minorHAnsi"/>
                <w:sz w:val="22"/>
              </w:rPr>
              <w:t xml:space="preserve"> </w:t>
            </w:r>
          </w:p>
        </w:tc>
        <w:tc>
          <w:tcPr>
            <w:tcW w:w="3995" w:type="pct"/>
            <w:tcBorders>
              <w:top w:val="single" w:sz="4" w:space="0" w:color="auto"/>
              <w:left w:val="single" w:sz="4" w:space="0" w:color="auto"/>
              <w:bottom w:val="single" w:sz="4" w:space="0" w:color="auto"/>
              <w:right w:val="single" w:sz="4" w:space="0" w:color="auto"/>
            </w:tcBorders>
            <w:hideMark/>
          </w:tcPr>
          <w:p w14:paraId="18FE4D29" w14:textId="64086FB8" w:rsidR="009F7354" w:rsidRPr="006264AC" w:rsidRDefault="009A22EB" w:rsidP="009A22EB">
            <w:pPr>
              <w:pStyle w:val="TableText0"/>
              <w:rPr>
                <w:rFonts w:asciiTheme="minorHAnsi" w:hAnsiTheme="minorHAnsi" w:cstheme="minorHAnsi"/>
                <w:sz w:val="22"/>
              </w:rPr>
            </w:pPr>
            <w:r w:rsidRPr="006264AC">
              <w:rPr>
                <w:rFonts w:asciiTheme="minorHAnsi" w:hAnsiTheme="minorHAnsi" w:cstheme="minorHAnsi"/>
                <w:sz w:val="22"/>
              </w:rPr>
              <w:t xml:space="preserve">Standard </w:t>
            </w:r>
            <w:r w:rsidR="008D1AC1" w:rsidRPr="006264AC">
              <w:rPr>
                <w:rFonts w:asciiTheme="minorHAnsi" w:hAnsiTheme="minorHAnsi" w:cstheme="minorHAnsi"/>
                <w:sz w:val="22"/>
              </w:rPr>
              <w:t>tests:</w:t>
            </w:r>
            <w:r w:rsidR="008079A4"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full </w:t>
            </w:r>
            <w:r w:rsidR="009F7354" w:rsidRPr="006264AC">
              <w:rPr>
                <w:rFonts w:asciiTheme="minorHAnsi" w:hAnsiTheme="minorHAnsi" w:cstheme="minorHAnsi"/>
                <w:sz w:val="22"/>
              </w:rPr>
              <w:t>blood count</w:t>
            </w:r>
            <w:r w:rsidR="008079A4"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peripheral </w:t>
            </w:r>
            <w:r w:rsidR="009F7354" w:rsidRPr="006264AC">
              <w:rPr>
                <w:rFonts w:asciiTheme="minorHAnsi" w:hAnsiTheme="minorHAnsi" w:cstheme="minorHAnsi"/>
                <w:sz w:val="22"/>
              </w:rPr>
              <w:t>blood film (schistocytes)</w:t>
            </w:r>
            <w:r w:rsidR="00BB3187"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elevated </w:t>
            </w:r>
            <w:r w:rsidR="009F7354" w:rsidRPr="006264AC">
              <w:rPr>
                <w:rFonts w:asciiTheme="minorHAnsi" w:hAnsiTheme="minorHAnsi" w:cstheme="minorHAnsi"/>
                <w:sz w:val="22"/>
              </w:rPr>
              <w:t>reticulocyte (immature red blood cells) count</w:t>
            </w:r>
            <w:r w:rsidR="00BB3187"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elevated </w:t>
            </w:r>
            <w:r w:rsidR="009F7354" w:rsidRPr="006264AC">
              <w:rPr>
                <w:rFonts w:asciiTheme="minorHAnsi" w:hAnsiTheme="minorHAnsi" w:cstheme="minorHAnsi"/>
                <w:sz w:val="22"/>
              </w:rPr>
              <w:t>lactate dehydrogenase</w:t>
            </w:r>
            <w:r w:rsidR="008079A4"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reduced </w:t>
            </w:r>
            <w:r w:rsidR="009F7354" w:rsidRPr="006264AC">
              <w:rPr>
                <w:rFonts w:asciiTheme="minorHAnsi" w:hAnsiTheme="minorHAnsi" w:cstheme="minorHAnsi"/>
                <w:sz w:val="22"/>
              </w:rPr>
              <w:t>haptoglobin</w:t>
            </w:r>
            <w:r w:rsidR="00BB3187"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urea </w:t>
            </w:r>
            <w:r w:rsidR="009F7354" w:rsidRPr="006264AC">
              <w:rPr>
                <w:rFonts w:asciiTheme="minorHAnsi" w:hAnsiTheme="minorHAnsi" w:cstheme="minorHAnsi"/>
                <w:sz w:val="22"/>
              </w:rPr>
              <w:t>and electrolytes</w:t>
            </w:r>
            <w:r w:rsidR="008079A4"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troponin </w:t>
            </w:r>
            <w:r w:rsidR="009F7354" w:rsidRPr="006264AC">
              <w:rPr>
                <w:rFonts w:asciiTheme="minorHAnsi" w:hAnsiTheme="minorHAnsi" w:cstheme="minorHAnsi"/>
                <w:sz w:val="22"/>
              </w:rPr>
              <w:t>T/</w:t>
            </w:r>
            <w:r w:rsidR="00C63047" w:rsidRPr="006264AC">
              <w:rPr>
                <w:rFonts w:asciiTheme="minorHAnsi" w:hAnsiTheme="minorHAnsi" w:cstheme="minorHAnsi"/>
                <w:sz w:val="22"/>
              </w:rPr>
              <w:t xml:space="preserve">troponin </w:t>
            </w:r>
            <w:r w:rsidR="009F7354" w:rsidRPr="006264AC">
              <w:rPr>
                <w:rFonts w:asciiTheme="minorHAnsi" w:hAnsiTheme="minorHAnsi" w:cstheme="minorHAnsi"/>
                <w:sz w:val="22"/>
              </w:rPr>
              <w:t>I</w:t>
            </w:r>
            <w:r w:rsidR="008079A4" w:rsidRPr="006264AC">
              <w:rPr>
                <w:rFonts w:asciiTheme="minorHAnsi" w:hAnsiTheme="minorHAnsi" w:cstheme="minorHAnsi"/>
                <w:sz w:val="22"/>
              </w:rPr>
              <w:t xml:space="preserve">; </w:t>
            </w:r>
            <w:r w:rsidR="009F7354" w:rsidRPr="006264AC">
              <w:rPr>
                <w:rFonts w:asciiTheme="minorHAnsi" w:hAnsiTheme="minorHAnsi" w:cstheme="minorHAnsi"/>
                <w:sz w:val="22"/>
              </w:rPr>
              <w:t>bilirubin</w:t>
            </w:r>
            <w:r w:rsidR="00BB3187" w:rsidRPr="006264AC">
              <w:rPr>
                <w:rFonts w:asciiTheme="minorHAnsi" w:hAnsiTheme="minorHAnsi" w:cstheme="minorHAnsi"/>
                <w:sz w:val="22"/>
              </w:rPr>
              <w:t>;</w:t>
            </w:r>
            <w:r w:rsidR="008079A4"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direct </w:t>
            </w:r>
            <w:r w:rsidR="009F7354" w:rsidRPr="006264AC">
              <w:rPr>
                <w:rFonts w:asciiTheme="minorHAnsi" w:hAnsiTheme="minorHAnsi" w:cstheme="minorHAnsi"/>
                <w:sz w:val="22"/>
              </w:rPr>
              <w:t>antiglobulin (Coombs’)</w:t>
            </w:r>
            <w:r w:rsidR="008079A4" w:rsidRPr="006264AC">
              <w:rPr>
                <w:rFonts w:asciiTheme="minorHAnsi" w:hAnsiTheme="minorHAnsi" w:cstheme="minorHAnsi"/>
                <w:sz w:val="22"/>
              </w:rPr>
              <w:t xml:space="preserve">; </w:t>
            </w:r>
            <w:r w:rsidR="00BB3A1D" w:rsidRPr="006264AC">
              <w:rPr>
                <w:rFonts w:asciiTheme="minorHAnsi" w:hAnsiTheme="minorHAnsi" w:cstheme="minorHAnsi"/>
                <w:sz w:val="22"/>
              </w:rPr>
              <w:t xml:space="preserve">coagulation </w:t>
            </w:r>
            <w:r w:rsidR="009F7354" w:rsidRPr="006264AC">
              <w:rPr>
                <w:rFonts w:asciiTheme="minorHAnsi" w:hAnsiTheme="minorHAnsi" w:cstheme="minorHAnsi"/>
                <w:sz w:val="22"/>
              </w:rPr>
              <w:t>profile (APTT, INR, fibrinogen)</w:t>
            </w:r>
            <w:r w:rsidR="00BB3187" w:rsidRPr="006264AC">
              <w:rPr>
                <w:rFonts w:asciiTheme="minorHAnsi" w:hAnsiTheme="minorHAnsi" w:cstheme="minorHAnsi"/>
                <w:sz w:val="22"/>
              </w:rPr>
              <w:t xml:space="preserve">; </w:t>
            </w:r>
            <w:r w:rsidR="00BB3A1D" w:rsidRPr="006264AC">
              <w:rPr>
                <w:rFonts w:asciiTheme="minorHAnsi" w:hAnsiTheme="minorHAnsi" w:cstheme="minorHAnsi"/>
                <w:sz w:val="22"/>
              </w:rPr>
              <w:t>glucose</w:t>
            </w:r>
          </w:p>
          <w:p w14:paraId="5CF47E43" w14:textId="53609FC4" w:rsidR="008E41DB" w:rsidRPr="006264AC" w:rsidRDefault="009F1658" w:rsidP="009A22EB">
            <w:pPr>
              <w:pStyle w:val="TableText0"/>
              <w:spacing w:before="120"/>
              <w:rPr>
                <w:rFonts w:asciiTheme="minorHAnsi" w:hAnsiTheme="minorHAnsi" w:cstheme="minorHAnsi"/>
                <w:sz w:val="22"/>
              </w:rPr>
            </w:pPr>
            <w:r w:rsidRPr="006264AC">
              <w:rPr>
                <w:rFonts w:asciiTheme="minorHAnsi" w:hAnsiTheme="minorHAnsi" w:cstheme="minorHAnsi"/>
                <w:sz w:val="22"/>
              </w:rPr>
              <w:t xml:space="preserve">PLASMIC </w:t>
            </w:r>
            <w:r w:rsidR="008E41DB" w:rsidRPr="006264AC">
              <w:rPr>
                <w:rFonts w:asciiTheme="minorHAnsi" w:hAnsiTheme="minorHAnsi" w:cstheme="minorHAnsi"/>
                <w:sz w:val="22"/>
              </w:rPr>
              <w:t>score</w:t>
            </w:r>
            <w:r w:rsidR="0034098E" w:rsidRPr="006264AC">
              <w:rPr>
                <w:rFonts w:asciiTheme="minorHAnsi" w:hAnsiTheme="minorHAnsi" w:cstheme="minorHAnsi"/>
                <w:sz w:val="22"/>
                <w:vertAlign w:val="superscript"/>
              </w:rPr>
              <w:t>a</w:t>
            </w:r>
          </w:p>
        </w:tc>
      </w:tr>
      <w:tr w:rsidR="006478E7" w:rsidRPr="006264AC" w14:paraId="654E13A9" w14:textId="77777777" w:rsidTr="7091EC2E">
        <w:tc>
          <w:tcPr>
            <w:tcW w:w="1005" w:type="pct"/>
            <w:tcBorders>
              <w:top w:val="single" w:sz="4" w:space="0" w:color="auto"/>
              <w:left w:val="single" w:sz="8" w:space="0" w:color="auto"/>
              <w:bottom w:val="single" w:sz="4" w:space="0" w:color="auto"/>
              <w:right w:val="single" w:sz="4" w:space="0" w:color="auto"/>
            </w:tcBorders>
            <w:hideMark/>
          </w:tcPr>
          <w:p w14:paraId="5BF0C211" w14:textId="24A8BAA2" w:rsidR="006478E7" w:rsidRPr="006264AC" w:rsidRDefault="006478E7" w:rsidP="00CA6EB8">
            <w:pPr>
              <w:pStyle w:val="TableText0"/>
              <w:rPr>
                <w:rFonts w:asciiTheme="minorHAnsi" w:hAnsiTheme="minorHAnsi" w:cstheme="minorHAnsi"/>
                <w:sz w:val="22"/>
              </w:rPr>
            </w:pPr>
            <w:r w:rsidRPr="006264AC">
              <w:rPr>
                <w:rFonts w:asciiTheme="minorHAnsi" w:hAnsiTheme="minorHAnsi" w:cstheme="minorHAnsi"/>
                <w:sz w:val="22"/>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47A3ECAB" w14:textId="39C4DD76" w:rsidR="00F41102" w:rsidRPr="006264AC" w:rsidRDefault="0027306F" w:rsidP="00F41102">
            <w:pPr>
              <w:pStyle w:val="TableText0"/>
              <w:spacing w:after="0"/>
              <w:rPr>
                <w:rFonts w:asciiTheme="minorHAnsi" w:hAnsiTheme="minorHAnsi" w:cstheme="minorHAnsi"/>
                <w:b/>
                <w:bCs/>
                <w:sz w:val="22"/>
              </w:rPr>
            </w:pPr>
            <w:r w:rsidRPr="006264AC">
              <w:rPr>
                <w:rFonts w:asciiTheme="minorHAnsi" w:hAnsiTheme="minorHAnsi" w:cstheme="minorHAnsi"/>
                <w:b/>
                <w:bCs/>
                <w:sz w:val="22"/>
              </w:rPr>
              <w:t xml:space="preserve">Sequential testing </w:t>
            </w:r>
            <w:r w:rsidR="00711DEA" w:rsidRPr="006264AC">
              <w:rPr>
                <w:rFonts w:asciiTheme="minorHAnsi" w:hAnsiTheme="minorHAnsi" w:cstheme="minorHAnsi"/>
                <w:b/>
                <w:bCs/>
                <w:sz w:val="22"/>
              </w:rPr>
              <w:t>with</w:t>
            </w:r>
            <w:r w:rsidR="00973CA7" w:rsidRPr="006264AC">
              <w:rPr>
                <w:rFonts w:asciiTheme="minorHAnsi" w:hAnsiTheme="minorHAnsi" w:cstheme="minorHAnsi"/>
                <w:b/>
                <w:bCs/>
                <w:sz w:val="22"/>
              </w:rPr>
              <w:t>:</w:t>
            </w:r>
          </w:p>
          <w:p w14:paraId="1CEF0253" w14:textId="3277AC96" w:rsidR="0040104C" w:rsidRPr="006264AC" w:rsidRDefault="00426BD5" w:rsidP="00D248BC">
            <w:pPr>
              <w:pStyle w:val="TableTextbullet"/>
              <w:rPr>
                <w:rFonts w:asciiTheme="minorHAnsi" w:hAnsiTheme="minorHAnsi" w:cstheme="minorHAnsi"/>
                <w:sz w:val="22"/>
              </w:rPr>
            </w:pPr>
            <w:r w:rsidRPr="006264AC">
              <w:rPr>
                <w:rFonts w:asciiTheme="minorHAnsi" w:hAnsiTheme="minorHAnsi" w:cstheme="minorHAnsi"/>
                <w:sz w:val="22"/>
              </w:rPr>
              <w:t xml:space="preserve">ADAMTS13 </w:t>
            </w:r>
            <w:r w:rsidR="00272857" w:rsidRPr="006264AC">
              <w:rPr>
                <w:rFonts w:asciiTheme="minorHAnsi" w:hAnsiTheme="minorHAnsi" w:cstheme="minorHAnsi"/>
                <w:sz w:val="22"/>
              </w:rPr>
              <w:t xml:space="preserve">activity </w:t>
            </w:r>
            <w:r w:rsidRPr="006264AC">
              <w:rPr>
                <w:rFonts w:asciiTheme="minorHAnsi" w:hAnsiTheme="minorHAnsi" w:cstheme="minorHAnsi"/>
                <w:sz w:val="22"/>
              </w:rPr>
              <w:t>test</w:t>
            </w:r>
            <w:r w:rsidR="00A658E3" w:rsidRPr="006264AC">
              <w:rPr>
                <w:rFonts w:asciiTheme="minorHAnsi" w:hAnsiTheme="minorHAnsi" w:cstheme="minorHAnsi"/>
                <w:sz w:val="22"/>
                <w:vertAlign w:val="superscript"/>
              </w:rPr>
              <w:t>b</w:t>
            </w:r>
          </w:p>
          <w:p w14:paraId="521F2288" w14:textId="1077A774" w:rsidR="00C91367" w:rsidRPr="006264AC" w:rsidRDefault="005912E0" w:rsidP="00D248BC">
            <w:pPr>
              <w:pStyle w:val="TableTextbullet"/>
              <w:rPr>
                <w:rFonts w:asciiTheme="minorHAnsi" w:hAnsiTheme="minorHAnsi" w:cstheme="minorHAnsi"/>
                <w:sz w:val="22"/>
              </w:rPr>
            </w:pPr>
            <w:r w:rsidRPr="006264AC">
              <w:rPr>
                <w:rFonts w:asciiTheme="minorHAnsi" w:hAnsiTheme="minorHAnsi" w:cstheme="minorHAnsi"/>
                <w:sz w:val="22"/>
              </w:rPr>
              <w:t>Anti-</w:t>
            </w:r>
            <w:r w:rsidR="00E16358" w:rsidRPr="006264AC">
              <w:rPr>
                <w:rFonts w:asciiTheme="minorHAnsi" w:hAnsiTheme="minorHAnsi" w:cstheme="minorHAnsi"/>
                <w:sz w:val="22"/>
              </w:rPr>
              <w:t xml:space="preserve">ADAMTS13 </w:t>
            </w:r>
            <w:r w:rsidR="001514E0" w:rsidRPr="006264AC">
              <w:rPr>
                <w:rFonts w:asciiTheme="minorHAnsi" w:hAnsiTheme="minorHAnsi" w:cstheme="minorHAnsi"/>
                <w:sz w:val="22"/>
              </w:rPr>
              <w:t>autoantibod</w:t>
            </w:r>
            <w:r w:rsidR="00D23B5E" w:rsidRPr="006264AC">
              <w:rPr>
                <w:rFonts w:asciiTheme="minorHAnsi" w:hAnsiTheme="minorHAnsi" w:cstheme="minorHAnsi"/>
                <w:sz w:val="22"/>
              </w:rPr>
              <w:t>y</w:t>
            </w:r>
            <w:r w:rsidR="00E16358" w:rsidRPr="006264AC">
              <w:rPr>
                <w:rFonts w:asciiTheme="minorHAnsi" w:hAnsiTheme="minorHAnsi" w:cstheme="minorHAnsi"/>
                <w:sz w:val="22"/>
              </w:rPr>
              <w:t xml:space="preserve"> test</w:t>
            </w:r>
            <w:r w:rsidR="003528E1" w:rsidRPr="006264AC">
              <w:rPr>
                <w:rFonts w:asciiTheme="minorHAnsi" w:hAnsiTheme="minorHAnsi" w:cstheme="minorHAnsi"/>
                <w:sz w:val="22"/>
              </w:rPr>
              <w:t xml:space="preserve"> </w:t>
            </w:r>
            <w:r w:rsidR="00361E45" w:rsidRPr="006264AC">
              <w:rPr>
                <w:rFonts w:asciiTheme="minorHAnsi" w:hAnsiTheme="minorHAnsi" w:cstheme="minorHAnsi"/>
                <w:sz w:val="22"/>
              </w:rPr>
              <w:t>in</w:t>
            </w:r>
            <w:r w:rsidR="003528E1" w:rsidRPr="006264AC">
              <w:rPr>
                <w:rFonts w:asciiTheme="minorHAnsi" w:hAnsiTheme="minorHAnsi" w:cstheme="minorHAnsi"/>
                <w:sz w:val="22"/>
              </w:rPr>
              <w:t xml:space="preserve"> </w:t>
            </w:r>
            <w:r w:rsidR="00266383" w:rsidRPr="006264AC">
              <w:rPr>
                <w:rFonts w:asciiTheme="minorHAnsi" w:hAnsiTheme="minorHAnsi" w:cstheme="minorHAnsi"/>
                <w:sz w:val="22"/>
              </w:rPr>
              <w:t>patients with ADAMTS13 activity &lt;10%</w:t>
            </w:r>
            <w:r w:rsidR="00B57B33" w:rsidRPr="006264AC">
              <w:rPr>
                <w:rFonts w:asciiTheme="minorHAnsi" w:hAnsiTheme="minorHAnsi" w:cstheme="minorHAnsi"/>
                <w:sz w:val="22"/>
                <w:vertAlign w:val="superscript"/>
              </w:rPr>
              <w:t xml:space="preserve"> </w:t>
            </w:r>
            <w:r w:rsidR="00A658E3" w:rsidRPr="006264AC">
              <w:rPr>
                <w:rFonts w:asciiTheme="minorHAnsi" w:hAnsiTheme="minorHAnsi" w:cstheme="minorHAnsi"/>
                <w:sz w:val="22"/>
                <w:vertAlign w:val="superscript"/>
              </w:rPr>
              <w:t>b</w:t>
            </w:r>
          </w:p>
          <w:p w14:paraId="3E51DB12" w14:textId="1C189153" w:rsidR="00837E25" w:rsidRPr="006264AC" w:rsidRDefault="00837E25" w:rsidP="00D248BC">
            <w:pPr>
              <w:pStyle w:val="TableTextbullet"/>
              <w:rPr>
                <w:rFonts w:asciiTheme="minorHAnsi" w:hAnsiTheme="minorHAnsi" w:cstheme="minorHAnsi"/>
                <w:sz w:val="22"/>
              </w:rPr>
            </w:pPr>
            <w:r w:rsidRPr="006264AC">
              <w:rPr>
                <w:rFonts w:asciiTheme="minorHAnsi" w:hAnsiTheme="minorHAnsi" w:cstheme="minorHAnsi"/>
                <w:i/>
                <w:iCs/>
                <w:sz w:val="22"/>
              </w:rPr>
              <w:t>ADAMTS13</w:t>
            </w:r>
            <w:r w:rsidRPr="006264AC">
              <w:rPr>
                <w:rFonts w:asciiTheme="minorHAnsi" w:hAnsiTheme="minorHAnsi" w:cstheme="minorHAnsi"/>
                <w:sz w:val="22"/>
              </w:rPr>
              <w:t xml:space="preserve"> gen</w:t>
            </w:r>
            <w:r w:rsidR="00384E7D" w:rsidRPr="006264AC">
              <w:rPr>
                <w:rFonts w:asciiTheme="minorHAnsi" w:hAnsiTheme="minorHAnsi" w:cstheme="minorHAnsi"/>
                <w:sz w:val="22"/>
              </w:rPr>
              <w:t xml:space="preserve">etic </w:t>
            </w:r>
            <w:r w:rsidRPr="006264AC">
              <w:rPr>
                <w:rFonts w:asciiTheme="minorHAnsi" w:hAnsiTheme="minorHAnsi" w:cstheme="minorHAnsi"/>
                <w:sz w:val="22"/>
              </w:rPr>
              <w:t>test</w:t>
            </w:r>
            <w:r w:rsidR="003528E1" w:rsidRPr="006264AC">
              <w:rPr>
                <w:rFonts w:asciiTheme="minorHAnsi" w:hAnsiTheme="minorHAnsi" w:cstheme="minorHAnsi"/>
                <w:sz w:val="22"/>
              </w:rPr>
              <w:t xml:space="preserve"> </w:t>
            </w:r>
            <w:r w:rsidR="00361E45" w:rsidRPr="006264AC">
              <w:rPr>
                <w:rFonts w:asciiTheme="minorHAnsi" w:hAnsiTheme="minorHAnsi" w:cstheme="minorHAnsi"/>
                <w:sz w:val="22"/>
              </w:rPr>
              <w:t>in</w:t>
            </w:r>
            <w:r w:rsidR="003528E1" w:rsidRPr="006264AC">
              <w:rPr>
                <w:rFonts w:asciiTheme="minorHAnsi" w:hAnsiTheme="minorHAnsi" w:cstheme="minorHAnsi"/>
                <w:sz w:val="22"/>
              </w:rPr>
              <w:t xml:space="preserve"> </w:t>
            </w:r>
            <w:r w:rsidR="005F22F5" w:rsidRPr="006264AC">
              <w:rPr>
                <w:rFonts w:asciiTheme="minorHAnsi" w:hAnsiTheme="minorHAnsi" w:cstheme="minorHAnsi"/>
                <w:sz w:val="22"/>
              </w:rPr>
              <w:t xml:space="preserve">patients with </w:t>
            </w:r>
            <w:r w:rsidR="00B75EB6" w:rsidRPr="006264AC">
              <w:rPr>
                <w:rFonts w:asciiTheme="minorHAnsi" w:hAnsiTheme="minorHAnsi" w:cstheme="minorHAnsi"/>
                <w:sz w:val="22"/>
              </w:rPr>
              <w:t xml:space="preserve">absence of </w:t>
            </w:r>
            <w:r w:rsidR="006900C7" w:rsidRPr="006264AC">
              <w:rPr>
                <w:rFonts w:asciiTheme="minorHAnsi" w:hAnsiTheme="minorHAnsi" w:cstheme="minorHAnsi"/>
                <w:sz w:val="22"/>
              </w:rPr>
              <w:t>anti-</w:t>
            </w:r>
            <w:r w:rsidR="00B75EB6" w:rsidRPr="006264AC">
              <w:rPr>
                <w:rFonts w:asciiTheme="minorHAnsi" w:hAnsiTheme="minorHAnsi" w:cstheme="minorHAnsi"/>
                <w:sz w:val="22"/>
              </w:rPr>
              <w:t>ADAMTS13 antibodies</w:t>
            </w:r>
          </w:p>
        </w:tc>
      </w:tr>
      <w:tr w:rsidR="006478E7" w:rsidRPr="00392F4C" w14:paraId="1F5647C3" w14:textId="77777777" w:rsidTr="7091EC2E">
        <w:tc>
          <w:tcPr>
            <w:tcW w:w="1005" w:type="pct"/>
            <w:tcBorders>
              <w:top w:val="single" w:sz="4" w:space="0" w:color="auto"/>
              <w:left w:val="single" w:sz="8" w:space="0" w:color="auto"/>
              <w:bottom w:val="single" w:sz="4" w:space="0" w:color="auto"/>
              <w:right w:val="single" w:sz="4" w:space="0" w:color="auto"/>
            </w:tcBorders>
            <w:hideMark/>
          </w:tcPr>
          <w:p w14:paraId="7F55173A" w14:textId="2E53E86D" w:rsidR="006478E7" w:rsidRPr="00392F4C" w:rsidRDefault="006478E7" w:rsidP="00CA6EB8">
            <w:pPr>
              <w:pStyle w:val="TableText0"/>
              <w:rPr>
                <w:rFonts w:ascii="Calibri" w:hAnsi="Calibri" w:cs="Calibri"/>
                <w:sz w:val="22"/>
              </w:rPr>
            </w:pPr>
            <w:r w:rsidRPr="00392F4C">
              <w:rPr>
                <w:rFonts w:ascii="Calibri" w:hAnsi="Calibri" w:cs="Calibri"/>
                <w:sz w:val="22"/>
              </w:rPr>
              <w:t>Comparator</w:t>
            </w:r>
          </w:p>
        </w:tc>
        <w:tc>
          <w:tcPr>
            <w:tcW w:w="3995" w:type="pct"/>
            <w:tcBorders>
              <w:top w:val="single" w:sz="4" w:space="0" w:color="auto"/>
              <w:left w:val="single" w:sz="4" w:space="0" w:color="auto"/>
              <w:bottom w:val="single" w:sz="4" w:space="0" w:color="auto"/>
              <w:right w:val="single" w:sz="4" w:space="0" w:color="auto"/>
            </w:tcBorders>
            <w:hideMark/>
          </w:tcPr>
          <w:p w14:paraId="7E690E4B" w14:textId="1A507EC5" w:rsidR="006A7E42" w:rsidRPr="00392F4C" w:rsidRDefault="00A55C67" w:rsidP="00CA6EB8">
            <w:pPr>
              <w:pStyle w:val="TableText0"/>
              <w:rPr>
                <w:rFonts w:ascii="Calibri" w:hAnsi="Calibri" w:cs="Calibri"/>
                <w:sz w:val="22"/>
              </w:rPr>
            </w:pPr>
            <w:r w:rsidRPr="00392F4C">
              <w:rPr>
                <w:rFonts w:ascii="Calibri" w:hAnsi="Calibri" w:cs="Calibri"/>
                <w:sz w:val="22"/>
              </w:rPr>
              <w:t xml:space="preserve">Standard </w:t>
            </w:r>
            <w:r w:rsidR="004B20AA" w:rsidRPr="00392F4C">
              <w:rPr>
                <w:rFonts w:ascii="Calibri" w:hAnsi="Calibri" w:cs="Calibri"/>
                <w:sz w:val="22"/>
              </w:rPr>
              <w:t>investigations and management with no ADAMTS13 tests</w:t>
            </w:r>
          </w:p>
        </w:tc>
      </w:tr>
      <w:tr w:rsidR="00D37EDF" w:rsidRPr="00392F4C" w14:paraId="5C2FF3E9" w14:textId="77777777" w:rsidTr="7091EC2E">
        <w:tc>
          <w:tcPr>
            <w:tcW w:w="1005" w:type="pct"/>
            <w:tcBorders>
              <w:top w:val="single" w:sz="4" w:space="0" w:color="auto"/>
              <w:left w:val="single" w:sz="8" w:space="0" w:color="auto"/>
              <w:bottom w:val="single" w:sz="4" w:space="0" w:color="auto"/>
              <w:right w:val="single" w:sz="4" w:space="0" w:color="auto"/>
            </w:tcBorders>
          </w:tcPr>
          <w:p w14:paraId="0AD254A0" w14:textId="34098D3D" w:rsidR="00D37EDF" w:rsidRPr="00392F4C" w:rsidRDefault="00D37EDF" w:rsidP="00CA6EB8">
            <w:pPr>
              <w:pStyle w:val="TableText0"/>
              <w:rPr>
                <w:rFonts w:ascii="Calibri" w:hAnsi="Calibri" w:cs="Calibri"/>
                <w:sz w:val="22"/>
              </w:rPr>
            </w:pPr>
            <w:r w:rsidRPr="00392F4C">
              <w:rPr>
                <w:rFonts w:ascii="Calibri" w:hAnsi="Calibri" w:cs="Calibri"/>
                <w:sz w:val="22"/>
              </w:rPr>
              <w:t>Clinical utility standard</w:t>
            </w:r>
          </w:p>
        </w:tc>
        <w:tc>
          <w:tcPr>
            <w:tcW w:w="3995" w:type="pct"/>
            <w:tcBorders>
              <w:top w:val="single" w:sz="4" w:space="0" w:color="auto"/>
              <w:left w:val="single" w:sz="4" w:space="0" w:color="auto"/>
              <w:bottom w:val="single" w:sz="4" w:space="0" w:color="auto"/>
              <w:right w:val="single" w:sz="4" w:space="0" w:color="auto"/>
            </w:tcBorders>
          </w:tcPr>
          <w:p w14:paraId="420530DA" w14:textId="047DC6A9" w:rsidR="00D37EDF" w:rsidRPr="00392F4C" w:rsidRDefault="00D37EDF" w:rsidP="00CA6EB8">
            <w:pPr>
              <w:pStyle w:val="TableText0"/>
              <w:rPr>
                <w:rFonts w:ascii="Calibri" w:hAnsi="Calibri" w:cs="Calibri"/>
                <w:sz w:val="22"/>
              </w:rPr>
            </w:pPr>
            <w:r w:rsidRPr="00392F4C">
              <w:rPr>
                <w:rFonts w:ascii="Calibri" w:hAnsi="Calibri" w:cs="Calibri"/>
                <w:sz w:val="22"/>
              </w:rPr>
              <w:t>ADAMTS13 fluorescence resonance energy transfer assay (FRETS-VWF73), or ELISA-based detection</w:t>
            </w:r>
            <w:r w:rsidR="003E1812" w:rsidRPr="00392F4C">
              <w:rPr>
                <w:rFonts w:ascii="Calibri" w:hAnsi="Calibri" w:cs="Calibri"/>
                <w:sz w:val="22"/>
              </w:rPr>
              <w:t xml:space="preserve"> (for ADAMTS13 activity test)</w:t>
            </w:r>
          </w:p>
        </w:tc>
      </w:tr>
      <w:tr w:rsidR="00C64764" w:rsidRPr="00392F4C" w14:paraId="7B9D3F1A" w14:textId="77777777" w:rsidTr="7091EC2E">
        <w:tc>
          <w:tcPr>
            <w:tcW w:w="1005" w:type="pct"/>
            <w:tcBorders>
              <w:top w:val="single" w:sz="4" w:space="0" w:color="auto"/>
              <w:left w:val="single" w:sz="8" w:space="0" w:color="auto"/>
              <w:bottom w:val="single" w:sz="4" w:space="0" w:color="auto"/>
              <w:right w:val="single" w:sz="4" w:space="0" w:color="auto"/>
            </w:tcBorders>
          </w:tcPr>
          <w:p w14:paraId="4C0BC8B3" w14:textId="51530EB7" w:rsidR="00C64764" w:rsidRPr="00392F4C" w:rsidRDefault="00C64764" w:rsidP="00EC1DD2">
            <w:pPr>
              <w:pStyle w:val="TableText0"/>
              <w:rPr>
                <w:rFonts w:ascii="Calibri" w:hAnsi="Calibri" w:cs="Calibri"/>
                <w:sz w:val="22"/>
              </w:rPr>
            </w:pPr>
            <w:r w:rsidRPr="00392F4C">
              <w:rPr>
                <w:rFonts w:ascii="Calibri" w:hAnsi="Calibri" w:cs="Calibri"/>
                <w:sz w:val="22"/>
              </w:rPr>
              <w:t>Reference standard</w:t>
            </w:r>
          </w:p>
        </w:tc>
        <w:tc>
          <w:tcPr>
            <w:tcW w:w="3995" w:type="pct"/>
            <w:tcBorders>
              <w:top w:val="single" w:sz="4" w:space="0" w:color="auto"/>
              <w:left w:val="single" w:sz="4" w:space="0" w:color="auto"/>
              <w:bottom w:val="single" w:sz="4" w:space="0" w:color="auto"/>
              <w:right w:val="single" w:sz="4" w:space="0" w:color="auto"/>
            </w:tcBorders>
          </w:tcPr>
          <w:p w14:paraId="7B1F5217" w14:textId="49BAAA76" w:rsidR="00C64764" w:rsidRPr="00392F4C" w:rsidRDefault="00D02914" w:rsidP="00EC1DD2">
            <w:pPr>
              <w:pStyle w:val="TableText0"/>
              <w:rPr>
                <w:rFonts w:ascii="Calibri" w:hAnsi="Calibri" w:cs="Calibri"/>
                <w:sz w:val="22"/>
              </w:rPr>
            </w:pPr>
            <w:r w:rsidRPr="00392F4C">
              <w:rPr>
                <w:rFonts w:ascii="Calibri" w:hAnsi="Calibri" w:cs="Calibri"/>
                <w:sz w:val="22"/>
              </w:rPr>
              <w:t>Full</w:t>
            </w:r>
            <w:r w:rsidR="00961AA3" w:rsidRPr="00392F4C">
              <w:rPr>
                <w:rFonts w:ascii="Calibri" w:hAnsi="Calibri" w:cs="Calibri"/>
                <w:sz w:val="22"/>
              </w:rPr>
              <w:t xml:space="preserve"> diagnostic workup / consensus clinical diagnosis based on all available information</w:t>
            </w:r>
          </w:p>
        </w:tc>
      </w:tr>
      <w:tr w:rsidR="006478E7" w:rsidRPr="00392F4C" w14:paraId="591B1D2D" w14:textId="77777777" w:rsidTr="7091EC2E">
        <w:tc>
          <w:tcPr>
            <w:tcW w:w="1005" w:type="pct"/>
            <w:tcBorders>
              <w:top w:val="single" w:sz="4" w:space="0" w:color="auto"/>
              <w:left w:val="single" w:sz="8" w:space="0" w:color="auto"/>
              <w:bottom w:val="single" w:sz="4" w:space="0" w:color="auto"/>
              <w:right w:val="single" w:sz="4" w:space="0" w:color="auto"/>
            </w:tcBorders>
            <w:hideMark/>
          </w:tcPr>
          <w:p w14:paraId="635F9D15" w14:textId="77777777" w:rsidR="006478E7" w:rsidRPr="00392F4C" w:rsidRDefault="006478E7" w:rsidP="000B5E9C">
            <w:pPr>
              <w:pStyle w:val="TableText0"/>
              <w:rPr>
                <w:rFonts w:ascii="Calibri" w:hAnsi="Calibri" w:cs="Calibri"/>
                <w:sz w:val="22"/>
              </w:rPr>
            </w:pPr>
            <w:r w:rsidRPr="00392F4C">
              <w:rPr>
                <w:rFonts w:ascii="Calibri" w:hAnsi="Calibri" w:cs="Calibri"/>
                <w:sz w:val="22"/>
              </w:rPr>
              <w:t>Outcomes</w:t>
            </w:r>
          </w:p>
        </w:tc>
        <w:tc>
          <w:tcPr>
            <w:tcW w:w="3995" w:type="pct"/>
            <w:tcBorders>
              <w:top w:val="single" w:sz="4" w:space="0" w:color="auto"/>
              <w:left w:val="single" w:sz="4" w:space="0" w:color="auto"/>
              <w:bottom w:val="single" w:sz="4" w:space="0" w:color="auto"/>
              <w:right w:val="single" w:sz="4" w:space="0" w:color="auto"/>
            </w:tcBorders>
            <w:hideMark/>
          </w:tcPr>
          <w:p w14:paraId="427D0D3A" w14:textId="50954E89" w:rsidR="007259B9" w:rsidRPr="00392F4C" w:rsidRDefault="007259B9" w:rsidP="00FD7A26">
            <w:pPr>
              <w:pStyle w:val="TableText0"/>
              <w:keepNext/>
              <w:spacing w:after="0"/>
              <w:rPr>
                <w:rFonts w:ascii="Calibri" w:hAnsi="Calibri" w:cs="Calibri"/>
                <w:b/>
                <w:sz w:val="22"/>
              </w:rPr>
            </w:pPr>
            <w:bookmarkStart w:id="3" w:name="_Hlk192173405"/>
            <w:r w:rsidRPr="00392F4C">
              <w:rPr>
                <w:rFonts w:ascii="Calibri" w:hAnsi="Calibri" w:cs="Calibri"/>
                <w:b/>
                <w:sz w:val="22"/>
              </w:rPr>
              <w:t>Safety outcomes</w:t>
            </w:r>
          </w:p>
          <w:p w14:paraId="6299115D" w14:textId="5DB6FCF7" w:rsidR="00064FA5" w:rsidRPr="00392F4C" w:rsidRDefault="00020CF5" w:rsidP="00064FA5">
            <w:pPr>
              <w:pStyle w:val="TableTextbullet"/>
              <w:rPr>
                <w:rFonts w:ascii="Calibri" w:hAnsi="Calibri" w:cs="Calibri"/>
                <w:sz w:val="22"/>
              </w:rPr>
            </w:pPr>
            <w:r w:rsidRPr="00392F4C">
              <w:rPr>
                <w:rFonts w:ascii="Calibri" w:hAnsi="Calibri" w:cs="Calibri"/>
                <w:sz w:val="22"/>
              </w:rPr>
              <w:t>harms</w:t>
            </w:r>
            <w:r w:rsidR="00064FA5" w:rsidRPr="00392F4C">
              <w:rPr>
                <w:rFonts w:ascii="Calibri" w:hAnsi="Calibri" w:cs="Calibri"/>
                <w:sz w:val="22"/>
              </w:rPr>
              <w:t xml:space="preserve"> from obtaining a</w:t>
            </w:r>
            <w:r w:rsidR="000E695A" w:rsidRPr="00392F4C">
              <w:rPr>
                <w:rFonts w:ascii="Calibri" w:hAnsi="Calibri" w:cs="Calibri"/>
                <w:sz w:val="22"/>
              </w:rPr>
              <w:t xml:space="preserve"> blood</w:t>
            </w:r>
            <w:r w:rsidR="00064FA5" w:rsidRPr="00392F4C">
              <w:rPr>
                <w:rFonts w:ascii="Calibri" w:hAnsi="Calibri" w:cs="Calibri"/>
                <w:sz w:val="22"/>
              </w:rPr>
              <w:t xml:space="preserve"> sample for testing</w:t>
            </w:r>
          </w:p>
          <w:p w14:paraId="64B60552" w14:textId="78DD7331" w:rsidR="0053223B" w:rsidRPr="00392F4C" w:rsidRDefault="00877968" w:rsidP="001C5C27">
            <w:pPr>
              <w:pStyle w:val="TableTextbullet"/>
              <w:rPr>
                <w:rFonts w:ascii="Calibri" w:hAnsi="Calibri" w:cs="Calibri"/>
                <w:sz w:val="22"/>
              </w:rPr>
            </w:pPr>
            <w:r w:rsidRPr="00392F4C">
              <w:rPr>
                <w:rFonts w:ascii="Calibri" w:hAnsi="Calibri" w:cs="Calibri"/>
                <w:sz w:val="22"/>
              </w:rPr>
              <w:t>harms associated with false positive or false negative results</w:t>
            </w:r>
          </w:p>
          <w:p w14:paraId="55918B69" w14:textId="03E46C83" w:rsidR="00FA779E" w:rsidRPr="00392F4C" w:rsidRDefault="00573861" w:rsidP="00142604">
            <w:pPr>
              <w:pStyle w:val="TableTextbullet"/>
              <w:rPr>
                <w:rFonts w:ascii="Calibri" w:hAnsi="Calibri" w:cs="Calibri"/>
                <w:sz w:val="22"/>
              </w:rPr>
            </w:pPr>
            <w:r w:rsidRPr="00392F4C">
              <w:rPr>
                <w:rFonts w:ascii="Calibri" w:hAnsi="Calibri" w:cs="Calibri"/>
                <w:sz w:val="22"/>
              </w:rPr>
              <w:t xml:space="preserve">psychological </w:t>
            </w:r>
            <w:r w:rsidR="0010599F" w:rsidRPr="00392F4C">
              <w:rPr>
                <w:rFonts w:ascii="Calibri" w:hAnsi="Calibri" w:cs="Calibri"/>
                <w:sz w:val="22"/>
              </w:rPr>
              <w:t>harms due to testing</w:t>
            </w:r>
            <w:r w:rsidR="00C96567" w:rsidRPr="00392F4C">
              <w:rPr>
                <w:rFonts w:ascii="Calibri" w:hAnsi="Calibri" w:cs="Calibri"/>
                <w:sz w:val="22"/>
              </w:rPr>
              <w:t xml:space="preserve"> (positive result, negative result or variant of un</w:t>
            </w:r>
            <w:r w:rsidR="004C3B3B" w:rsidRPr="00392F4C">
              <w:rPr>
                <w:rFonts w:ascii="Calibri" w:hAnsi="Calibri" w:cs="Calibri"/>
                <w:sz w:val="22"/>
              </w:rPr>
              <w:t>certain</w:t>
            </w:r>
            <w:r w:rsidR="00C96567" w:rsidRPr="00392F4C">
              <w:rPr>
                <w:rFonts w:ascii="Calibri" w:hAnsi="Calibri" w:cs="Calibri"/>
                <w:sz w:val="22"/>
              </w:rPr>
              <w:t xml:space="preserve"> significance) or no genetic testing</w:t>
            </w:r>
          </w:p>
          <w:p w14:paraId="10DF3D1D" w14:textId="77777777" w:rsidR="0003536C" w:rsidRPr="00392F4C" w:rsidRDefault="007259B9" w:rsidP="00702F7C">
            <w:pPr>
              <w:pStyle w:val="TableText0"/>
              <w:keepNext/>
              <w:spacing w:after="0"/>
              <w:rPr>
                <w:rFonts w:ascii="Calibri" w:hAnsi="Calibri" w:cs="Calibri"/>
                <w:b/>
                <w:sz w:val="22"/>
              </w:rPr>
            </w:pPr>
            <w:r w:rsidRPr="00392F4C">
              <w:rPr>
                <w:rFonts w:ascii="Calibri" w:hAnsi="Calibri" w:cs="Calibri"/>
                <w:b/>
                <w:sz w:val="22"/>
              </w:rPr>
              <w:t>Clinical effectiveness outcomes</w:t>
            </w:r>
          </w:p>
          <w:p w14:paraId="2E09AE1D" w14:textId="6DF85298" w:rsidR="003E666D" w:rsidRPr="00392F4C" w:rsidRDefault="00055D3A" w:rsidP="00702F7C">
            <w:pPr>
              <w:pStyle w:val="TableText0"/>
              <w:keepNext/>
              <w:rPr>
                <w:rFonts w:ascii="Calibri" w:hAnsi="Calibri" w:cs="Calibri"/>
                <w:sz w:val="22"/>
              </w:rPr>
            </w:pPr>
            <w:r w:rsidRPr="00392F4C">
              <w:rPr>
                <w:rFonts w:ascii="Calibri" w:hAnsi="Calibri" w:cs="Calibri"/>
                <w:sz w:val="22"/>
              </w:rPr>
              <w:t>Test performance</w:t>
            </w:r>
          </w:p>
          <w:p w14:paraId="645CB245" w14:textId="04A27832" w:rsidR="00D22A42" w:rsidRPr="00392F4C" w:rsidRDefault="00E25693" w:rsidP="00EF3360">
            <w:pPr>
              <w:pStyle w:val="TableTextbullet"/>
              <w:rPr>
                <w:rFonts w:ascii="Calibri" w:hAnsi="Calibri" w:cs="Calibri"/>
                <w:sz w:val="22"/>
              </w:rPr>
            </w:pPr>
            <w:r w:rsidRPr="00392F4C">
              <w:rPr>
                <w:rFonts w:ascii="Calibri" w:hAnsi="Calibri" w:cs="Calibri"/>
                <w:sz w:val="22"/>
              </w:rPr>
              <w:t>diagnostic</w:t>
            </w:r>
            <w:r w:rsidR="00EC3089" w:rsidRPr="00392F4C">
              <w:rPr>
                <w:rFonts w:ascii="Calibri" w:hAnsi="Calibri" w:cs="Calibri"/>
                <w:sz w:val="22"/>
              </w:rPr>
              <w:t xml:space="preserve"> accuracy (</w:t>
            </w:r>
            <w:r w:rsidR="00021F73" w:rsidRPr="00392F4C">
              <w:rPr>
                <w:rFonts w:ascii="Calibri" w:hAnsi="Calibri" w:cs="Calibri"/>
                <w:sz w:val="22"/>
              </w:rPr>
              <w:t>sensitivity</w:t>
            </w:r>
            <w:r w:rsidR="00B4563D" w:rsidRPr="00392F4C">
              <w:rPr>
                <w:rFonts w:ascii="Calibri" w:hAnsi="Calibri" w:cs="Calibri"/>
                <w:sz w:val="22"/>
              </w:rPr>
              <w:t xml:space="preserve"> &amp; </w:t>
            </w:r>
            <w:r w:rsidR="00021F73" w:rsidRPr="00392F4C">
              <w:rPr>
                <w:rFonts w:ascii="Calibri" w:hAnsi="Calibri" w:cs="Calibri"/>
                <w:sz w:val="22"/>
              </w:rPr>
              <w:t>specificity</w:t>
            </w:r>
            <w:r w:rsidR="00BA1FB1" w:rsidRPr="00392F4C">
              <w:rPr>
                <w:rFonts w:ascii="Calibri" w:hAnsi="Calibri" w:cs="Calibri"/>
                <w:sz w:val="22"/>
              </w:rPr>
              <w:t>)</w:t>
            </w:r>
            <w:r w:rsidR="0051726E" w:rsidRPr="00392F4C">
              <w:rPr>
                <w:rFonts w:ascii="Calibri" w:hAnsi="Calibri" w:cs="Calibri"/>
                <w:sz w:val="22"/>
              </w:rPr>
              <w:t xml:space="preserve"> of </w:t>
            </w:r>
            <w:r w:rsidR="001B2BA9" w:rsidRPr="00392F4C">
              <w:rPr>
                <w:rFonts w:ascii="Calibri" w:hAnsi="Calibri" w:cs="Calibri"/>
                <w:sz w:val="22"/>
              </w:rPr>
              <w:t>each test methodology</w:t>
            </w:r>
          </w:p>
          <w:p w14:paraId="09F1669A" w14:textId="5A2336CF" w:rsidR="003E666D" w:rsidRPr="00392F4C" w:rsidRDefault="00ED044B">
            <w:pPr>
              <w:pStyle w:val="TableTextbullet"/>
              <w:rPr>
                <w:rFonts w:ascii="Calibri" w:hAnsi="Calibri" w:cs="Calibri"/>
                <w:sz w:val="22"/>
              </w:rPr>
            </w:pPr>
            <w:r w:rsidRPr="00392F4C">
              <w:rPr>
                <w:rFonts w:ascii="Calibri" w:hAnsi="Calibri" w:cs="Calibri"/>
                <w:sz w:val="22"/>
              </w:rPr>
              <w:t>concordance</w:t>
            </w:r>
          </w:p>
          <w:p w14:paraId="6A3FC339" w14:textId="63F13374" w:rsidR="003E666D" w:rsidRPr="00392F4C" w:rsidRDefault="00713E2B" w:rsidP="001C5C27">
            <w:pPr>
              <w:pStyle w:val="TableTextbullet"/>
              <w:rPr>
                <w:rFonts w:ascii="Calibri" w:hAnsi="Calibri" w:cs="Calibri"/>
                <w:sz w:val="22"/>
              </w:rPr>
            </w:pPr>
            <w:r w:rsidRPr="00392F4C">
              <w:rPr>
                <w:rFonts w:ascii="Calibri" w:hAnsi="Calibri" w:cs="Calibri"/>
                <w:sz w:val="22"/>
              </w:rPr>
              <w:t>diagnostic yield</w:t>
            </w:r>
            <w:r w:rsidR="001B2BA9" w:rsidRPr="00392F4C">
              <w:rPr>
                <w:rFonts w:ascii="Calibri" w:hAnsi="Calibri" w:cs="Calibri"/>
                <w:sz w:val="22"/>
              </w:rPr>
              <w:t xml:space="preserve"> of each test methodology</w:t>
            </w:r>
          </w:p>
          <w:p w14:paraId="1B69A0C3" w14:textId="255474F7" w:rsidR="002F2CDE" w:rsidRPr="00392F4C" w:rsidRDefault="00576B7B" w:rsidP="001C5C27">
            <w:pPr>
              <w:pStyle w:val="TableTextbullet"/>
              <w:rPr>
                <w:rFonts w:ascii="Calibri" w:hAnsi="Calibri" w:cs="Calibri"/>
                <w:sz w:val="22"/>
              </w:rPr>
            </w:pPr>
            <w:r w:rsidRPr="00392F4C">
              <w:rPr>
                <w:rFonts w:ascii="Calibri" w:hAnsi="Calibri" w:cs="Calibri"/>
                <w:sz w:val="22"/>
              </w:rPr>
              <w:t>rate of</w:t>
            </w:r>
            <w:r w:rsidR="00713E2B" w:rsidRPr="00392F4C">
              <w:rPr>
                <w:rFonts w:ascii="Calibri" w:hAnsi="Calibri" w:cs="Calibri"/>
                <w:sz w:val="22"/>
              </w:rPr>
              <w:t xml:space="preserve"> repea</w:t>
            </w:r>
            <w:r w:rsidR="008202BF" w:rsidRPr="00392F4C">
              <w:rPr>
                <w:rFonts w:ascii="Calibri" w:hAnsi="Calibri" w:cs="Calibri"/>
                <w:sz w:val="22"/>
              </w:rPr>
              <w:t>t test</w:t>
            </w:r>
            <w:r w:rsidRPr="00392F4C">
              <w:rPr>
                <w:rFonts w:ascii="Calibri" w:hAnsi="Calibri" w:cs="Calibri"/>
                <w:sz w:val="22"/>
              </w:rPr>
              <w:t>ing</w:t>
            </w:r>
          </w:p>
          <w:p w14:paraId="404B2B49" w14:textId="77777777" w:rsidR="00832614" w:rsidRPr="00392F4C" w:rsidRDefault="00832614" w:rsidP="00832614">
            <w:pPr>
              <w:pStyle w:val="TableText0"/>
              <w:keepNext/>
              <w:rPr>
                <w:rFonts w:ascii="Calibri" w:hAnsi="Calibri" w:cs="Calibri"/>
                <w:sz w:val="22"/>
              </w:rPr>
            </w:pPr>
            <w:r w:rsidRPr="00392F4C">
              <w:rPr>
                <w:rFonts w:ascii="Calibri" w:hAnsi="Calibri" w:cs="Calibri"/>
                <w:sz w:val="22"/>
              </w:rPr>
              <w:t>Predictive clinical utility of the proposed tests in guiding change in clinical management</w:t>
            </w:r>
          </w:p>
          <w:p w14:paraId="2F747B4F" w14:textId="69819695" w:rsidR="00387D18" w:rsidRPr="00392F4C" w:rsidRDefault="0061160E" w:rsidP="00FD7A26">
            <w:pPr>
              <w:pStyle w:val="TableText0"/>
              <w:keepNext/>
              <w:rPr>
                <w:rFonts w:ascii="Calibri" w:hAnsi="Calibri" w:cs="Calibri"/>
                <w:sz w:val="22"/>
              </w:rPr>
            </w:pPr>
            <w:r w:rsidRPr="00392F4C">
              <w:rPr>
                <w:rFonts w:ascii="Calibri" w:hAnsi="Calibri" w:cs="Calibri"/>
                <w:sz w:val="22"/>
              </w:rPr>
              <w:t xml:space="preserve">Change in </w:t>
            </w:r>
            <w:r w:rsidR="006F0397" w:rsidRPr="00392F4C">
              <w:rPr>
                <w:rFonts w:ascii="Calibri" w:hAnsi="Calibri" w:cs="Calibri"/>
                <w:sz w:val="22"/>
              </w:rPr>
              <w:t>management</w:t>
            </w:r>
            <w:r w:rsidR="00B96CA6" w:rsidRPr="00392F4C">
              <w:rPr>
                <w:rFonts w:ascii="Calibri" w:hAnsi="Calibri" w:cs="Calibri"/>
                <w:sz w:val="22"/>
              </w:rPr>
              <w:t xml:space="preserve"> </w:t>
            </w:r>
            <w:r w:rsidR="00044B0E" w:rsidRPr="00392F4C">
              <w:rPr>
                <w:rFonts w:ascii="Calibri" w:hAnsi="Calibri" w:cs="Calibri"/>
                <w:sz w:val="22"/>
              </w:rPr>
              <w:t>outcomes</w:t>
            </w:r>
          </w:p>
          <w:p w14:paraId="2AC28AEA" w14:textId="53751CBD" w:rsidR="00C521EB" w:rsidRPr="00392F4C" w:rsidRDefault="00106AFC" w:rsidP="00D912A5">
            <w:pPr>
              <w:pStyle w:val="TableTextbullet"/>
              <w:rPr>
                <w:rFonts w:ascii="Calibri" w:hAnsi="Calibri" w:cs="Calibri"/>
                <w:sz w:val="22"/>
              </w:rPr>
            </w:pPr>
            <w:r w:rsidRPr="00392F4C">
              <w:rPr>
                <w:rFonts w:ascii="Calibri" w:hAnsi="Calibri" w:cs="Calibri"/>
                <w:sz w:val="22"/>
              </w:rPr>
              <w:t xml:space="preserve">change in </w:t>
            </w:r>
            <w:r w:rsidR="00DD28A4" w:rsidRPr="00392F4C">
              <w:rPr>
                <w:rFonts w:ascii="Calibri" w:hAnsi="Calibri" w:cs="Calibri"/>
                <w:sz w:val="22"/>
              </w:rPr>
              <w:t>treatment (treatment ceased, treatment initiated</w:t>
            </w:r>
            <w:r w:rsidR="00D70FB5" w:rsidRPr="00392F4C">
              <w:rPr>
                <w:rFonts w:ascii="Calibri" w:hAnsi="Calibri" w:cs="Calibri"/>
                <w:sz w:val="22"/>
              </w:rPr>
              <w:t>, treatment avoided</w:t>
            </w:r>
            <w:r w:rsidR="00DD28A4" w:rsidRPr="00392F4C">
              <w:rPr>
                <w:rFonts w:ascii="Calibri" w:hAnsi="Calibri" w:cs="Calibri"/>
                <w:sz w:val="22"/>
              </w:rPr>
              <w:t>)</w:t>
            </w:r>
          </w:p>
          <w:p w14:paraId="69905F08" w14:textId="3352A9CE" w:rsidR="008F008D" w:rsidRPr="00392F4C" w:rsidRDefault="008F008D" w:rsidP="00D912A5">
            <w:pPr>
              <w:pStyle w:val="TableTextbullet"/>
              <w:rPr>
                <w:rFonts w:ascii="Calibri" w:hAnsi="Calibri" w:cs="Calibri"/>
                <w:sz w:val="22"/>
              </w:rPr>
            </w:pPr>
            <w:r w:rsidRPr="00392F4C">
              <w:rPr>
                <w:rFonts w:ascii="Calibri" w:hAnsi="Calibri" w:cs="Calibri"/>
                <w:sz w:val="22"/>
              </w:rPr>
              <w:t>time to correct diagnosis</w:t>
            </w:r>
          </w:p>
          <w:p w14:paraId="7FCBEBAC" w14:textId="12182080" w:rsidR="008F008D" w:rsidRPr="00392F4C" w:rsidRDefault="008F008D" w:rsidP="00D912A5">
            <w:pPr>
              <w:pStyle w:val="TableTextbullet"/>
              <w:rPr>
                <w:rFonts w:ascii="Calibri" w:hAnsi="Calibri" w:cs="Calibri"/>
                <w:sz w:val="22"/>
              </w:rPr>
            </w:pPr>
            <w:r w:rsidRPr="00392F4C">
              <w:rPr>
                <w:rFonts w:ascii="Calibri" w:hAnsi="Calibri" w:cs="Calibri"/>
                <w:sz w:val="22"/>
              </w:rPr>
              <w:lastRenderedPageBreak/>
              <w:t xml:space="preserve">time to </w:t>
            </w:r>
            <w:r w:rsidR="00AC4C28" w:rsidRPr="00392F4C">
              <w:rPr>
                <w:rFonts w:ascii="Calibri" w:hAnsi="Calibri" w:cs="Calibri"/>
                <w:sz w:val="22"/>
              </w:rPr>
              <w:t>appropriate treatme</w:t>
            </w:r>
            <w:r w:rsidR="0074102F" w:rsidRPr="00392F4C">
              <w:rPr>
                <w:rFonts w:ascii="Calibri" w:hAnsi="Calibri" w:cs="Calibri"/>
                <w:sz w:val="22"/>
              </w:rPr>
              <w:t>nt</w:t>
            </w:r>
          </w:p>
          <w:p w14:paraId="5C8B19CC" w14:textId="0111D3AA" w:rsidR="007B2D3C" w:rsidRPr="00392F4C" w:rsidRDefault="0077137A">
            <w:pPr>
              <w:pStyle w:val="TableTextbullet"/>
              <w:rPr>
                <w:rFonts w:ascii="Calibri" w:hAnsi="Calibri" w:cs="Calibri"/>
                <w:sz w:val="22"/>
              </w:rPr>
            </w:pPr>
            <w:r w:rsidRPr="00392F4C">
              <w:rPr>
                <w:rFonts w:ascii="Calibri" w:hAnsi="Calibri" w:cs="Calibri"/>
                <w:sz w:val="22"/>
              </w:rPr>
              <w:t>duration</w:t>
            </w:r>
            <w:r w:rsidR="00041A9B" w:rsidRPr="00392F4C">
              <w:rPr>
                <w:rFonts w:ascii="Calibri" w:hAnsi="Calibri" w:cs="Calibri"/>
                <w:sz w:val="22"/>
              </w:rPr>
              <w:t xml:space="preserve"> of </w:t>
            </w:r>
            <w:r w:rsidR="001A6F58" w:rsidRPr="00392F4C">
              <w:rPr>
                <w:rFonts w:ascii="Calibri" w:hAnsi="Calibri" w:cs="Calibri"/>
                <w:sz w:val="22"/>
              </w:rPr>
              <w:t>plasma exchange therapy (</w:t>
            </w:r>
            <w:r w:rsidR="00041A9B" w:rsidRPr="00392F4C">
              <w:rPr>
                <w:rFonts w:ascii="Calibri" w:hAnsi="Calibri" w:cs="Calibri"/>
                <w:sz w:val="22"/>
              </w:rPr>
              <w:t>PEX</w:t>
            </w:r>
            <w:r w:rsidR="001A6F58" w:rsidRPr="00392F4C">
              <w:rPr>
                <w:rFonts w:ascii="Calibri" w:hAnsi="Calibri" w:cs="Calibri"/>
                <w:sz w:val="22"/>
              </w:rPr>
              <w:t xml:space="preserve">) </w:t>
            </w:r>
          </w:p>
          <w:p w14:paraId="26058BD2" w14:textId="77777777" w:rsidR="003B14F5" w:rsidRPr="00392F4C" w:rsidRDefault="003B14F5" w:rsidP="00FD7A26">
            <w:pPr>
              <w:pStyle w:val="TableText0"/>
              <w:keepNext/>
              <w:rPr>
                <w:rFonts w:ascii="Calibri" w:hAnsi="Calibri" w:cs="Calibri"/>
                <w:sz w:val="22"/>
              </w:rPr>
            </w:pPr>
            <w:r w:rsidRPr="00392F4C">
              <w:rPr>
                <w:rFonts w:ascii="Calibri" w:hAnsi="Calibri" w:cs="Calibri"/>
                <w:sz w:val="22"/>
              </w:rPr>
              <w:t xml:space="preserve">Patient </w:t>
            </w:r>
            <w:r w:rsidR="00B34088" w:rsidRPr="00392F4C">
              <w:rPr>
                <w:rFonts w:ascii="Calibri" w:hAnsi="Calibri" w:cs="Calibri"/>
                <w:sz w:val="22"/>
              </w:rPr>
              <w:t xml:space="preserve">health </w:t>
            </w:r>
            <w:r w:rsidR="00EA60B3" w:rsidRPr="00392F4C">
              <w:rPr>
                <w:rFonts w:ascii="Calibri" w:hAnsi="Calibri" w:cs="Calibri"/>
                <w:sz w:val="22"/>
              </w:rPr>
              <w:t>outcomes</w:t>
            </w:r>
          </w:p>
          <w:p w14:paraId="200E5B46" w14:textId="77777777" w:rsidR="00B22E0A" w:rsidRPr="00392F4C" w:rsidRDefault="00D664F0" w:rsidP="001C5C27">
            <w:pPr>
              <w:pStyle w:val="TableTextbullet"/>
              <w:rPr>
                <w:rFonts w:ascii="Calibri" w:hAnsi="Calibri" w:cs="Calibri"/>
                <w:sz w:val="22"/>
              </w:rPr>
            </w:pPr>
            <w:r w:rsidRPr="00392F4C">
              <w:rPr>
                <w:rFonts w:ascii="Calibri" w:hAnsi="Calibri" w:cs="Calibri"/>
                <w:sz w:val="22"/>
              </w:rPr>
              <w:t>mortality</w:t>
            </w:r>
          </w:p>
          <w:p w14:paraId="00A72321" w14:textId="0FA03CE5" w:rsidR="00B22E0A" w:rsidRPr="00392F4C" w:rsidRDefault="00D664F0" w:rsidP="001C5C27">
            <w:pPr>
              <w:pStyle w:val="TableTextbullet"/>
              <w:rPr>
                <w:rFonts w:ascii="Calibri" w:hAnsi="Calibri" w:cs="Calibri"/>
                <w:sz w:val="22"/>
              </w:rPr>
            </w:pPr>
            <w:r w:rsidRPr="00392F4C">
              <w:rPr>
                <w:rFonts w:ascii="Calibri" w:hAnsi="Calibri" w:cs="Calibri"/>
                <w:sz w:val="22"/>
              </w:rPr>
              <w:t>morbidit</w:t>
            </w:r>
            <w:r w:rsidR="005A2E55" w:rsidRPr="00392F4C">
              <w:rPr>
                <w:rFonts w:ascii="Calibri" w:hAnsi="Calibri" w:cs="Calibri"/>
                <w:sz w:val="22"/>
              </w:rPr>
              <w:t>y</w:t>
            </w:r>
          </w:p>
          <w:p w14:paraId="4913B722" w14:textId="18BA582E" w:rsidR="00B22E0A" w:rsidRPr="00392F4C" w:rsidRDefault="00AE0278" w:rsidP="001C5C27">
            <w:pPr>
              <w:pStyle w:val="TableTextbullet"/>
              <w:rPr>
                <w:rFonts w:ascii="Calibri" w:hAnsi="Calibri" w:cs="Calibri"/>
                <w:sz w:val="22"/>
              </w:rPr>
            </w:pPr>
            <w:r w:rsidRPr="00392F4C">
              <w:rPr>
                <w:rFonts w:ascii="Calibri" w:hAnsi="Calibri" w:cs="Calibri"/>
                <w:sz w:val="22"/>
              </w:rPr>
              <w:t xml:space="preserve">time to clinical </w:t>
            </w:r>
            <w:r w:rsidR="00EA1A13" w:rsidRPr="00392F4C">
              <w:rPr>
                <w:rFonts w:ascii="Calibri" w:hAnsi="Calibri" w:cs="Calibri"/>
                <w:sz w:val="22"/>
              </w:rPr>
              <w:t>response</w:t>
            </w:r>
            <w:r w:rsidR="00160FB5" w:rsidRPr="00392F4C">
              <w:rPr>
                <w:rFonts w:ascii="Calibri" w:hAnsi="Calibri" w:cs="Calibri"/>
                <w:sz w:val="22"/>
              </w:rPr>
              <w:t xml:space="preserve"> to therapy</w:t>
            </w:r>
          </w:p>
          <w:p w14:paraId="21FC2DE9" w14:textId="3AADBE5B" w:rsidR="00DD4C19" w:rsidRPr="00392F4C" w:rsidRDefault="00DD4C19" w:rsidP="001C5C27">
            <w:pPr>
              <w:pStyle w:val="TableTextbullet"/>
              <w:rPr>
                <w:rFonts w:ascii="Calibri" w:hAnsi="Calibri" w:cs="Calibri"/>
                <w:sz w:val="22"/>
              </w:rPr>
            </w:pPr>
            <w:r w:rsidRPr="00392F4C">
              <w:rPr>
                <w:rFonts w:ascii="Calibri" w:hAnsi="Calibri" w:cs="Calibri"/>
                <w:sz w:val="22"/>
              </w:rPr>
              <w:t>relapse</w:t>
            </w:r>
            <w:r w:rsidR="00AA405C" w:rsidRPr="00392F4C">
              <w:rPr>
                <w:rFonts w:ascii="Calibri" w:hAnsi="Calibri" w:cs="Calibri"/>
                <w:sz w:val="22"/>
              </w:rPr>
              <w:t xml:space="preserve"> rate; hospital admission rate</w:t>
            </w:r>
          </w:p>
          <w:p w14:paraId="5F47A6AC" w14:textId="21F03564" w:rsidR="00587155" w:rsidRPr="00392F4C" w:rsidRDefault="00A359DC" w:rsidP="001C5C27">
            <w:pPr>
              <w:pStyle w:val="TableTextbullet"/>
              <w:rPr>
                <w:rFonts w:ascii="Calibri" w:hAnsi="Calibri" w:cs="Calibri"/>
                <w:sz w:val="22"/>
              </w:rPr>
            </w:pPr>
            <w:r w:rsidRPr="00392F4C">
              <w:rPr>
                <w:rFonts w:ascii="Calibri" w:hAnsi="Calibri" w:cs="Calibri"/>
                <w:sz w:val="22"/>
              </w:rPr>
              <w:t>h</w:t>
            </w:r>
            <w:r w:rsidR="00BF2993" w:rsidRPr="00392F4C">
              <w:rPr>
                <w:rFonts w:ascii="Calibri" w:hAnsi="Calibri" w:cs="Calibri"/>
                <w:sz w:val="22"/>
              </w:rPr>
              <w:t>ealth</w:t>
            </w:r>
            <w:r w:rsidR="000C4E13" w:rsidRPr="00392F4C">
              <w:rPr>
                <w:rFonts w:ascii="Calibri" w:hAnsi="Calibri" w:cs="Calibri"/>
                <w:sz w:val="22"/>
              </w:rPr>
              <w:t>-</w:t>
            </w:r>
            <w:r w:rsidRPr="00392F4C">
              <w:rPr>
                <w:rFonts w:ascii="Calibri" w:hAnsi="Calibri" w:cs="Calibri"/>
                <w:sz w:val="22"/>
              </w:rPr>
              <w:t>r</w:t>
            </w:r>
            <w:r w:rsidR="00BF2993" w:rsidRPr="00392F4C">
              <w:rPr>
                <w:rFonts w:ascii="Calibri" w:hAnsi="Calibri" w:cs="Calibri"/>
                <w:sz w:val="22"/>
              </w:rPr>
              <w:t xml:space="preserve">elated </w:t>
            </w:r>
            <w:r w:rsidRPr="00392F4C">
              <w:rPr>
                <w:rFonts w:ascii="Calibri" w:hAnsi="Calibri" w:cs="Calibri"/>
                <w:sz w:val="22"/>
              </w:rPr>
              <w:t>q</w:t>
            </w:r>
            <w:r w:rsidR="00295ADB" w:rsidRPr="00392F4C">
              <w:rPr>
                <w:rFonts w:ascii="Calibri" w:hAnsi="Calibri" w:cs="Calibri"/>
                <w:sz w:val="22"/>
              </w:rPr>
              <w:t>uality</w:t>
            </w:r>
            <w:r w:rsidR="00BF2993" w:rsidRPr="00392F4C">
              <w:rPr>
                <w:rFonts w:ascii="Calibri" w:hAnsi="Calibri" w:cs="Calibri"/>
                <w:sz w:val="22"/>
              </w:rPr>
              <w:t xml:space="preserve"> </w:t>
            </w:r>
            <w:r w:rsidR="00B22E0A" w:rsidRPr="00392F4C">
              <w:rPr>
                <w:rFonts w:ascii="Calibri" w:hAnsi="Calibri" w:cs="Calibri"/>
                <w:sz w:val="22"/>
              </w:rPr>
              <w:t>o</w:t>
            </w:r>
            <w:r w:rsidR="00BF2993" w:rsidRPr="00392F4C">
              <w:rPr>
                <w:rFonts w:ascii="Calibri" w:hAnsi="Calibri" w:cs="Calibri"/>
                <w:sz w:val="22"/>
              </w:rPr>
              <w:t xml:space="preserve">f </w:t>
            </w:r>
            <w:r w:rsidRPr="00392F4C">
              <w:rPr>
                <w:rFonts w:ascii="Calibri" w:hAnsi="Calibri" w:cs="Calibri"/>
                <w:sz w:val="22"/>
              </w:rPr>
              <w:t>l</w:t>
            </w:r>
            <w:r w:rsidR="00BF2993" w:rsidRPr="00392F4C">
              <w:rPr>
                <w:rFonts w:ascii="Calibri" w:hAnsi="Calibri" w:cs="Calibri"/>
                <w:sz w:val="22"/>
              </w:rPr>
              <w:t>ife</w:t>
            </w:r>
          </w:p>
          <w:p w14:paraId="0D04D9E6" w14:textId="75FD17B4" w:rsidR="00E45785" w:rsidRPr="00392F4C" w:rsidRDefault="00A359DC">
            <w:pPr>
              <w:pStyle w:val="TableTextbullet"/>
              <w:rPr>
                <w:rFonts w:ascii="Calibri" w:hAnsi="Calibri" w:cs="Calibri"/>
                <w:sz w:val="22"/>
              </w:rPr>
            </w:pPr>
            <w:r w:rsidRPr="00392F4C">
              <w:rPr>
                <w:rFonts w:ascii="Calibri" w:hAnsi="Calibri" w:cs="Calibri"/>
                <w:sz w:val="22"/>
              </w:rPr>
              <w:t>a</w:t>
            </w:r>
            <w:r w:rsidR="00BF2993" w:rsidRPr="00392F4C">
              <w:rPr>
                <w:rFonts w:ascii="Calibri" w:hAnsi="Calibri" w:cs="Calibri"/>
                <w:sz w:val="22"/>
              </w:rPr>
              <w:t xml:space="preserve">dverse </w:t>
            </w:r>
            <w:r w:rsidRPr="00392F4C">
              <w:rPr>
                <w:rFonts w:ascii="Calibri" w:hAnsi="Calibri" w:cs="Calibri"/>
                <w:sz w:val="22"/>
              </w:rPr>
              <w:t>e</w:t>
            </w:r>
            <w:r w:rsidR="00BF2993" w:rsidRPr="00392F4C">
              <w:rPr>
                <w:rFonts w:ascii="Calibri" w:hAnsi="Calibri" w:cs="Calibri"/>
                <w:sz w:val="22"/>
              </w:rPr>
              <w:t>vents</w:t>
            </w:r>
            <w:r w:rsidR="005B76C7" w:rsidRPr="00392F4C">
              <w:rPr>
                <w:rFonts w:ascii="Calibri" w:hAnsi="Calibri" w:cs="Calibri"/>
                <w:sz w:val="22"/>
              </w:rPr>
              <w:t xml:space="preserve"> avoide</w:t>
            </w:r>
            <w:r w:rsidR="00110F5D" w:rsidRPr="00392F4C">
              <w:rPr>
                <w:rFonts w:ascii="Calibri" w:hAnsi="Calibri" w:cs="Calibri"/>
                <w:sz w:val="22"/>
              </w:rPr>
              <w:t>d</w:t>
            </w:r>
          </w:p>
          <w:bookmarkEnd w:id="3"/>
          <w:p w14:paraId="7412B8B5" w14:textId="77777777" w:rsidR="00822C0D" w:rsidRPr="00392F4C" w:rsidRDefault="00D61B0D" w:rsidP="00EF4D58">
            <w:pPr>
              <w:pStyle w:val="TableText0"/>
              <w:keepNext/>
              <w:rPr>
                <w:rFonts w:ascii="Calibri" w:hAnsi="Calibri" w:cs="Calibri"/>
                <w:b/>
                <w:sz w:val="22"/>
              </w:rPr>
            </w:pPr>
            <w:r w:rsidRPr="00392F4C">
              <w:rPr>
                <w:rFonts w:ascii="Calibri" w:hAnsi="Calibri" w:cs="Calibri"/>
                <w:b/>
                <w:sz w:val="22"/>
              </w:rPr>
              <w:t>Health care resource</w:t>
            </w:r>
            <w:r w:rsidR="00DC545C" w:rsidRPr="00392F4C">
              <w:rPr>
                <w:rFonts w:ascii="Calibri" w:hAnsi="Calibri" w:cs="Calibri"/>
                <w:b/>
                <w:sz w:val="22"/>
              </w:rPr>
              <w:t>s</w:t>
            </w:r>
            <w:r w:rsidR="003318E6" w:rsidRPr="00392F4C">
              <w:rPr>
                <w:rFonts w:ascii="Calibri" w:hAnsi="Calibri" w:cs="Calibri"/>
                <w:b/>
                <w:sz w:val="22"/>
              </w:rPr>
              <w:t xml:space="preserve"> </w:t>
            </w:r>
          </w:p>
          <w:p w14:paraId="068A403D" w14:textId="2467D1E6" w:rsidR="00152D6D" w:rsidRPr="00392F4C" w:rsidRDefault="000848B1" w:rsidP="00822C0D">
            <w:pPr>
              <w:pStyle w:val="TableText0"/>
              <w:numPr>
                <w:ilvl w:val="0"/>
                <w:numId w:val="43"/>
              </w:numPr>
              <w:rPr>
                <w:rFonts w:ascii="Calibri" w:hAnsi="Calibri" w:cs="Calibri"/>
                <w:sz w:val="22"/>
              </w:rPr>
            </w:pPr>
            <w:r w:rsidRPr="00392F4C">
              <w:rPr>
                <w:rFonts w:ascii="Calibri" w:hAnsi="Calibri" w:cs="Calibri"/>
                <w:sz w:val="22"/>
              </w:rPr>
              <w:t xml:space="preserve">cost </w:t>
            </w:r>
            <w:r w:rsidR="001907AD" w:rsidRPr="00392F4C">
              <w:rPr>
                <w:rFonts w:ascii="Calibri" w:hAnsi="Calibri" w:cs="Calibri"/>
                <w:sz w:val="22"/>
              </w:rPr>
              <w:t xml:space="preserve">of </w:t>
            </w:r>
            <w:r w:rsidR="00114BA5" w:rsidRPr="00392F4C">
              <w:rPr>
                <w:rFonts w:ascii="Calibri" w:hAnsi="Calibri" w:cs="Calibri"/>
                <w:sz w:val="22"/>
              </w:rPr>
              <w:t>ADAMTS13</w:t>
            </w:r>
            <w:r w:rsidR="00CE3335" w:rsidRPr="00392F4C">
              <w:rPr>
                <w:rFonts w:ascii="Calibri" w:hAnsi="Calibri" w:cs="Calibri"/>
                <w:sz w:val="22"/>
              </w:rPr>
              <w:t xml:space="preserve"> activity</w:t>
            </w:r>
            <w:r w:rsidR="00114BA5" w:rsidRPr="00392F4C">
              <w:rPr>
                <w:rFonts w:ascii="Calibri" w:hAnsi="Calibri" w:cs="Calibri"/>
                <w:sz w:val="22"/>
              </w:rPr>
              <w:t xml:space="preserve"> test</w:t>
            </w:r>
            <w:r w:rsidR="00E1196B" w:rsidRPr="00392F4C">
              <w:rPr>
                <w:rFonts w:ascii="Calibri" w:hAnsi="Calibri" w:cs="Calibri"/>
                <w:sz w:val="22"/>
              </w:rPr>
              <w:t>ing</w:t>
            </w:r>
            <w:r w:rsidR="00152D6D" w:rsidRPr="00392F4C">
              <w:rPr>
                <w:rFonts w:ascii="Calibri" w:hAnsi="Calibri" w:cs="Calibri"/>
                <w:sz w:val="22"/>
              </w:rPr>
              <w:t xml:space="preserve"> and</w:t>
            </w:r>
            <w:r w:rsidR="004A287F" w:rsidRPr="00392F4C">
              <w:rPr>
                <w:rFonts w:ascii="Calibri" w:hAnsi="Calibri" w:cs="Calibri"/>
                <w:sz w:val="22"/>
              </w:rPr>
              <w:t xml:space="preserve"> </w:t>
            </w:r>
            <w:r w:rsidR="00E12498" w:rsidRPr="00392F4C">
              <w:rPr>
                <w:rFonts w:ascii="Calibri" w:hAnsi="Calibri" w:cs="Calibri"/>
                <w:sz w:val="22"/>
              </w:rPr>
              <w:t>anti-</w:t>
            </w:r>
            <w:r w:rsidR="004A287F" w:rsidRPr="00392F4C">
              <w:rPr>
                <w:rFonts w:ascii="Calibri" w:hAnsi="Calibri" w:cs="Calibri"/>
                <w:sz w:val="22"/>
              </w:rPr>
              <w:t xml:space="preserve">ADAMTS13 </w:t>
            </w:r>
            <w:r w:rsidR="001514E0" w:rsidRPr="00392F4C">
              <w:rPr>
                <w:rFonts w:ascii="Calibri" w:hAnsi="Calibri" w:cs="Calibri"/>
                <w:sz w:val="22"/>
              </w:rPr>
              <w:t>autoantibod</w:t>
            </w:r>
            <w:r w:rsidR="00D23B5E" w:rsidRPr="00392F4C">
              <w:rPr>
                <w:rFonts w:ascii="Calibri" w:hAnsi="Calibri" w:cs="Calibri"/>
                <w:sz w:val="22"/>
              </w:rPr>
              <w:t>y</w:t>
            </w:r>
            <w:r w:rsidR="004A287F" w:rsidRPr="00392F4C">
              <w:rPr>
                <w:rFonts w:ascii="Calibri" w:hAnsi="Calibri" w:cs="Calibri"/>
                <w:sz w:val="22"/>
              </w:rPr>
              <w:t xml:space="preserve"> testing </w:t>
            </w:r>
          </w:p>
          <w:p w14:paraId="57BEA4D5" w14:textId="21142CA9" w:rsidR="004A287F" w:rsidRPr="00392F4C" w:rsidRDefault="00152D6D" w:rsidP="003F1D3C">
            <w:pPr>
              <w:pStyle w:val="TableTextbullet"/>
              <w:rPr>
                <w:rFonts w:ascii="Calibri" w:hAnsi="Calibri" w:cs="Calibri"/>
                <w:sz w:val="22"/>
              </w:rPr>
            </w:pPr>
            <w:r w:rsidRPr="00392F4C">
              <w:rPr>
                <w:rFonts w:ascii="Calibri" w:hAnsi="Calibri" w:cs="Calibri"/>
                <w:sz w:val="22"/>
              </w:rPr>
              <w:t xml:space="preserve">cost of </w:t>
            </w:r>
            <w:r w:rsidR="00F83B8D" w:rsidRPr="00392F4C">
              <w:rPr>
                <w:rFonts w:ascii="Calibri" w:hAnsi="Calibri" w:cs="Calibri"/>
                <w:i/>
                <w:iCs/>
                <w:sz w:val="22"/>
              </w:rPr>
              <w:t>ADAMTS13</w:t>
            </w:r>
            <w:r w:rsidR="00F83B8D" w:rsidRPr="00392F4C">
              <w:rPr>
                <w:rFonts w:ascii="Calibri" w:hAnsi="Calibri" w:cs="Calibri"/>
                <w:sz w:val="22"/>
              </w:rPr>
              <w:t xml:space="preserve"> genetic testing</w:t>
            </w:r>
          </w:p>
          <w:p w14:paraId="73611F41" w14:textId="0547A5DD" w:rsidR="000D1DA9" w:rsidRPr="00392F4C" w:rsidRDefault="00CD1C3C" w:rsidP="003F1D3C">
            <w:pPr>
              <w:pStyle w:val="TableTextbullet"/>
              <w:rPr>
                <w:rFonts w:ascii="Calibri" w:hAnsi="Calibri" w:cs="Calibri"/>
                <w:sz w:val="22"/>
              </w:rPr>
            </w:pPr>
            <w:r w:rsidRPr="00392F4C">
              <w:rPr>
                <w:rFonts w:ascii="Calibri" w:hAnsi="Calibri" w:cs="Calibri"/>
                <w:sz w:val="22"/>
              </w:rPr>
              <w:t xml:space="preserve">cost of therapies (e.g. PEX, </w:t>
            </w:r>
            <w:r w:rsidR="00017477" w:rsidRPr="00392F4C">
              <w:rPr>
                <w:rFonts w:ascii="Calibri" w:hAnsi="Calibri" w:cs="Calibri"/>
                <w:sz w:val="22"/>
              </w:rPr>
              <w:t>monoclonal antibo</w:t>
            </w:r>
            <w:r w:rsidR="00091109" w:rsidRPr="00392F4C">
              <w:rPr>
                <w:rFonts w:ascii="Calibri" w:hAnsi="Calibri" w:cs="Calibri"/>
                <w:sz w:val="22"/>
              </w:rPr>
              <w:t>dy therapies)</w:t>
            </w:r>
          </w:p>
          <w:p w14:paraId="36D057F7" w14:textId="036287F6" w:rsidR="00CD1C3C" w:rsidRPr="00392F4C" w:rsidRDefault="000D1DA9" w:rsidP="003F1D3C">
            <w:pPr>
              <w:pStyle w:val="TableTextbullet"/>
              <w:rPr>
                <w:rFonts w:ascii="Calibri" w:hAnsi="Calibri" w:cs="Calibri"/>
                <w:sz w:val="22"/>
              </w:rPr>
            </w:pPr>
            <w:r w:rsidRPr="00392F4C">
              <w:rPr>
                <w:rFonts w:ascii="Calibri" w:hAnsi="Calibri" w:cs="Calibri"/>
                <w:sz w:val="22"/>
              </w:rPr>
              <w:t xml:space="preserve">cost of </w:t>
            </w:r>
            <w:r w:rsidR="00332150" w:rsidRPr="00392F4C">
              <w:rPr>
                <w:rFonts w:ascii="Calibri" w:hAnsi="Calibri" w:cs="Calibri"/>
                <w:sz w:val="22"/>
              </w:rPr>
              <w:t xml:space="preserve">adverse events </w:t>
            </w:r>
            <w:r w:rsidR="007C563E" w:rsidRPr="00392F4C">
              <w:rPr>
                <w:rFonts w:ascii="Calibri" w:hAnsi="Calibri" w:cs="Calibri"/>
                <w:sz w:val="22"/>
              </w:rPr>
              <w:t>(including impact from false positives</w:t>
            </w:r>
            <w:r w:rsidR="00F82A3C" w:rsidRPr="00392F4C">
              <w:rPr>
                <w:rFonts w:ascii="Calibri" w:hAnsi="Calibri" w:cs="Calibri"/>
                <w:sz w:val="22"/>
              </w:rPr>
              <w:t xml:space="preserve"> or false negatives)</w:t>
            </w:r>
          </w:p>
          <w:p w14:paraId="303B3859" w14:textId="27037B3D" w:rsidR="002645BA" w:rsidRPr="00392F4C" w:rsidRDefault="002645BA" w:rsidP="003F1D3C">
            <w:pPr>
              <w:pStyle w:val="TableTextbullet"/>
              <w:rPr>
                <w:rFonts w:ascii="Calibri" w:hAnsi="Calibri" w:cs="Calibri"/>
                <w:sz w:val="22"/>
              </w:rPr>
            </w:pPr>
            <w:r w:rsidRPr="00392F4C">
              <w:rPr>
                <w:rFonts w:ascii="Calibri" w:hAnsi="Calibri" w:cs="Calibri"/>
                <w:sz w:val="22"/>
              </w:rPr>
              <w:t xml:space="preserve">cost per proband </w:t>
            </w:r>
            <w:r w:rsidR="00822C0D" w:rsidRPr="00392F4C">
              <w:rPr>
                <w:rFonts w:ascii="Calibri" w:hAnsi="Calibri" w:cs="Calibri"/>
                <w:sz w:val="22"/>
              </w:rPr>
              <w:t>identified</w:t>
            </w:r>
          </w:p>
          <w:p w14:paraId="014ED211" w14:textId="3AA05678" w:rsidR="007E0848" w:rsidRPr="00392F4C" w:rsidRDefault="007E0848" w:rsidP="007E0848">
            <w:pPr>
              <w:pStyle w:val="TableText0"/>
              <w:rPr>
                <w:rFonts w:ascii="Calibri" w:hAnsi="Calibri" w:cs="Calibri"/>
                <w:b/>
                <w:sz w:val="22"/>
              </w:rPr>
            </w:pPr>
            <w:r w:rsidRPr="00392F4C">
              <w:rPr>
                <w:rFonts w:ascii="Calibri" w:hAnsi="Calibri" w:cs="Calibri"/>
                <w:b/>
                <w:sz w:val="22"/>
              </w:rPr>
              <w:t>Cost</w:t>
            </w:r>
            <w:r w:rsidR="0057757D" w:rsidRPr="00392F4C">
              <w:rPr>
                <w:rFonts w:ascii="Calibri" w:hAnsi="Calibri" w:cs="Calibri"/>
                <w:b/>
                <w:sz w:val="22"/>
              </w:rPr>
              <w:t>-effectiveness</w:t>
            </w:r>
          </w:p>
          <w:p w14:paraId="6F9242D7" w14:textId="524C02D4" w:rsidR="00D66644" w:rsidRPr="00392F4C" w:rsidRDefault="007E0848" w:rsidP="00012136">
            <w:pPr>
              <w:pStyle w:val="TableText0"/>
              <w:rPr>
                <w:rFonts w:ascii="Calibri" w:hAnsi="Calibri" w:cs="Calibri"/>
                <w:b/>
                <w:bCs/>
                <w:i/>
                <w:iCs/>
                <w:sz w:val="22"/>
              </w:rPr>
            </w:pPr>
            <w:r w:rsidRPr="00392F4C">
              <w:rPr>
                <w:rFonts w:ascii="Calibri" w:hAnsi="Calibri" w:cs="Calibri"/>
                <w:b/>
                <w:sz w:val="22"/>
              </w:rPr>
              <w:t xml:space="preserve">Total </w:t>
            </w:r>
            <w:r w:rsidR="004B46E1" w:rsidRPr="00392F4C">
              <w:rPr>
                <w:rFonts w:ascii="Calibri" w:hAnsi="Calibri" w:cs="Calibri"/>
                <w:b/>
                <w:sz w:val="22"/>
              </w:rPr>
              <w:t>Australian Government health care costs</w:t>
            </w:r>
          </w:p>
        </w:tc>
      </w:tr>
      <w:tr w:rsidR="00BB1698" w:rsidRPr="00392F4C" w14:paraId="4A55FFDB" w14:textId="77777777" w:rsidTr="7091EC2E">
        <w:tc>
          <w:tcPr>
            <w:tcW w:w="1005" w:type="pct"/>
            <w:tcBorders>
              <w:top w:val="single" w:sz="4" w:space="0" w:color="auto"/>
              <w:left w:val="single" w:sz="8" w:space="0" w:color="auto"/>
              <w:bottom w:val="single" w:sz="4" w:space="0" w:color="auto"/>
              <w:right w:val="single" w:sz="4" w:space="0" w:color="auto"/>
            </w:tcBorders>
          </w:tcPr>
          <w:p w14:paraId="003B36EC" w14:textId="77777777" w:rsidR="00BB1698" w:rsidRPr="00392F4C" w:rsidRDefault="00BB1698" w:rsidP="00D716B0">
            <w:pPr>
              <w:pStyle w:val="Tabletext"/>
              <w:rPr>
                <w:rFonts w:asciiTheme="minorHAnsi" w:hAnsiTheme="minorHAnsi" w:cstheme="minorHAnsi"/>
                <w:sz w:val="22"/>
                <w:szCs w:val="22"/>
              </w:rPr>
            </w:pPr>
            <w:r w:rsidRPr="00392F4C">
              <w:rPr>
                <w:rFonts w:asciiTheme="minorHAnsi" w:hAnsiTheme="minorHAnsi" w:cstheme="minorHAnsi"/>
                <w:sz w:val="22"/>
                <w:szCs w:val="22"/>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1FBC26C5" w14:textId="444C31C1" w:rsidR="00CE3E84" w:rsidRPr="00392F4C" w:rsidRDefault="0051657D" w:rsidP="00D716B0">
            <w:pPr>
              <w:pStyle w:val="TableText0"/>
              <w:rPr>
                <w:rFonts w:asciiTheme="minorHAnsi" w:hAnsiTheme="minorHAnsi" w:cstheme="minorHAnsi"/>
                <w:sz w:val="22"/>
              </w:rPr>
            </w:pPr>
            <w:r w:rsidRPr="00392F4C">
              <w:rPr>
                <w:rFonts w:asciiTheme="minorHAnsi" w:hAnsiTheme="minorHAnsi" w:cstheme="minorHAnsi"/>
                <w:sz w:val="22"/>
              </w:rPr>
              <w:t xml:space="preserve">In patients presenting with symptoms </w:t>
            </w:r>
            <w:r w:rsidR="00B76274" w:rsidRPr="00392F4C">
              <w:rPr>
                <w:rFonts w:asciiTheme="minorHAnsi" w:hAnsiTheme="minorHAnsi" w:cstheme="minorHAnsi"/>
                <w:sz w:val="22"/>
              </w:rPr>
              <w:t xml:space="preserve">and signs </w:t>
            </w:r>
            <w:r w:rsidRPr="00392F4C">
              <w:rPr>
                <w:rFonts w:asciiTheme="minorHAnsi" w:hAnsiTheme="minorHAnsi" w:cstheme="minorHAnsi"/>
                <w:sz w:val="22"/>
              </w:rPr>
              <w:t>of TMA and a PLASMIC score &gt;4, w</w:t>
            </w:r>
            <w:r w:rsidR="00BB1698" w:rsidRPr="00392F4C">
              <w:rPr>
                <w:rFonts w:asciiTheme="minorHAnsi" w:hAnsiTheme="minorHAnsi" w:cstheme="minorHAnsi"/>
                <w:sz w:val="22"/>
              </w:rPr>
              <w:t xml:space="preserve">hat is the </w:t>
            </w:r>
            <w:r w:rsidR="244A4075" w:rsidRPr="00392F4C">
              <w:rPr>
                <w:rFonts w:asciiTheme="minorHAnsi" w:hAnsiTheme="minorHAnsi" w:cstheme="minorHAnsi"/>
                <w:sz w:val="22"/>
              </w:rPr>
              <w:t xml:space="preserve">comparative </w:t>
            </w:r>
            <w:r w:rsidR="00BB1698" w:rsidRPr="00392F4C">
              <w:rPr>
                <w:rFonts w:asciiTheme="minorHAnsi" w:hAnsiTheme="minorHAnsi" w:cstheme="minorHAnsi"/>
                <w:sz w:val="22"/>
              </w:rPr>
              <w:t xml:space="preserve">safety, effectiveness and cost-effectiveness of </w:t>
            </w:r>
            <w:r w:rsidR="00170295" w:rsidRPr="00392F4C">
              <w:rPr>
                <w:rFonts w:asciiTheme="minorHAnsi" w:hAnsiTheme="minorHAnsi" w:cstheme="minorHAnsi"/>
                <w:sz w:val="22"/>
              </w:rPr>
              <w:t>ADAM</w:t>
            </w:r>
            <w:r w:rsidR="00196C46" w:rsidRPr="00392F4C">
              <w:rPr>
                <w:rFonts w:asciiTheme="minorHAnsi" w:hAnsiTheme="minorHAnsi" w:cstheme="minorHAnsi"/>
                <w:sz w:val="22"/>
              </w:rPr>
              <w:t>TS</w:t>
            </w:r>
            <w:r w:rsidR="00170295" w:rsidRPr="00392F4C">
              <w:rPr>
                <w:rFonts w:asciiTheme="minorHAnsi" w:hAnsiTheme="minorHAnsi" w:cstheme="minorHAnsi"/>
                <w:sz w:val="22"/>
              </w:rPr>
              <w:t>13 activity testing</w:t>
            </w:r>
            <w:r w:rsidR="00196C46" w:rsidRPr="00392F4C">
              <w:rPr>
                <w:rFonts w:asciiTheme="minorHAnsi" w:hAnsiTheme="minorHAnsi" w:cstheme="minorHAnsi"/>
                <w:sz w:val="22"/>
              </w:rPr>
              <w:t xml:space="preserve">, followed by </w:t>
            </w:r>
            <w:r w:rsidR="00D96DFF" w:rsidRPr="00392F4C">
              <w:rPr>
                <w:rFonts w:asciiTheme="minorHAnsi" w:hAnsiTheme="minorHAnsi" w:cstheme="minorHAnsi"/>
                <w:sz w:val="22"/>
              </w:rPr>
              <w:t>anti-</w:t>
            </w:r>
            <w:r w:rsidR="00196C46" w:rsidRPr="00392F4C">
              <w:rPr>
                <w:rFonts w:asciiTheme="minorHAnsi" w:hAnsiTheme="minorHAnsi" w:cstheme="minorHAnsi"/>
                <w:sz w:val="22"/>
              </w:rPr>
              <w:t xml:space="preserve">ADAMTS13 </w:t>
            </w:r>
            <w:r w:rsidR="00440B75" w:rsidRPr="00392F4C">
              <w:rPr>
                <w:rFonts w:asciiTheme="minorHAnsi" w:hAnsiTheme="minorHAnsi" w:cstheme="minorHAnsi"/>
                <w:sz w:val="22"/>
              </w:rPr>
              <w:t>autoantibod</w:t>
            </w:r>
            <w:r w:rsidR="00D23B5E" w:rsidRPr="00392F4C">
              <w:rPr>
                <w:rFonts w:asciiTheme="minorHAnsi" w:hAnsiTheme="minorHAnsi" w:cstheme="minorHAnsi"/>
                <w:sz w:val="22"/>
              </w:rPr>
              <w:t>y</w:t>
            </w:r>
            <w:r w:rsidR="00196C46" w:rsidRPr="00392F4C">
              <w:rPr>
                <w:rFonts w:asciiTheme="minorHAnsi" w:hAnsiTheme="minorHAnsi" w:cstheme="minorHAnsi"/>
                <w:sz w:val="22"/>
              </w:rPr>
              <w:t xml:space="preserve"> testing</w:t>
            </w:r>
            <w:r w:rsidR="00352929" w:rsidRPr="00392F4C">
              <w:rPr>
                <w:rFonts w:asciiTheme="minorHAnsi" w:hAnsiTheme="minorHAnsi" w:cstheme="minorHAnsi"/>
                <w:sz w:val="22"/>
              </w:rPr>
              <w:t xml:space="preserve">, followed by </w:t>
            </w:r>
            <w:r w:rsidR="0035173E" w:rsidRPr="00392F4C">
              <w:rPr>
                <w:rFonts w:asciiTheme="minorHAnsi" w:hAnsiTheme="minorHAnsi" w:cstheme="minorHAnsi"/>
                <w:sz w:val="22"/>
              </w:rPr>
              <w:t xml:space="preserve">testing for </w:t>
            </w:r>
            <w:r w:rsidR="0035173E" w:rsidRPr="00392F4C">
              <w:rPr>
                <w:rFonts w:asciiTheme="minorHAnsi" w:hAnsiTheme="minorHAnsi" w:cstheme="minorHAnsi"/>
                <w:i/>
                <w:iCs/>
                <w:sz w:val="22"/>
              </w:rPr>
              <w:t>ADAMTS13</w:t>
            </w:r>
            <w:r w:rsidR="0035173E" w:rsidRPr="00392F4C">
              <w:rPr>
                <w:rFonts w:asciiTheme="minorHAnsi" w:hAnsiTheme="minorHAnsi" w:cstheme="minorHAnsi"/>
                <w:sz w:val="22"/>
              </w:rPr>
              <w:t xml:space="preserve"> genetic variants </w:t>
            </w:r>
            <w:r w:rsidR="00BB1698" w:rsidRPr="00392F4C">
              <w:rPr>
                <w:rFonts w:asciiTheme="minorHAnsi" w:hAnsiTheme="minorHAnsi" w:cstheme="minorHAnsi"/>
                <w:sz w:val="22"/>
              </w:rPr>
              <w:t>versu</w:t>
            </w:r>
            <w:r w:rsidR="008D6978" w:rsidRPr="00392F4C">
              <w:rPr>
                <w:rFonts w:asciiTheme="minorHAnsi" w:hAnsiTheme="minorHAnsi" w:cstheme="minorHAnsi"/>
                <w:sz w:val="22"/>
              </w:rPr>
              <w:t>s no</w:t>
            </w:r>
            <w:r w:rsidR="00624976" w:rsidRPr="00392F4C">
              <w:rPr>
                <w:rFonts w:asciiTheme="minorHAnsi" w:hAnsiTheme="minorHAnsi" w:cstheme="minorHAnsi"/>
                <w:sz w:val="22"/>
              </w:rPr>
              <w:t>ne of the three</w:t>
            </w:r>
            <w:r w:rsidR="008D6978" w:rsidRPr="00392F4C">
              <w:rPr>
                <w:rFonts w:asciiTheme="minorHAnsi" w:hAnsiTheme="minorHAnsi" w:cstheme="minorHAnsi"/>
                <w:sz w:val="22"/>
              </w:rPr>
              <w:t xml:space="preserve"> </w:t>
            </w:r>
            <w:r w:rsidR="00117C3C" w:rsidRPr="00392F4C">
              <w:rPr>
                <w:rFonts w:asciiTheme="minorHAnsi" w:hAnsiTheme="minorHAnsi" w:cstheme="minorHAnsi"/>
                <w:sz w:val="22"/>
              </w:rPr>
              <w:t>ADAMTS13</w:t>
            </w:r>
            <w:r w:rsidR="008D6978" w:rsidRPr="00392F4C">
              <w:rPr>
                <w:rFonts w:asciiTheme="minorHAnsi" w:hAnsiTheme="minorHAnsi" w:cstheme="minorHAnsi"/>
                <w:sz w:val="22"/>
              </w:rPr>
              <w:t xml:space="preserve"> test</w:t>
            </w:r>
            <w:r w:rsidR="00AA6983" w:rsidRPr="00392F4C">
              <w:rPr>
                <w:rFonts w:asciiTheme="minorHAnsi" w:hAnsiTheme="minorHAnsi" w:cstheme="minorHAnsi"/>
                <w:sz w:val="22"/>
              </w:rPr>
              <w:t xml:space="preserve"> methods</w:t>
            </w:r>
            <w:r w:rsidR="00117C3C" w:rsidRPr="00392F4C">
              <w:rPr>
                <w:rFonts w:asciiTheme="minorHAnsi" w:hAnsiTheme="minorHAnsi" w:cstheme="minorHAnsi"/>
                <w:sz w:val="22"/>
              </w:rPr>
              <w:t xml:space="preserve">, for the differential diagnosis of </w:t>
            </w:r>
            <w:r w:rsidR="00F62C9E" w:rsidRPr="00392F4C">
              <w:rPr>
                <w:rFonts w:asciiTheme="minorHAnsi" w:hAnsiTheme="minorHAnsi" w:cstheme="minorHAnsi"/>
                <w:sz w:val="22"/>
              </w:rPr>
              <w:t>(a) TTP vs. non-TTP</w:t>
            </w:r>
            <w:r w:rsidR="00A30F92" w:rsidRPr="00392F4C">
              <w:rPr>
                <w:rFonts w:asciiTheme="minorHAnsi" w:hAnsiTheme="minorHAnsi" w:cstheme="minorHAnsi"/>
                <w:sz w:val="22"/>
              </w:rPr>
              <w:t xml:space="preserve"> and (b) </w:t>
            </w:r>
            <w:r w:rsidR="00117C3C" w:rsidRPr="00392F4C">
              <w:rPr>
                <w:rFonts w:asciiTheme="minorHAnsi" w:hAnsiTheme="minorHAnsi" w:cstheme="minorHAnsi"/>
                <w:sz w:val="22"/>
              </w:rPr>
              <w:t xml:space="preserve">iTTP </w:t>
            </w:r>
            <w:r w:rsidR="00A30F92" w:rsidRPr="00392F4C">
              <w:rPr>
                <w:rFonts w:asciiTheme="minorHAnsi" w:hAnsiTheme="minorHAnsi" w:cstheme="minorHAnsi"/>
                <w:sz w:val="22"/>
              </w:rPr>
              <w:t>vs.</w:t>
            </w:r>
            <w:r w:rsidR="00117C3C" w:rsidRPr="00392F4C">
              <w:rPr>
                <w:rFonts w:asciiTheme="minorHAnsi" w:hAnsiTheme="minorHAnsi" w:cstheme="minorHAnsi"/>
                <w:sz w:val="22"/>
              </w:rPr>
              <w:t xml:space="preserve"> cTTP</w:t>
            </w:r>
            <w:r w:rsidR="005316B6" w:rsidRPr="00392F4C">
              <w:rPr>
                <w:rFonts w:asciiTheme="minorHAnsi" w:hAnsiTheme="minorHAnsi" w:cstheme="minorHAnsi"/>
                <w:sz w:val="22"/>
              </w:rPr>
              <w:t>?</w:t>
            </w:r>
          </w:p>
          <w:p w14:paraId="6A66F8A2" w14:textId="77777777" w:rsidR="00161FB9" w:rsidRPr="00392F4C" w:rsidRDefault="00161FB9" w:rsidP="00D716B0">
            <w:pPr>
              <w:pStyle w:val="TableText0"/>
              <w:rPr>
                <w:rFonts w:asciiTheme="minorHAnsi" w:hAnsiTheme="minorHAnsi" w:cstheme="minorHAnsi"/>
                <w:sz w:val="22"/>
                <w:u w:val="single"/>
              </w:rPr>
            </w:pPr>
            <w:r w:rsidRPr="00392F4C">
              <w:rPr>
                <w:rFonts w:asciiTheme="minorHAnsi" w:hAnsiTheme="minorHAnsi" w:cstheme="minorHAnsi"/>
                <w:sz w:val="22"/>
                <w:u w:val="single"/>
              </w:rPr>
              <w:t>Direct evidence</w:t>
            </w:r>
          </w:p>
          <w:p w14:paraId="2F254731" w14:textId="2B0A3341" w:rsidR="00161FB9" w:rsidRPr="00392F4C" w:rsidRDefault="00DF4040" w:rsidP="001E33E5">
            <w:pPr>
              <w:pStyle w:val="PICOtablemanualnumbers"/>
              <w:numPr>
                <w:ilvl w:val="0"/>
                <w:numId w:val="25"/>
              </w:numPr>
              <w:rPr>
                <w:rFonts w:asciiTheme="minorHAnsi" w:hAnsiTheme="minorHAnsi" w:cstheme="minorHAnsi"/>
                <w:sz w:val="22"/>
              </w:rPr>
            </w:pPr>
            <w:r w:rsidRPr="00392F4C">
              <w:rPr>
                <w:rFonts w:asciiTheme="minorHAnsi" w:hAnsiTheme="minorHAnsi" w:cstheme="minorHAnsi"/>
                <w:sz w:val="22"/>
              </w:rPr>
              <w:t xml:space="preserve">In patients with suspected TTP (i.e. presenting with symptoms </w:t>
            </w:r>
            <w:r w:rsidR="0055307D" w:rsidRPr="00392F4C">
              <w:rPr>
                <w:rFonts w:asciiTheme="minorHAnsi" w:hAnsiTheme="minorHAnsi" w:cstheme="minorHAnsi"/>
                <w:sz w:val="22"/>
              </w:rPr>
              <w:t xml:space="preserve">and signs </w:t>
            </w:r>
            <w:r w:rsidRPr="00392F4C">
              <w:rPr>
                <w:rFonts w:asciiTheme="minorHAnsi" w:hAnsiTheme="minorHAnsi" w:cstheme="minorHAnsi"/>
                <w:sz w:val="22"/>
              </w:rPr>
              <w:t>of TMA and a PLASMIC score &gt;4)</w:t>
            </w:r>
            <w:r w:rsidR="00B101D8" w:rsidRPr="00392F4C">
              <w:rPr>
                <w:rFonts w:asciiTheme="minorHAnsi" w:hAnsiTheme="minorHAnsi" w:cstheme="minorHAnsi"/>
                <w:sz w:val="22"/>
              </w:rPr>
              <w:t>, does the use of ADAMTS13 activity testing</w:t>
            </w:r>
            <w:r w:rsidR="00B03B61" w:rsidRPr="00392F4C">
              <w:rPr>
                <w:rFonts w:asciiTheme="minorHAnsi" w:hAnsiTheme="minorHAnsi" w:cstheme="minorHAnsi"/>
                <w:sz w:val="22"/>
              </w:rPr>
              <w:t xml:space="preserve">, </w:t>
            </w:r>
            <w:r w:rsidR="00A3241F" w:rsidRPr="00392F4C">
              <w:rPr>
                <w:rFonts w:asciiTheme="minorHAnsi" w:hAnsiTheme="minorHAnsi" w:cstheme="minorHAnsi"/>
                <w:sz w:val="22"/>
              </w:rPr>
              <w:t>anti-</w:t>
            </w:r>
            <w:r w:rsidR="00C13EEE" w:rsidRPr="00392F4C">
              <w:rPr>
                <w:rFonts w:asciiTheme="minorHAnsi" w:hAnsiTheme="minorHAnsi" w:cstheme="minorHAnsi"/>
                <w:sz w:val="22"/>
              </w:rPr>
              <w:t xml:space="preserve">ADAMTS13 </w:t>
            </w:r>
            <w:r w:rsidR="00327595" w:rsidRPr="00392F4C">
              <w:rPr>
                <w:rFonts w:asciiTheme="minorHAnsi" w:hAnsiTheme="minorHAnsi" w:cstheme="minorHAnsi"/>
                <w:sz w:val="22"/>
              </w:rPr>
              <w:t>autoantibod</w:t>
            </w:r>
            <w:r w:rsidR="00D23B5E" w:rsidRPr="00392F4C">
              <w:rPr>
                <w:rFonts w:asciiTheme="minorHAnsi" w:hAnsiTheme="minorHAnsi" w:cstheme="minorHAnsi"/>
                <w:sz w:val="22"/>
              </w:rPr>
              <w:t>y</w:t>
            </w:r>
            <w:r w:rsidR="00C13EEE" w:rsidRPr="00392F4C">
              <w:rPr>
                <w:rFonts w:asciiTheme="minorHAnsi" w:hAnsiTheme="minorHAnsi" w:cstheme="minorHAnsi"/>
                <w:sz w:val="22"/>
              </w:rPr>
              <w:t xml:space="preserve"> testing and </w:t>
            </w:r>
            <w:r w:rsidR="00C0606C" w:rsidRPr="00392F4C">
              <w:rPr>
                <w:rFonts w:asciiTheme="minorHAnsi" w:hAnsiTheme="minorHAnsi" w:cstheme="minorHAnsi"/>
                <w:i/>
                <w:iCs/>
                <w:sz w:val="22"/>
              </w:rPr>
              <w:t>ADAM</w:t>
            </w:r>
            <w:r w:rsidR="00D22AE7" w:rsidRPr="00392F4C">
              <w:rPr>
                <w:rFonts w:asciiTheme="minorHAnsi" w:hAnsiTheme="minorHAnsi" w:cstheme="minorHAnsi"/>
                <w:i/>
                <w:iCs/>
                <w:sz w:val="22"/>
              </w:rPr>
              <w:t>TS</w:t>
            </w:r>
            <w:r w:rsidR="00C0606C" w:rsidRPr="00392F4C">
              <w:rPr>
                <w:rFonts w:asciiTheme="minorHAnsi" w:hAnsiTheme="minorHAnsi" w:cstheme="minorHAnsi"/>
                <w:i/>
                <w:iCs/>
                <w:sz w:val="22"/>
              </w:rPr>
              <w:t>13</w:t>
            </w:r>
            <w:r w:rsidR="00C0606C" w:rsidRPr="00392F4C">
              <w:rPr>
                <w:rFonts w:asciiTheme="minorHAnsi" w:hAnsiTheme="minorHAnsi" w:cstheme="minorHAnsi"/>
                <w:sz w:val="22"/>
              </w:rPr>
              <w:t xml:space="preserve"> genetic testing</w:t>
            </w:r>
            <w:r w:rsidR="00B101D8" w:rsidRPr="00392F4C">
              <w:rPr>
                <w:rFonts w:asciiTheme="minorHAnsi" w:hAnsiTheme="minorHAnsi" w:cstheme="minorHAnsi"/>
                <w:sz w:val="22"/>
              </w:rPr>
              <w:t xml:space="preserve"> </w:t>
            </w:r>
            <w:r w:rsidR="0035292C" w:rsidRPr="00392F4C">
              <w:rPr>
                <w:rFonts w:asciiTheme="minorHAnsi" w:hAnsiTheme="minorHAnsi" w:cstheme="minorHAnsi"/>
                <w:sz w:val="22"/>
              </w:rPr>
              <w:t xml:space="preserve">instead of no testing </w:t>
            </w:r>
            <w:r w:rsidR="00ED34C5" w:rsidRPr="00392F4C">
              <w:rPr>
                <w:rFonts w:asciiTheme="minorHAnsi" w:hAnsiTheme="minorHAnsi" w:cstheme="minorHAnsi"/>
                <w:sz w:val="22"/>
              </w:rPr>
              <w:t xml:space="preserve">result in </w:t>
            </w:r>
            <w:r w:rsidR="00094F9E" w:rsidRPr="00392F4C">
              <w:rPr>
                <w:rFonts w:asciiTheme="minorHAnsi" w:hAnsiTheme="minorHAnsi" w:cstheme="minorHAnsi"/>
                <w:sz w:val="22"/>
              </w:rPr>
              <w:t>improved health outcomes</w:t>
            </w:r>
            <w:r w:rsidR="00ED34C5" w:rsidRPr="00392F4C">
              <w:rPr>
                <w:rFonts w:asciiTheme="minorHAnsi" w:hAnsiTheme="minorHAnsi" w:cstheme="minorHAnsi"/>
                <w:sz w:val="22"/>
              </w:rPr>
              <w:t>?</w:t>
            </w:r>
          </w:p>
          <w:p w14:paraId="12A08A7B" w14:textId="0C9A6F6E" w:rsidR="003506F9" w:rsidRPr="00392F4C" w:rsidRDefault="003506F9" w:rsidP="0061397A">
            <w:pPr>
              <w:pStyle w:val="TableText0"/>
              <w:spacing w:before="120"/>
              <w:rPr>
                <w:rFonts w:asciiTheme="minorHAnsi" w:hAnsiTheme="minorHAnsi" w:cstheme="minorHAnsi"/>
                <w:sz w:val="22"/>
                <w:u w:val="single"/>
              </w:rPr>
            </w:pPr>
            <w:r w:rsidRPr="00392F4C">
              <w:rPr>
                <w:rFonts w:asciiTheme="minorHAnsi" w:hAnsiTheme="minorHAnsi" w:cstheme="minorHAnsi"/>
                <w:sz w:val="22"/>
                <w:u w:val="single"/>
              </w:rPr>
              <w:t>Indirect evidence</w:t>
            </w:r>
          </w:p>
          <w:p w14:paraId="54A8D76B" w14:textId="3EBD5A41" w:rsidR="003506F9" w:rsidRPr="00392F4C" w:rsidRDefault="002E784D" w:rsidP="001E33E5">
            <w:pPr>
              <w:pStyle w:val="PICOtablemanualnumbers"/>
              <w:numPr>
                <w:ilvl w:val="0"/>
                <w:numId w:val="25"/>
              </w:numPr>
              <w:spacing w:before="0"/>
              <w:rPr>
                <w:rFonts w:asciiTheme="minorHAnsi" w:hAnsiTheme="minorHAnsi" w:cstheme="minorHAnsi"/>
                <w:sz w:val="22"/>
              </w:rPr>
            </w:pPr>
            <w:r w:rsidRPr="00392F4C">
              <w:rPr>
                <w:rFonts w:asciiTheme="minorHAnsi" w:hAnsiTheme="minorHAnsi" w:cstheme="minorHAnsi"/>
                <w:b/>
                <w:bCs/>
                <w:sz w:val="22"/>
              </w:rPr>
              <w:t>(a)</w:t>
            </w:r>
            <w:r w:rsidRPr="00392F4C">
              <w:rPr>
                <w:rFonts w:asciiTheme="minorHAnsi" w:hAnsiTheme="minorHAnsi" w:cstheme="minorHAnsi"/>
                <w:sz w:val="22"/>
              </w:rPr>
              <w:t xml:space="preserve"> </w:t>
            </w:r>
            <w:r w:rsidR="004A4144" w:rsidRPr="00392F4C">
              <w:rPr>
                <w:rFonts w:asciiTheme="minorHAnsi" w:hAnsiTheme="minorHAnsi" w:cstheme="minorHAnsi"/>
                <w:sz w:val="22"/>
              </w:rPr>
              <w:t>In</w:t>
            </w:r>
            <w:r w:rsidR="0084514C" w:rsidRPr="00392F4C">
              <w:rPr>
                <w:rFonts w:asciiTheme="minorHAnsi" w:hAnsiTheme="minorHAnsi" w:cstheme="minorHAnsi"/>
                <w:sz w:val="22"/>
              </w:rPr>
              <w:t xml:space="preserve"> a sym</w:t>
            </w:r>
            <w:r w:rsidR="00D716B0" w:rsidRPr="00392F4C">
              <w:rPr>
                <w:rFonts w:asciiTheme="minorHAnsi" w:hAnsiTheme="minorHAnsi" w:cstheme="minorHAnsi"/>
                <w:sz w:val="22"/>
              </w:rPr>
              <w:t xml:space="preserve">ptomatic population, </w:t>
            </w:r>
            <w:r w:rsidR="00CD3C23" w:rsidRPr="00392F4C">
              <w:rPr>
                <w:rFonts w:asciiTheme="minorHAnsi" w:hAnsiTheme="minorHAnsi" w:cstheme="minorHAnsi"/>
                <w:sz w:val="22"/>
              </w:rPr>
              <w:t>how does the information from ADAMTS13</w:t>
            </w:r>
            <w:r w:rsidR="00C9477B" w:rsidRPr="00392F4C">
              <w:rPr>
                <w:rFonts w:asciiTheme="minorHAnsi" w:hAnsiTheme="minorHAnsi" w:cstheme="minorHAnsi"/>
                <w:sz w:val="22"/>
              </w:rPr>
              <w:t xml:space="preserve"> activity</w:t>
            </w:r>
            <w:r w:rsidR="00CD3C23" w:rsidRPr="00392F4C">
              <w:rPr>
                <w:rFonts w:asciiTheme="minorHAnsi" w:hAnsiTheme="minorHAnsi" w:cstheme="minorHAnsi"/>
                <w:sz w:val="22"/>
              </w:rPr>
              <w:t xml:space="preserve"> testing</w:t>
            </w:r>
            <w:r w:rsidR="00310D6B" w:rsidRPr="00392F4C">
              <w:rPr>
                <w:rFonts w:asciiTheme="minorHAnsi" w:hAnsiTheme="minorHAnsi" w:cstheme="minorHAnsi"/>
                <w:sz w:val="22"/>
              </w:rPr>
              <w:t xml:space="preserve"> differ from the information obtained from </w:t>
            </w:r>
            <w:r w:rsidR="00E81C23" w:rsidRPr="00392F4C">
              <w:rPr>
                <w:rFonts w:asciiTheme="minorHAnsi" w:hAnsiTheme="minorHAnsi" w:cstheme="minorHAnsi"/>
                <w:sz w:val="22"/>
              </w:rPr>
              <w:t>prior tests alone</w:t>
            </w:r>
            <w:r w:rsidR="00310D6B" w:rsidRPr="00392F4C">
              <w:rPr>
                <w:rFonts w:asciiTheme="minorHAnsi" w:hAnsiTheme="minorHAnsi" w:cstheme="minorHAnsi"/>
                <w:sz w:val="22"/>
              </w:rPr>
              <w:t>?</w:t>
            </w:r>
          </w:p>
          <w:p w14:paraId="62AF7E8B" w14:textId="6AA6EDB9" w:rsidR="00F24FCF" w:rsidRPr="00392F4C" w:rsidRDefault="00F24FCF" w:rsidP="00392F4C">
            <w:pPr>
              <w:pStyle w:val="TableText0"/>
              <w:spacing w:before="120"/>
              <w:ind w:left="590"/>
              <w:rPr>
                <w:rFonts w:asciiTheme="minorHAnsi" w:hAnsiTheme="minorHAnsi" w:cstheme="minorHAnsi"/>
                <w:sz w:val="22"/>
              </w:rPr>
            </w:pPr>
            <w:r w:rsidRPr="00392F4C">
              <w:rPr>
                <w:rFonts w:asciiTheme="minorHAnsi" w:hAnsiTheme="minorHAnsi" w:cstheme="minorHAnsi"/>
                <w:b/>
                <w:bCs/>
                <w:sz w:val="22"/>
              </w:rPr>
              <w:t>(b)</w:t>
            </w:r>
            <w:r w:rsidRPr="00392F4C">
              <w:rPr>
                <w:rFonts w:asciiTheme="minorHAnsi" w:hAnsiTheme="minorHAnsi" w:cstheme="minorHAnsi"/>
                <w:sz w:val="22"/>
              </w:rPr>
              <w:t xml:space="preserve"> How does the information from ADAMTS13 activity testing (using chemiluminescence immunoassay (CLIA) using a commercial kit (AcuStar)) differ from the information obtained from the clinical utility standards (FRETS-VWF73 or ELISA-based detection)?</w:t>
            </w:r>
          </w:p>
          <w:p w14:paraId="2A2B3B21" w14:textId="1ACC811D" w:rsidR="00067F45" w:rsidRPr="00392F4C" w:rsidRDefault="00F762C1" w:rsidP="00F762C1">
            <w:pPr>
              <w:pStyle w:val="TableText0"/>
              <w:spacing w:before="120"/>
              <w:ind w:left="567"/>
              <w:rPr>
                <w:rFonts w:asciiTheme="minorHAnsi" w:hAnsiTheme="minorHAnsi" w:cstheme="minorHAnsi"/>
                <w:sz w:val="22"/>
              </w:rPr>
            </w:pPr>
            <w:r w:rsidRPr="00392F4C">
              <w:rPr>
                <w:rFonts w:asciiTheme="minorHAnsi" w:hAnsiTheme="minorHAnsi" w:cstheme="minorHAnsi"/>
                <w:b/>
                <w:bCs/>
                <w:sz w:val="22"/>
              </w:rPr>
              <w:t>(</w:t>
            </w:r>
            <w:r w:rsidR="00F24FCF" w:rsidRPr="00392F4C">
              <w:rPr>
                <w:rFonts w:asciiTheme="minorHAnsi" w:hAnsiTheme="minorHAnsi" w:cstheme="minorHAnsi"/>
                <w:b/>
                <w:bCs/>
                <w:sz w:val="22"/>
              </w:rPr>
              <w:t>c</w:t>
            </w:r>
            <w:r w:rsidRPr="00392F4C">
              <w:rPr>
                <w:rFonts w:asciiTheme="minorHAnsi" w:hAnsiTheme="minorHAnsi" w:cstheme="minorHAnsi"/>
                <w:b/>
                <w:bCs/>
                <w:sz w:val="22"/>
              </w:rPr>
              <w:t>)</w:t>
            </w:r>
            <w:r w:rsidRPr="00392F4C">
              <w:rPr>
                <w:rFonts w:asciiTheme="minorHAnsi" w:hAnsiTheme="minorHAnsi" w:cstheme="minorHAnsi"/>
                <w:sz w:val="22"/>
              </w:rPr>
              <w:t xml:space="preserve"> </w:t>
            </w:r>
            <w:r w:rsidR="00067F45" w:rsidRPr="00392F4C">
              <w:rPr>
                <w:rFonts w:asciiTheme="minorHAnsi" w:hAnsiTheme="minorHAnsi" w:cstheme="minorHAnsi"/>
                <w:sz w:val="22"/>
              </w:rPr>
              <w:t xml:space="preserve">In a symptomatic population </w:t>
            </w:r>
            <w:r w:rsidR="00E81C23" w:rsidRPr="00392F4C">
              <w:rPr>
                <w:rFonts w:asciiTheme="minorHAnsi" w:hAnsiTheme="minorHAnsi" w:cstheme="minorHAnsi"/>
                <w:sz w:val="22"/>
              </w:rPr>
              <w:t>with &lt;10% ADAMTS</w:t>
            </w:r>
            <w:r w:rsidR="004815A4" w:rsidRPr="00392F4C">
              <w:rPr>
                <w:rFonts w:asciiTheme="minorHAnsi" w:hAnsiTheme="minorHAnsi" w:cstheme="minorHAnsi"/>
                <w:sz w:val="22"/>
              </w:rPr>
              <w:t>13</w:t>
            </w:r>
            <w:r w:rsidR="00E81C23" w:rsidRPr="00392F4C">
              <w:rPr>
                <w:rFonts w:asciiTheme="minorHAnsi" w:hAnsiTheme="minorHAnsi" w:cstheme="minorHAnsi"/>
                <w:sz w:val="22"/>
              </w:rPr>
              <w:t xml:space="preserve"> activity,</w:t>
            </w:r>
            <w:r w:rsidR="00067F45" w:rsidRPr="00392F4C">
              <w:rPr>
                <w:rFonts w:asciiTheme="minorHAnsi" w:hAnsiTheme="minorHAnsi" w:cstheme="minorHAnsi"/>
                <w:sz w:val="22"/>
              </w:rPr>
              <w:t xml:space="preserve"> how does the information from </w:t>
            </w:r>
            <w:r w:rsidR="00C91A49" w:rsidRPr="00392F4C">
              <w:rPr>
                <w:rFonts w:asciiTheme="minorHAnsi" w:hAnsiTheme="minorHAnsi" w:cstheme="minorHAnsi"/>
                <w:sz w:val="22"/>
              </w:rPr>
              <w:t>anti-</w:t>
            </w:r>
            <w:r w:rsidR="00067F45" w:rsidRPr="00392F4C">
              <w:rPr>
                <w:rFonts w:asciiTheme="minorHAnsi" w:hAnsiTheme="minorHAnsi" w:cstheme="minorHAnsi"/>
                <w:sz w:val="22"/>
              </w:rPr>
              <w:t xml:space="preserve">ADAMTS13 </w:t>
            </w:r>
            <w:r w:rsidR="00327595" w:rsidRPr="00392F4C">
              <w:rPr>
                <w:rFonts w:asciiTheme="minorHAnsi" w:hAnsiTheme="minorHAnsi" w:cstheme="minorHAnsi"/>
                <w:sz w:val="22"/>
              </w:rPr>
              <w:t>autoantibod</w:t>
            </w:r>
            <w:r w:rsidR="00C91A49" w:rsidRPr="00392F4C">
              <w:rPr>
                <w:rFonts w:asciiTheme="minorHAnsi" w:hAnsiTheme="minorHAnsi" w:cstheme="minorHAnsi"/>
                <w:sz w:val="22"/>
              </w:rPr>
              <w:t>y</w:t>
            </w:r>
            <w:r w:rsidR="00067F45" w:rsidRPr="00392F4C">
              <w:rPr>
                <w:rFonts w:asciiTheme="minorHAnsi" w:hAnsiTheme="minorHAnsi" w:cstheme="minorHAnsi"/>
                <w:sz w:val="22"/>
              </w:rPr>
              <w:t xml:space="preserve"> testing differ from the information obtained from </w:t>
            </w:r>
            <w:r w:rsidR="00A104F4" w:rsidRPr="00392F4C">
              <w:rPr>
                <w:rFonts w:asciiTheme="minorHAnsi" w:hAnsiTheme="minorHAnsi" w:cstheme="minorHAnsi"/>
                <w:sz w:val="22"/>
              </w:rPr>
              <w:t>prior</w:t>
            </w:r>
            <w:r w:rsidR="00067F45" w:rsidRPr="00392F4C">
              <w:rPr>
                <w:rFonts w:asciiTheme="minorHAnsi" w:hAnsiTheme="minorHAnsi" w:cstheme="minorHAnsi"/>
                <w:sz w:val="22"/>
              </w:rPr>
              <w:t xml:space="preserve"> test</w:t>
            </w:r>
            <w:r w:rsidR="00A104F4" w:rsidRPr="00392F4C">
              <w:rPr>
                <w:rFonts w:asciiTheme="minorHAnsi" w:hAnsiTheme="minorHAnsi" w:cstheme="minorHAnsi"/>
                <w:sz w:val="22"/>
              </w:rPr>
              <w:t>s alone</w:t>
            </w:r>
            <w:r w:rsidR="00067F45" w:rsidRPr="00392F4C">
              <w:rPr>
                <w:rFonts w:asciiTheme="minorHAnsi" w:hAnsiTheme="minorHAnsi" w:cstheme="minorHAnsi"/>
                <w:sz w:val="22"/>
              </w:rPr>
              <w:t>?</w:t>
            </w:r>
          </w:p>
          <w:p w14:paraId="0AE51AE5" w14:textId="7F8A691E" w:rsidR="00067F45" w:rsidRPr="00392F4C" w:rsidRDefault="00F762C1" w:rsidP="00F762C1">
            <w:pPr>
              <w:pStyle w:val="TableText0"/>
              <w:spacing w:before="120"/>
              <w:ind w:left="567"/>
              <w:rPr>
                <w:rFonts w:asciiTheme="minorHAnsi" w:hAnsiTheme="minorHAnsi" w:cstheme="minorHAnsi"/>
                <w:sz w:val="22"/>
              </w:rPr>
            </w:pPr>
            <w:r w:rsidRPr="00392F4C">
              <w:rPr>
                <w:rFonts w:asciiTheme="minorHAnsi" w:hAnsiTheme="minorHAnsi" w:cstheme="minorHAnsi"/>
                <w:b/>
                <w:bCs/>
                <w:sz w:val="22"/>
              </w:rPr>
              <w:t>(</w:t>
            </w:r>
            <w:r w:rsidR="00F24FCF" w:rsidRPr="00392F4C">
              <w:rPr>
                <w:rFonts w:asciiTheme="minorHAnsi" w:hAnsiTheme="minorHAnsi" w:cstheme="minorHAnsi"/>
                <w:b/>
                <w:bCs/>
                <w:sz w:val="22"/>
              </w:rPr>
              <w:t>d</w:t>
            </w:r>
            <w:r w:rsidRPr="00392F4C">
              <w:rPr>
                <w:rFonts w:asciiTheme="minorHAnsi" w:hAnsiTheme="minorHAnsi" w:cstheme="minorHAnsi"/>
                <w:b/>
                <w:bCs/>
                <w:sz w:val="22"/>
              </w:rPr>
              <w:t>)</w:t>
            </w:r>
            <w:r w:rsidRPr="00392F4C">
              <w:rPr>
                <w:rFonts w:asciiTheme="minorHAnsi" w:hAnsiTheme="minorHAnsi" w:cstheme="minorHAnsi"/>
                <w:sz w:val="22"/>
              </w:rPr>
              <w:t xml:space="preserve"> </w:t>
            </w:r>
            <w:r w:rsidR="00067F45" w:rsidRPr="00392F4C">
              <w:rPr>
                <w:rFonts w:asciiTheme="minorHAnsi" w:hAnsiTheme="minorHAnsi" w:cstheme="minorHAnsi"/>
                <w:sz w:val="22"/>
              </w:rPr>
              <w:t xml:space="preserve">In a symptomatic population, </w:t>
            </w:r>
            <w:r w:rsidR="000623E7" w:rsidRPr="00392F4C">
              <w:rPr>
                <w:rFonts w:asciiTheme="minorHAnsi" w:hAnsiTheme="minorHAnsi" w:cstheme="minorHAnsi"/>
                <w:sz w:val="22"/>
              </w:rPr>
              <w:t>with &lt;10% ADAMTS</w:t>
            </w:r>
            <w:r w:rsidR="00772459" w:rsidRPr="00392F4C">
              <w:rPr>
                <w:rFonts w:asciiTheme="minorHAnsi" w:hAnsiTheme="minorHAnsi" w:cstheme="minorHAnsi"/>
                <w:sz w:val="22"/>
              </w:rPr>
              <w:t>13</w:t>
            </w:r>
            <w:r w:rsidR="000623E7" w:rsidRPr="00392F4C">
              <w:rPr>
                <w:rFonts w:asciiTheme="minorHAnsi" w:hAnsiTheme="minorHAnsi" w:cstheme="minorHAnsi"/>
                <w:sz w:val="22"/>
              </w:rPr>
              <w:t xml:space="preserve"> activity</w:t>
            </w:r>
            <w:r w:rsidR="00067F45" w:rsidRPr="00392F4C">
              <w:rPr>
                <w:rFonts w:asciiTheme="minorHAnsi" w:hAnsiTheme="minorHAnsi" w:cstheme="minorHAnsi"/>
                <w:sz w:val="22"/>
              </w:rPr>
              <w:t xml:space="preserve"> </w:t>
            </w:r>
            <w:r w:rsidR="000623E7" w:rsidRPr="00392F4C">
              <w:rPr>
                <w:rFonts w:asciiTheme="minorHAnsi" w:hAnsiTheme="minorHAnsi" w:cstheme="minorHAnsi"/>
                <w:sz w:val="22"/>
              </w:rPr>
              <w:t xml:space="preserve">and no </w:t>
            </w:r>
            <w:r w:rsidR="00D70261" w:rsidRPr="00392F4C">
              <w:rPr>
                <w:rFonts w:asciiTheme="minorHAnsi" w:hAnsiTheme="minorHAnsi" w:cstheme="minorHAnsi"/>
                <w:sz w:val="22"/>
              </w:rPr>
              <w:t>anti-</w:t>
            </w:r>
            <w:r w:rsidR="00AB3DCB" w:rsidRPr="00392F4C">
              <w:rPr>
                <w:rFonts w:asciiTheme="minorHAnsi" w:hAnsiTheme="minorHAnsi" w:cstheme="minorHAnsi"/>
                <w:sz w:val="22"/>
              </w:rPr>
              <w:t xml:space="preserve">ADAMTS13 </w:t>
            </w:r>
            <w:r w:rsidR="00986DFD" w:rsidRPr="00392F4C">
              <w:rPr>
                <w:rFonts w:asciiTheme="minorHAnsi" w:hAnsiTheme="minorHAnsi" w:cstheme="minorHAnsi"/>
                <w:sz w:val="22"/>
              </w:rPr>
              <w:t>auto</w:t>
            </w:r>
            <w:r w:rsidR="00AB3DCB" w:rsidRPr="00392F4C">
              <w:rPr>
                <w:rFonts w:asciiTheme="minorHAnsi" w:hAnsiTheme="minorHAnsi" w:cstheme="minorHAnsi"/>
                <w:sz w:val="22"/>
              </w:rPr>
              <w:t>antibodies, what is the diagnostic</w:t>
            </w:r>
            <w:r w:rsidR="003F1D1D" w:rsidRPr="00392F4C">
              <w:rPr>
                <w:rFonts w:asciiTheme="minorHAnsi" w:hAnsiTheme="minorHAnsi" w:cstheme="minorHAnsi"/>
                <w:sz w:val="22"/>
              </w:rPr>
              <w:t>, prognostic and predictive</w:t>
            </w:r>
            <w:r w:rsidR="00AB3DCB" w:rsidRPr="00392F4C">
              <w:rPr>
                <w:rFonts w:asciiTheme="minorHAnsi" w:hAnsiTheme="minorHAnsi" w:cstheme="minorHAnsi"/>
                <w:sz w:val="22"/>
              </w:rPr>
              <w:t xml:space="preserve"> yield of </w:t>
            </w:r>
            <w:r w:rsidR="00067F45" w:rsidRPr="00392F4C">
              <w:rPr>
                <w:rFonts w:asciiTheme="minorHAnsi" w:hAnsiTheme="minorHAnsi" w:cstheme="minorHAnsi"/>
                <w:i/>
                <w:iCs/>
                <w:sz w:val="22"/>
              </w:rPr>
              <w:t>ADAMTS13</w:t>
            </w:r>
            <w:r w:rsidR="00067F45" w:rsidRPr="00392F4C">
              <w:rPr>
                <w:rFonts w:asciiTheme="minorHAnsi" w:hAnsiTheme="minorHAnsi" w:cstheme="minorHAnsi"/>
                <w:sz w:val="22"/>
              </w:rPr>
              <w:t xml:space="preserve"> genetic testing </w:t>
            </w:r>
            <w:r w:rsidR="00361A51" w:rsidRPr="00392F4C">
              <w:rPr>
                <w:rFonts w:asciiTheme="minorHAnsi" w:hAnsiTheme="minorHAnsi" w:cstheme="minorHAnsi"/>
                <w:sz w:val="22"/>
              </w:rPr>
              <w:t>compared to prior tests alone</w:t>
            </w:r>
            <w:r w:rsidR="00067F45" w:rsidRPr="00392F4C">
              <w:rPr>
                <w:rFonts w:asciiTheme="minorHAnsi" w:hAnsiTheme="minorHAnsi" w:cstheme="minorHAnsi"/>
                <w:sz w:val="22"/>
              </w:rPr>
              <w:t>?</w:t>
            </w:r>
          </w:p>
          <w:p w14:paraId="4EC231B7" w14:textId="326DF52E" w:rsidR="00310D6B" w:rsidRPr="00392F4C" w:rsidRDefault="002E784D" w:rsidP="002E784D">
            <w:pPr>
              <w:pStyle w:val="PICOtablemanualnumbers"/>
              <w:numPr>
                <w:ilvl w:val="0"/>
                <w:numId w:val="25"/>
              </w:numPr>
              <w:rPr>
                <w:rFonts w:asciiTheme="minorHAnsi" w:hAnsiTheme="minorHAnsi" w:cstheme="minorHAnsi"/>
                <w:sz w:val="22"/>
              </w:rPr>
            </w:pPr>
            <w:r w:rsidRPr="00392F4C">
              <w:rPr>
                <w:rFonts w:asciiTheme="minorHAnsi" w:hAnsiTheme="minorHAnsi" w:cstheme="minorHAnsi"/>
                <w:b/>
                <w:bCs/>
                <w:sz w:val="22"/>
              </w:rPr>
              <w:lastRenderedPageBreak/>
              <w:t>(a)</w:t>
            </w:r>
            <w:r w:rsidRPr="00392F4C">
              <w:rPr>
                <w:rFonts w:asciiTheme="minorHAnsi" w:hAnsiTheme="minorHAnsi" w:cstheme="minorHAnsi"/>
                <w:sz w:val="22"/>
              </w:rPr>
              <w:t xml:space="preserve"> </w:t>
            </w:r>
            <w:r w:rsidR="00E53F91" w:rsidRPr="00392F4C">
              <w:rPr>
                <w:rFonts w:asciiTheme="minorHAnsi" w:hAnsiTheme="minorHAnsi" w:cstheme="minorHAnsi"/>
                <w:sz w:val="22"/>
              </w:rPr>
              <w:t>Does the availability of new information</w:t>
            </w:r>
            <w:r w:rsidR="0061397A" w:rsidRPr="00392F4C">
              <w:rPr>
                <w:rFonts w:asciiTheme="minorHAnsi" w:hAnsiTheme="minorHAnsi" w:cstheme="minorHAnsi"/>
                <w:sz w:val="22"/>
              </w:rPr>
              <w:t xml:space="preserve"> from </w:t>
            </w:r>
            <w:r w:rsidR="00ED6ACB" w:rsidRPr="00392F4C">
              <w:rPr>
                <w:rFonts w:asciiTheme="minorHAnsi" w:hAnsiTheme="minorHAnsi" w:cstheme="minorHAnsi"/>
                <w:sz w:val="22"/>
              </w:rPr>
              <w:t>ADAMTS13 activity testing</w:t>
            </w:r>
            <w:r w:rsidR="00686BB3" w:rsidRPr="00392F4C">
              <w:rPr>
                <w:rFonts w:asciiTheme="minorHAnsi" w:hAnsiTheme="minorHAnsi" w:cstheme="minorHAnsi"/>
                <w:sz w:val="22"/>
              </w:rPr>
              <w:t xml:space="preserve"> </w:t>
            </w:r>
            <w:r w:rsidR="00282E7E" w:rsidRPr="00392F4C">
              <w:rPr>
                <w:rFonts w:asciiTheme="minorHAnsi" w:hAnsiTheme="minorHAnsi" w:cstheme="minorHAnsi"/>
                <w:sz w:val="22"/>
              </w:rPr>
              <w:t>lead to a change in patient management</w:t>
            </w:r>
            <w:r w:rsidR="005F04BE" w:rsidRPr="00392F4C">
              <w:rPr>
                <w:rFonts w:asciiTheme="minorHAnsi" w:hAnsiTheme="minorHAnsi" w:cstheme="minorHAnsi"/>
                <w:sz w:val="22"/>
              </w:rPr>
              <w:t xml:space="preserve"> compared to no ADAMTS13</w:t>
            </w:r>
            <w:r w:rsidR="00580BFD" w:rsidRPr="00392F4C">
              <w:rPr>
                <w:rFonts w:asciiTheme="minorHAnsi" w:hAnsiTheme="minorHAnsi" w:cstheme="minorHAnsi"/>
                <w:sz w:val="22"/>
              </w:rPr>
              <w:t xml:space="preserve"> activity</w:t>
            </w:r>
            <w:r w:rsidR="005F04BE" w:rsidRPr="00392F4C">
              <w:rPr>
                <w:rFonts w:asciiTheme="minorHAnsi" w:hAnsiTheme="minorHAnsi" w:cstheme="minorHAnsi"/>
                <w:sz w:val="22"/>
              </w:rPr>
              <w:t xml:space="preserve"> testing</w:t>
            </w:r>
            <w:r w:rsidR="00282E7E" w:rsidRPr="00392F4C">
              <w:rPr>
                <w:rFonts w:asciiTheme="minorHAnsi" w:hAnsiTheme="minorHAnsi" w:cstheme="minorHAnsi"/>
                <w:sz w:val="22"/>
              </w:rPr>
              <w:t>?</w:t>
            </w:r>
          </w:p>
          <w:p w14:paraId="3F9AFF00" w14:textId="79DC9B69" w:rsidR="00686BB3" w:rsidRPr="00392F4C" w:rsidRDefault="00686BB3" w:rsidP="00997B03">
            <w:pPr>
              <w:pStyle w:val="PICOtablemanualnumbers"/>
              <w:ind w:firstLine="0"/>
              <w:rPr>
                <w:rFonts w:asciiTheme="minorHAnsi" w:hAnsiTheme="minorHAnsi" w:cstheme="minorHAnsi"/>
                <w:sz w:val="22"/>
              </w:rPr>
            </w:pPr>
            <w:r w:rsidRPr="00392F4C">
              <w:rPr>
                <w:rFonts w:asciiTheme="minorHAnsi" w:hAnsiTheme="minorHAnsi" w:cstheme="minorHAnsi"/>
                <w:b/>
                <w:bCs/>
                <w:sz w:val="22"/>
              </w:rPr>
              <w:t>(b)</w:t>
            </w:r>
            <w:r w:rsidRPr="00392F4C">
              <w:rPr>
                <w:rFonts w:asciiTheme="minorHAnsi" w:hAnsiTheme="minorHAnsi" w:cstheme="minorHAnsi"/>
                <w:sz w:val="22"/>
              </w:rPr>
              <w:t xml:space="preserve"> Does the availability of new information from </w:t>
            </w:r>
            <w:r w:rsidR="00D70261" w:rsidRPr="00392F4C">
              <w:rPr>
                <w:rFonts w:asciiTheme="minorHAnsi" w:hAnsiTheme="minorHAnsi" w:cstheme="minorHAnsi"/>
                <w:sz w:val="22"/>
              </w:rPr>
              <w:t>anti-</w:t>
            </w:r>
            <w:r w:rsidRPr="00392F4C">
              <w:rPr>
                <w:rFonts w:asciiTheme="minorHAnsi" w:hAnsiTheme="minorHAnsi" w:cstheme="minorHAnsi"/>
                <w:sz w:val="22"/>
              </w:rPr>
              <w:t xml:space="preserve">ADAMTS13 </w:t>
            </w:r>
            <w:r w:rsidR="00327595" w:rsidRPr="00392F4C">
              <w:rPr>
                <w:rFonts w:asciiTheme="minorHAnsi" w:hAnsiTheme="minorHAnsi" w:cstheme="minorHAnsi"/>
                <w:sz w:val="22"/>
              </w:rPr>
              <w:t>autoantibod</w:t>
            </w:r>
            <w:r w:rsidR="00F27910" w:rsidRPr="00392F4C">
              <w:rPr>
                <w:rFonts w:asciiTheme="minorHAnsi" w:hAnsiTheme="minorHAnsi" w:cstheme="minorHAnsi"/>
                <w:sz w:val="22"/>
              </w:rPr>
              <w:t>y</w:t>
            </w:r>
            <w:r w:rsidRPr="00392F4C">
              <w:rPr>
                <w:rFonts w:asciiTheme="minorHAnsi" w:hAnsiTheme="minorHAnsi" w:cstheme="minorHAnsi"/>
                <w:sz w:val="22"/>
              </w:rPr>
              <w:t xml:space="preserve"> testing lead to a change in patient management compared to no </w:t>
            </w:r>
            <w:r w:rsidR="00D70261" w:rsidRPr="00392F4C">
              <w:rPr>
                <w:rFonts w:asciiTheme="minorHAnsi" w:hAnsiTheme="minorHAnsi" w:cstheme="minorHAnsi"/>
                <w:sz w:val="22"/>
              </w:rPr>
              <w:t>anti-</w:t>
            </w:r>
            <w:r w:rsidRPr="00392F4C">
              <w:rPr>
                <w:rFonts w:asciiTheme="minorHAnsi" w:hAnsiTheme="minorHAnsi" w:cstheme="minorHAnsi"/>
                <w:sz w:val="22"/>
              </w:rPr>
              <w:t xml:space="preserve">ADAMTS13 </w:t>
            </w:r>
            <w:r w:rsidR="00A66DE9" w:rsidRPr="00392F4C">
              <w:rPr>
                <w:rFonts w:asciiTheme="minorHAnsi" w:hAnsiTheme="minorHAnsi" w:cstheme="minorHAnsi"/>
                <w:sz w:val="22"/>
              </w:rPr>
              <w:t xml:space="preserve">autoantibody </w:t>
            </w:r>
            <w:r w:rsidRPr="00392F4C">
              <w:rPr>
                <w:rFonts w:asciiTheme="minorHAnsi" w:hAnsiTheme="minorHAnsi" w:cstheme="minorHAnsi"/>
                <w:sz w:val="22"/>
              </w:rPr>
              <w:t>testing?</w:t>
            </w:r>
          </w:p>
          <w:p w14:paraId="5CBC7793" w14:textId="3793DF20" w:rsidR="00686BB3" w:rsidRPr="00392F4C" w:rsidRDefault="00997B03" w:rsidP="00997B03">
            <w:pPr>
              <w:pStyle w:val="PICOtablemanualnumbers"/>
              <w:ind w:firstLine="0"/>
              <w:rPr>
                <w:rFonts w:asciiTheme="minorHAnsi" w:hAnsiTheme="minorHAnsi" w:cstheme="minorHAnsi"/>
                <w:sz w:val="22"/>
              </w:rPr>
            </w:pPr>
            <w:r w:rsidRPr="00392F4C">
              <w:rPr>
                <w:rFonts w:asciiTheme="minorHAnsi" w:hAnsiTheme="minorHAnsi" w:cstheme="minorHAnsi"/>
                <w:b/>
                <w:bCs/>
                <w:sz w:val="22"/>
              </w:rPr>
              <w:t>(c)</w:t>
            </w:r>
            <w:r w:rsidRPr="00392F4C">
              <w:rPr>
                <w:rFonts w:asciiTheme="minorHAnsi" w:hAnsiTheme="minorHAnsi" w:cstheme="minorHAnsi"/>
                <w:sz w:val="22"/>
              </w:rPr>
              <w:t xml:space="preserve"> </w:t>
            </w:r>
            <w:r w:rsidR="00686BB3" w:rsidRPr="00392F4C">
              <w:rPr>
                <w:rFonts w:asciiTheme="minorHAnsi" w:hAnsiTheme="minorHAnsi" w:cstheme="minorHAnsi"/>
                <w:sz w:val="22"/>
              </w:rPr>
              <w:t xml:space="preserve">Does the availability of new information from </w:t>
            </w:r>
            <w:r w:rsidR="00686BB3" w:rsidRPr="00392F4C">
              <w:rPr>
                <w:rFonts w:asciiTheme="minorHAnsi" w:hAnsiTheme="minorHAnsi" w:cstheme="minorHAnsi"/>
                <w:i/>
                <w:iCs/>
                <w:sz w:val="22"/>
              </w:rPr>
              <w:t>ADAMTS13</w:t>
            </w:r>
            <w:r w:rsidR="00686BB3" w:rsidRPr="00392F4C">
              <w:rPr>
                <w:rFonts w:asciiTheme="minorHAnsi" w:hAnsiTheme="minorHAnsi" w:cstheme="minorHAnsi"/>
                <w:sz w:val="22"/>
              </w:rPr>
              <w:t xml:space="preserve"> genetic testing lead to a change in patient management compared to no </w:t>
            </w:r>
            <w:r w:rsidR="00686BB3" w:rsidRPr="00392F4C">
              <w:rPr>
                <w:rFonts w:asciiTheme="minorHAnsi" w:hAnsiTheme="minorHAnsi" w:cstheme="minorHAnsi"/>
                <w:i/>
                <w:iCs/>
                <w:sz w:val="22"/>
              </w:rPr>
              <w:t>ADAMTS13</w:t>
            </w:r>
            <w:r w:rsidR="00686BB3" w:rsidRPr="00392F4C">
              <w:rPr>
                <w:rFonts w:asciiTheme="minorHAnsi" w:hAnsiTheme="minorHAnsi" w:cstheme="minorHAnsi"/>
                <w:sz w:val="22"/>
              </w:rPr>
              <w:t xml:space="preserve"> </w:t>
            </w:r>
            <w:r w:rsidR="00580BFD" w:rsidRPr="00392F4C">
              <w:rPr>
                <w:rFonts w:asciiTheme="minorHAnsi" w:hAnsiTheme="minorHAnsi" w:cstheme="minorHAnsi"/>
                <w:sz w:val="22"/>
              </w:rPr>
              <w:t xml:space="preserve">genetic </w:t>
            </w:r>
            <w:r w:rsidR="00686BB3" w:rsidRPr="00392F4C">
              <w:rPr>
                <w:rFonts w:asciiTheme="minorHAnsi" w:hAnsiTheme="minorHAnsi" w:cstheme="minorHAnsi"/>
                <w:sz w:val="22"/>
              </w:rPr>
              <w:t>testing?</w:t>
            </w:r>
          </w:p>
          <w:p w14:paraId="5B62900D" w14:textId="0F9635DA" w:rsidR="004D08E4" w:rsidRPr="00392F4C" w:rsidRDefault="004D08E4" w:rsidP="00392F4C">
            <w:pPr>
              <w:pStyle w:val="PICOtablemanualnumbers"/>
              <w:numPr>
                <w:ilvl w:val="0"/>
                <w:numId w:val="25"/>
              </w:numPr>
              <w:ind w:left="584" w:hanging="357"/>
              <w:rPr>
                <w:rFonts w:asciiTheme="minorHAnsi" w:hAnsiTheme="minorHAnsi" w:cstheme="minorHAnsi"/>
                <w:sz w:val="22"/>
              </w:rPr>
            </w:pPr>
            <w:r w:rsidRPr="00392F4C">
              <w:rPr>
                <w:rFonts w:asciiTheme="minorHAnsi" w:hAnsiTheme="minorHAnsi" w:cstheme="minorHAnsi"/>
                <w:sz w:val="22"/>
              </w:rPr>
              <w:t>Do the differences in management derived from the tests (e.g. eculizumab, plasma infusion for aHUS, PEX, rituximab ± caplacizumab for i</w:t>
            </w:r>
            <w:r w:rsidR="00D079F2" w:rsidRPr="00392F4C">
              <w:rPr>
                <w:rFonts w:asciiTheme="minorHAnsi" w:hAnsiTheme="minorHAnsi" w:cstheme="minorHAnsi"/>
                <w:sz w:val="22"/>
              </w:rPr>
              <w:t>TTP</w:t>
            </w:r>
            <w:r w:rsidRPr="00392F4C">
              <w:rPr>
                <w:rFonts w:asciiTheme="minorHAnsi" w:hAnsiTheme="minorHAnsi" w:cstheme="minorHAnsi"/>
                <w:sz w:val="22"/>
              </w:rPr>
              <w:t>, plasma infusions for cTTP) lead to improved health outcomes compared to treatment based on prior tests alone?</w:t>
            </w:r>
          </w:p>
          <w:p w14:paraId="23C49611" w14:textId="792CD47E" w:rsidR="0066644B" w:rsidRPr="00392F4C" w:rsidRDefault="00E57182" w:rsidP="00392F4C">
            <w:pPr>
              <w:pStyle w:val="PICOtablemanualnumbers"/>
              <w:numPr>
                <w:ilvl w:val="0"/>
                <w:numId w:val="25"/>
              </w:numPr>
              <w:ind w:left="584" w:hanging="357"/>
              <w:rPr>
                <w:rFonts w:asciiTheme="minorHAnsi" w:hAnsiTheme="minorHAnsi" w:cstheme="minorHAnsi"/>
                <w:sz w:val="22"/>
              </w:rPr>
            </w:pPr>
            <w:r w:rsidRPr="00392F4C">
              <w:rPr>
                <w:rFonts w:asciiTheme="minorHAnsi" w:hAnsiTheme="minorHAnsi" w:cstheme="minorHAnsi"/>
                <w:sz w:val="22"/>
              </w:rPr>
              <w:t xml:space="preserve">What are the </w:t>
            </w:r>
            <w:r w:rsidR="007D2550" w:rsidRPr="00392F4C">
              <w:rPr>
                <w:rFonts w:asciiTheme="minorHAnsi" w:hAnsiTheme="minorHAnsi" w:cstheme="minorHAnsi"/>
                <w:sz w:val="22"/>
              </w:rPr>
              <w:t xml:space="preserve">(direct) </w:t>
            </w:r>
            <w:r w:rsidR="00D4569A" w:rsidRPr="00392F4C">
              <w:rPr>
                <w:rFonts w:asciiTheme="minorHAnsi" w:hAnsiTheme="minorHAnsi" w:cstheme="minorHAnsi"/>
                <w:sz w:val="22"/>
              </w:rPr>
              <w:t>adverse event</w:t>
            </w:r>
            <w:r w:rsidRPr="00392F4C">
              <w:rPr>
                <w:rFonts w:asciiTheme="minorHAnsi" w:hAnsiTheme="minorHAnsi" w:cstheme="minorHAnsi"/>
                <w:sz w:val="22"/>
              </w:rPr>
              <w:t>s</w:t>
            </w:r>
            <w:r w:rsidR="00B264C4" w:rsidRPr="00392F4C">
              <w:rPr>
                <w:rFonts w:asciiTheme="minorHAnsi" w:hAnsiTheme="minorHAnsi" w:cstheme="minorHAnsi"/>
                <w:sz w:val="22"/>
              </w:rPr>
              <w:t xml:space="preserve"> associated with </w:t>
            </w:r>
            <w:r w:rsidR="0066644B" w:rsidRPr="00392F4C">
              <w:rPr>
                <w:rFonts w:asciiTheme="minorHAnsi" w:hAnsiTheme="minorHAnsi" w:cstheme="minorHAnsi"/>
                <w:sz w:val="22"/>
              </w:rPr>
              <w:t>ADAMTS13 activity testing</w:t>
            </w:r>
            <w:r w:rsidR="009D485D" w:rsidRPr="00392F4C">
              <w:rPr>
                <w:rFonts w:asciiTheme="minorHAnsi" w:hAnsiTheme="minorHAnsi" w:cstheme="minorHAnsi"/>
                <w:sz w:val="22"/>
              </w:rPr>
              <w:t>,</w:t>
            </w:r>
            <w:r w:rsidR="0066644B" w:rsidRPr="00392F4C">
              <w:rPr>
                <w:rFonts w:asciiTheme="minorHAnsi" w:hAnsiTheme="minorHAnsi" w:cstheme="minorHAnsi"/>
                <w:sz w:val="22"/>
              </w:rPr>
              <w:t xml:space="preserve"> </w:t>
            </w:r>
            <w:r w:rsidR="003B6B9B" w:rsidRPr="00392F4C">
              <w:rPr>
                <w:rFonts w:asciiTheme="minorHAnsi" w:hAnsiTheme="minorHAnsi" w:cstheme="minorHAnsi"/>
                <w:sz w:val="22"/>
              </w:rPr>
              <w:t>anti-</w:t>
            </w:r>
            <w:r w:rsidR="0066644B" w:rsidRPr="00392F4C">
              <w:rPr>
                <w:rFonts w:asciiTheme="minorHAnsi" w:hAnsiTheme="minorHAnsi" w:cstheme="minorHAnsi"/>
                <w:sz w:val="22"/>
              </w:rPr>
              <w:t xml:space="preserve">ADAMTS13 </w:t>
            </w:r>
            <w:r w:rsidR="00327595" w:rsidRPr="00392F4C">
              <w:rPr>
                <w:rFonts w:asciiTheme="minorHAnsi" w:hAnsiTheme="minorHAnsi" w:cstheme="minorHAnsi"/>
                <w:sz w:val="22"/>
              </w:rPr>
              <w:t>autoantibod</w:t>
            </w:r>
            <w:r w:rsidR="00F27910" w:rsidRPr="00392F4C">
              <w:rPr>
                <w:rFonts w:asciiTheme="minorHAnsi" w:hAnsiTheme="minorHAnsi" w:cstheme="minorHAnsi"/>
                <w:sz w:val="22"/>
              </w:rPr>
              <w:t>y</w:t>
            </w:r>
            <w:r w:rsidR="0066644B" w:rsidRPr="00392F4C">
              <w:rPr>
                <w:rFonts w:asciiTheme="minorHAnsi" w:hAnsiTheme="minorHAnsi" w:cstheme="minorHAnsi"/>
                <w:sz w:val="22"/>
              </w:rPr>
              <w:t xml:space="preserve"> testing</w:t>
            </w:r>
            <w:r w:rsidR="009D485D" w:rsidRPr="00392F4C">
              <w:rPr>
                <w:rFonts w:asciiTheme="minorHAnsi" w:hAnsiTheme="minorHAnsi" w:cstheme="minorHAnsi"/>
                <w:sz w:val="22"/>
              </w:rPr>
              <w:t xml:space="preserve"> and </w:t>
            </w:r>
            <w:r w:rsidR="009D485D" w:rsidRPr="00392F4C">
              <w:rPr>
                <w:rFonts w:asciiTheme="minorHAnsi" w:hAnsiTheme="minorHAnsi" w:cstheme="minorHAnsi"/>
                <w:i/>
                <w:iCs/>
                <w:sz w:val="22"/>
              </w:rPr>
              <w:t>ADAMTS13</w:t>
            </w:r>
            <w:r w:rsidR="009D485D" w:rsidRPr="00392F4C">
              <w:rPr>
                <w:rFonts w:asciiTheme="minorHAnsi" w:hAnsiTheme="minorHAnsi" w:cstheme="minorHAnsi"/>
                <w:sz w:val="22"/>
              </w:rPr>
              <w:t xml:space="preserve"> genetic testing</w:t>
            </w:r>
            <w:r w:rsidR="0066644B" w:rsidRPr="00392F4C">
              <w:rPr>
                <w:rFonts w:asciiTheme="minorHAnsi" w:hAnsiTheme="minorHAnsi" w:cstheme="minorHAnsi"/>
                <w:sz w:val="22"/>
              </w:rPr>
              <w:t>?</w:t>
            </w:r>
          </w:p>
          <w:p w14:paraId="7AB69A9A" w14:textId="11C1A4C2" w:rsidR="00245C45" w:rsidRPr="00392F4C" w:rsidRDefault="009D485D" w:rsidP="002E784D">
            <w:pPr>
              <w:pStyle w:val="PICOtablemanualnumbers"/>
              <w:numPr>
                <w:ilvl w:val="0"/>
                <w:numId w:val="25"/>
              </w:numPr>
              <w:rPr>
                <w:rFonts w:asciiTheme="minorHAnsi" w:hAnsiTheme="minorHAnsi" w:cstheme="minorHAnsi"/>
                <w:sz w:val="22"/>
              </w:rPr>
            </w:pPr>
            <w:r w:rsidRPr="00392F4C">
              <w:rPr>
                <w:rFonts w:asciiTheme="minorHAnsi" w:hAnsiTheme="minorHAnsi" w:cstheme="minorHAnsi"/>
                <w:sz w:val="22"/>
              </w:rPr>
              <w:t xml:space="preserve">What are the </w:t>
            </w:r>
            <w:r w:rsidR="00194B5E" w:rsidRPr="00392F4C">
              <w:rPr>
                <w:rFonts w:asciiTheme="minorHAnsi" w:hAnsiTheme="minorHAnsi" w:cstheme="minorHAnsi"/>
                <w:sz w:val="22"/>
              </w:rPr>
              <w:t>adverse event</w:t>
            </w:r>
            <w:r w:rsidR="0066644B" w:rsidRPr="00392F4C">
              <w:rPr>
                <w:rFonts w:asciiTheme="minorHAnsi" w:hAnsiTheme="minorHAnsi" w:cstheme="minorHAnsi"/>
                <w:sz w:val="22"/>
              </w:rPr>
              <w:t>s associated with</w:t>
            </w:r>
            <w:r w:rsidR="003F15BD" w:rsidRPr="00392F4C">
              <w:rPr>
                <w:rFonts w:asciiTheme="minorHAnsi" w:hAnsiTheme="minorHAnsi" w:cstheme="minorHAnsi"/>
                <w:sz w:val="22"/>
              </w:rPr>
              <w:t xml:space="preserve"> the treatments/interventions that lead from the</w:t>
            </w:r>
            <w:r w:rsidR="003F402D" w:rsidRPr="00392F4C">
              <w:rPr>
                <w:rFonts w:asciiTheme="minorHAnsi" w:hAnsiTheme="minorHAnsi" w:cstheme="minorHAnsi"/>
                <w:sz w:val="22"/>
              </w:rPr>
              <w:t xml:space="preserve"> </w:t>
            </w:r>
            <w:r w:rsidR="003F15BD" w:rsidRPr="00392F4C">
              <w:rPr>
                <w:rFonts w:asciiTheme="minorHAnsi" w:hAnsiTheme="minorHAnsi" w:cstheme="minorHAnsi"/>
                <w:sz w:val="22"/>
              </w:rPr>
              <w:t>management decisions informed by the test</w:t>
            </w:r>
            <w:r w:rsidR="00580E0F" w:rsidRPr="00392F4C">
              <w:rPr>
                <w:rFonts w:asciiTheme="minorHAnsi" w:hAnsiTheme="minorHAnsi" w:cstheme="minorHAnsi"/>
                <w:sz w:val="22"/>
              </w:rPr>
              <w:t>s</w:t>
            </w:r>
            <w:r w:rsidR="003F15BD" w:rsidRPr="00392F4C">
              <w:rPr>
                <w:rFonts w:asciiTheme="minorHAnsi" w:hAnsiTheme="minorHAnsi" w:cstheme="minorHAnsi"/>
                <w:sz w:val="22"/>
              </w:rPr>
              <w:t xml:space="preserve"> and by the comparator</w:t>
            </w:r>
            <w:r w:rsidR="0066644B" w:rsidRPr="00392F4C">
              <w:rPr>
                <w:rFonts w:asciiTheme="minorHAnsi" w:hAnsiTheme="minorHAnsi" w:cstheme="minorHAnsi"/>
                <w:sz w:val="22"/>
              </w:rPr>
              <w:t>?</w:t>
            </w:r>
          </w:p>
        </w:tc>
      </w:tr>
    </w:tbl>
    <w:p w14:paraId="71892BBE" w14:textId="1FAFD358" w:rsidR="00FC01A1" w:rsidRPr="00FC01A1" w:rsidRDefault="00FC01A1" w:rsidP="005E4726">
      <w:pPr>
        <w:pStyle w:val="Tablenotes"/>
        <w:spacing w:after="0"/>
      </w:pPr>
      <w:r w:rsidRPr="00FC01A1">
        <w:lastRenderedPageBreak/>
        <w:t>aHUS = atypical haemolytic uraemic syndrome;</w:t>
      </w:r>
      <w:r>
        <w:t xml:space="preserve"> </w:t>
      </w:r>
      <w:r w:rsidRPr="00FC01A1">
        <w:t>APTT = activated partial thromboplastin time;</w:t>
      </w:r>
      <w:r>
        <w:t xml:space="preserve"> </w:t>
      </w:r>
      <w:r w:rsidRPr="00FC01A1">
        <w:t>CLIA = chemiluminescence immunoassay;</w:t>
      </w:r>
      <w:r>
        <w:t xml:space="preserve"> </w:t>
      </w:r>
      <w:r w:rsidRPr="00FC01A1">
        <w:t>cTTP = congenital TTP;</w:t>
      </w:r>
      <w:r>
        <w:t xml:space="preserve"> </w:t>
      </w:r>
      <w:r w:rsidRPr="00FC01A1">
        <w:t>ELISA = enzyme-linked immunosorbent assay;</w:t>
      </w:r>
      <w:r>
        <w:t xml:space="preserve"> </w:t>
      </w:r>
      <w:r w:rsidRPr="00FC01A1">
        <w:t>FRETS-VWF73 = ADAMTS13 fluorescence resonance energy transfer assay;</w:t>
      </w:r>
      <w:r>
        <w:t xml:space="preserve"> </w:t>
      </w:r>
      <w:r w:rsidRPr="00FC01A1">
        <w:t>INR = international normalized ratio;</w:t>
      </w:r>
      <w:r>
        <w:t xml:space="preserve"> </w:t>
      </w:r>
      <w:r w:rsidRPr="00FC01A1">
        <w:t>iTTP = immune-mediated TTP;</w:t>
      </w:r>
      <w:r>
        <w:t xml:space="preserve"> </w:t>
      </w:r>
      <w:r w:rsidRPr="00FC01A1">
        <w:t>PEX = Plasma exchange therapy;</w:t>
      </w:r>
      <w:r>
        <w:t xml:space="preserve"> </w:t>
      </w:r>
      <w:r w:rsidRPr="00FC01A1">
        <w:t xml:space="preserve">PICO = </w:t>
      </w:r>
      <w:r w:rsidR="00001A4B">
        <w:t>Population, Intervention, Comparator, Outcomes</w:t>
      </w:r>
      <w:r w:rsidRPr="00FC01A1">
        <w:t>;</w:t>
      </w:r>
      <w:r>
        <w:t xml:space="preserve"> </w:t>
      </w:r>
      <w:r w:rsidRPr="00FC01A1">
        <w:t>TMA = thrombotic microangiopathy;</w:t>
      </w:r>
      <w:r>
        <w:t xml:space="preserve"> </w:t>
      </w:r>
      <w:r w:rsidRPr="00FC01A1">
        <w:t>TTP = thrombotic thrombocytopenic purpura</w:t>
      </w:r>
      <w:r>
        <w:t>.</w:t>
      </w:r>
    </w:p>
    <w:p w14:paraId="4ED6FF79" w14:textId="14EBD6AC" w:rsidR="005334F7" w:rsidRDefault="0027306F" w:rsidP="00891C6E">
      <w:pPr>
        <w:pStyle w:val="Tablenotes"/>
        <w:spacing w:after="0"/>
      </w:pPr>
      <w:r w:rsidRPr="003F0E9A">
        <w:rPr>
          <w:vertAlign w:val="superscript"/>
        </w:rPr>
        <w:t>a</w:t>
      </w:r>
      <w:r w:rsidR="008221A4" w:rsidRPr="008221A4">
        <w:t xml:space="preserve"> </w:t>
      </w:r>
      <w:r w:rsidR="00891C6E">
        <w:t xml:space="preserve">PLASMIC score calculated using one point for any of the following: </w:t>
      </w:r>
      <w:r w:rsidR="003F516E">
        <w:t xml:space="preserve">(1) </w:t>
      </w:r>
      <w:r w:rsidR="00E95B47">
        <w:t xml:space="preserve">platelet </w:t>
      </w:r>
      <w:r w:rsidR="00891C6E">
        <w:t>count &lt;30 x 10</w:t>
      </w:r>
      <w:r w:rsidR="00891C6E" w:rsidRPr="003F0E9A">
        <w:rPr>
          <w:vertAlign w:val="superscript"/>
        </w:rPr>
        <w:t>9</w:t>
      </w:r>
      <w:r w:rsidR="00891C6E">
        <w:t xml:space="preserve">/L; </w:t>
      </w:r>
      <w:r w:rsidR="003F516E">
        <w:t xml:space="preserve">(2) </w:t>
      </w:r>
      <w:r w:rsidR="00E95B47">
        <w:t xml:space="preserve">haemolysis </w:t>
      </w:r>
      <w:r w:rsidR="00891C6E">
        <w:t xml:space="preserve">variables (reticulocyte count &gt;2.5%, undetectable haptoglobin, or indirect bilirubin &gt;2 mg/dL); </w:t>
      </w:r>
      <w:r w:rsidR="003F516E">
        <w:t xml:space="preserve">(3) </w:t>
      </w:r>
      <w:r w:rsidR="00E95B47">
        <w:t xml:space="preserve">no </w:t>
      </w:r>
      <w:r w:rsidR="00891C6E">
        <w:t xml:space="preserve">active cancer; </w:t>
      </w:r>
      <w:r w:rsidR="003F516E">
        <w:t xml:space="preserve">(4) </w:t>
      </w:r>
      <w:r w:rsidR="00E95B47">
        <w:t xml:space="preserve">no </w:t>
      </w:r>
      <w:r w:rsidR="00891C6E">
        <w:t>history of solid or h</w:t>
      </w:r>
      <w:r w:rsidR="00FB1786">
        <w:t>a</w:t>
      </w:r>
      <w:r w:rsidR="00891C6E">
        <w:t xml:space="preserve">ematopoietic progenitor cell transplant; </w:t>
      </w:r>
      <w:r w:rsidR="003F516E">
        <w:t xml:space="preserve">(5) </w:t>
      </w:r>
      <w:r w:rsidR="00E95B47">
        <w:t xml:space="preserve">mean </w:t>
      </w:r>
      <w:r w:rsidR="00891C6E">
        <w:t xml:space="preserve">corpuscular volume of &lt;90 fL; </w:t>
      </w:r>
      <w:r w:rsidR="003F516E">
        <w:t xml:space="preserve">(6) </w:t>
      </w:r>
      <w:r w:rsidR="00E95B47">
        <w:t xml:space="preserve">international </w:t>
      </w:r>
      <w:r w:rsidR="00891C6E">
        <w:t xml:space="preserve">normalized ratio &lt;1.5; </w:t>
      </w:r>
      <w:r w:rsidR="005930F8">
        <w:t xml:space="preserve">(7) </w:t>
      </w:r>
      <w:r w:rsidR="00E95B47">
        <w:t xml:space="preserve">creatinine </w:t>
      </w:r>
      <w:r w:rsidR="00891C6E">
        <w:t>level &lt;2 mg/dL</w:t>
      </w:r>
      <w:r w:rsidR="00A00C9D">
        <w:t>.</w:t>
      </w:r>
    </w:p>
    <w:p w14:paraId="577E2187" w14:textId="4A168443" w:rsidR="00392F4C" w:rsidRDefault="005334F7" w:rsidP="00392F4C">
      <w:pPr>
        <w:pStyle w:val="Tablenotes"/>
      </w:pPr>
      <w:r w:rsidRPr="003F0E9A">
        <w:rPr>
          <w:vertAlign w:val="superscript"/>
        </w:rPr>
        <w:t>b</w:t>
      </w:r>
      <w:r>
        <w:t xml:space="preserve"> </w:t>
      </w:r>
      <w:r w:rsidR="006C15FD">
        <w:t xml:space="preserve">Test </w:t>
      </w:r>
      <w:r w:rsidR="00A05EDC">
        <w:t>to</w:t>
      </w:r>
      <w:r w:rsidR="00B74C4A">
        <w:t xml:space="preserve"> </w:t>
      </w:r>
      <w:r w:rsidR="00A05EDC">
        <w:t>be</w:t>
      </w:r>
      <w:r w:rsidR="006C15FD">
        <w:t xml:space="preserve"> </w:t>
      </w:r>
      <w:r w:rsidR="00A05EDC">
        <w:t xml:space="preserve">performed </w:t>
      </w:r>
      <w:r w:rsidR="008221A4">
        <w:t>using blood sample taken prior to commencing PEX</w:t>
      </w:r>
      <w:r w:rsidR="00921C7E">
        <w:t>.</w:t>
      </w:r>
    </w:p>
    <w:p w14:paraId="3E46598E" w14:textId="1CD92A9D" w:rsidR="007A4542" w:rsidRDefault="007A4542" w:rsidP="00392F4C">
      <w:pPr>
        <w:pStyle w:val="Caption"/>
      </w:pPr>
      <w:r>
        <w:t>Table </w:t>
      </w:r>
      <w:r>
        <w:fldChar w:fldCharType="begin"/>
      </w:r>
      <w:r>
        <w:instrText xml:space="preserve"> SEQ Table \* ARABIC </w:instrText>
      </w:r>
      <w:r>
        <w:fldChar w:fldCharType="separate"/>
      </w:r>
      <w:r w:rsidR="00AE1C62" w:rsidRPr="7091EC2E">
        <w:rPr>
          <w:noProof/>
        </w:rPr>
        <w:t>2</w:t>
      </w:r>
      <w:r>
        <w:fldChar w:fldCharType="end"/>
      </w:r>
      <w:r>
        <w:tab/>
        <w:t xml:space="preserve">PICO Set 2: cascade testing of first-degree biological </w:t>
      </w:r>
      <w:r w:rsidR="00D4680A">
        <w:t xml:space="preserve">siblings </w:t>
      </w:r>
      <w:r>
        <w:t xml:space="preserve">of a patient with </w:t>
      </w:r>
      <w:r w:rsidR="001814B5" w:rsidRPr="00B733F7">
        <w:rPr>
          <w:i/>
          <w:iCs/>
        </w:rPr>
        <w:t>ADAMTS13</w:t>
      </w:r>
      <w:r w:rsidR="001814B5">
        <w:rPr>
          <w:i/>
          <w:iCs/>
        </w:rPr>
        <w:t xml:space="preserve"> </w:t>
      </w:r>
      <w:r>
        <w:t>patho</w:t>
      </w:r>
      <w:r w:rsidR="00E706A6">
        <w:t>genic</w:t>
      </w:r>
      <w:r>
        <w:t xml:space="preserve"> variant</w:t>
      </w:r>
      <w:r w:rsidR="004F6FD4">
        <w:t>s</w:t>
      </w:r>
      <w:r>
        <w:t xml:space="preserve"> </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7A4542" w:rsidRPr="00490FBB" w14:paraId="46420BF0" w14:textId="77777777" w:rsidTr="00B54881">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vAlign w:val="center"/>
            <w:hideMark/>
          </w:tcPr>
          <w:p w14:paraId="2BE6735B" w14:textId="77777777" w:rsidR="007A4542" w:rsidRPr="00490FBB" w:rsidRDefault="007A4542">
            <w:pPr>
              <w:spacing w:before="20" w:after="20" w:line="240" w:lineRule="auto"/>
              <w:rPr>
                <w:b/>
              </w:rPr>
            </w:pPr>
            <w:r w:rsidRPr="00490FBB">
              <w:rPr>
                <w:b/>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E42A92" w14:textId="77777777" w:rsidR="007A4542" w:rsidRPr="00490FBB" w:rsidRDefault="007A4542">
            <w:pPr>
              <w:spacing w:before="20" w:after="20" w:line="240" w:lineRule="auto"/>
              <w:rPr>
                <w:b/>
              </w:rPr>
            </w:pPr>
            <w:r w:rsidRPr="00490FBB">
              <w:rPr>
                <w:b/>
              </w:rPr>
              <w:t>Description</w:t>
            </w:r>
          </w:p>
        </w:tc>
      </w:tr>
      <w:tr w:rsidR="007A4542" w:rsidRPr="00392F4C" w14:paraId="5364ECE6" w14:textId="77777777" w:rsidTr="00B54881">
        <w:tc>
          <w:tcPr>
            <w:tcW w:w="1005" w:type="pct"/>
            <w:tcBorders>
              <w:top w:val="single" w:sz="8" w:space="0" w:color="auto"/>
              <w:left w:val="single" w:sz="8" w:space="0" w:color="auto"/>
              <w:bottom w:val="single" w:sz="4" w:space="0" w:color="auto"/>
              <w:right w:val="single" w:sz="4" w:space="0" w:color="auto"/>
            </w:tcBorders>
            <w:hideMark/>
          </w:tcPr>
          <w:p w14:paraId="6ED0DB6A" w14:textId="77777777" w:rsidR="007A4542" w:rsidRPr="00392F4C" w:rsidRDefault="007A4542" w:rsidP="00F74003">
            <w:pPr>
              <w:pStyle w:val="TableText0"/>
              <w:rPr>
                <w:rFonts w:asciiTheme="minorHAnsi" w:hAnsiTheme="minorHAnsi" w:cstheme="minorHAnsi"/>
                <w:sz w:val="22"/>
              </w:rPr>
            </w:pPr>
            <w:r w:rsidRPr="00392F4C">
              <w:rPr>
                <w:rFonts w:asciiTheme="minorHAnsi" w:hAnsiTheme="minorHAnsi" w:cstheme="minorHAnsi"/>
                <w:sz w:val="22"/>
              </w:rPr>
              <w:t>Population</w:t>
            </w:r>
          </w:p>
        </w:tc>
        <w:tc>
          <w:tcPr>
            <w:tcW w:w="3995" w:type="pct"/>
            <w:tcBorders>
              <w:top w:val="single" w:sz="4" w:space="0" w:color="auto"/>
              <w:left w:val="single" w:sz="4" w:space="0" w:color="auto"/>
              <w:bottom w:val="single" w:sz="4" w:space="0" w:color="auto"/>
              <w:right w:val="single" w:sz="4" w:space="0" w:color="auto"/>
            </w:tcBorders>
            <w:hideMark/>
          </w:tcPr>
          <w:p w14:paraId="5D7E5A8E" w14:textId="10AD1E10" w:rsidR="006C4804" w:rsidRPr="00392F4C" w:rsidRDefault="004E54ED" w:rsidP="00F74003">
            <w:pPr>
              <w:pStyle w:val="TableText0"/>
              <w:rPr>
                <w:rFonts w:asciiTheme="minorHAnsi" w:hAnsiTheme="minorHAnsi" w:cstheme="minorHAnsi"/>
                <w:sz w:val="22"/>
              </w:rPr>
            </w:pPr>
            <w:r w:rsidRPr="00392F4C">
              <w:rPr>
                <w:rFonts w:asciiTheme="minorHAnsi" w:hAnsiTheme="minorHAnsi" w:cstheme="minorHAnsi"/>
                <w:sz w:val="22"/>
              </w:rPr>
              <w:t>First-degree b</w:t>
            </w:r>
            <w:r w:rsidR="00CE5D41" w:rsidRPr="00392F4C">
              <w:rPr>
                <w:rFonts w:asciiTheme="minorHAnsi" w:hAnsiTheme="minorHAnsi" w:cstheme="minorHAnsi"/>
                <w:sz w:val="22"/>
              </w:rPr>
              <w:t>iological</w:t>
            </w:r>
            <w:r w:rsidR="004F6FD4" w:rsidRPr="00392F4C">
              <w:rPr>
                <w:rFonts w:asciiTheme="minorHAnsi" w:hAnsiTheme="minorHAnsi" w:cstheme="minorHAnsi"/>
                <w:sz w:val="22"/>
              </w:rPr>
              <w:t xml:space="preserve"> </w:t>
            </w:r>
            <w:r w:rsidR="00FC5697" w:rsidRPr="00392F4C">
              <w:rPr>
                <w:rFonts w:asciiTheme="minorHAnsi" w:hAnsiTheme="minorHAnsi" w:cstheme="minorHAnsi"/>
                <w:sz w:val="22"/>
              </w:rPr>
              <w:t>sibling</w:t>
            </w:r>
            <w:r w:rsidR="00CE5D41" w:rsidRPr="00392F4C">
              <w:rPr>
                <w:rFonts w:asciiTheme="minorHAnsi" w:hAnsiTheme="minorHAnsi" w:cstheme="minorHAnsi"/>
                <w:sz w:val="22"/>
              </w:rPr>
              <w:t xml:space="preserve"> of an individual with pathogenic </w:t>
            </w:r>
            <w:r w:rsidR="00CE5D41" w:rsidRPr="00392F4C">
              <w:rPr>
                <w:rFonts w:asciiTheme="minorHAnsi" w:hAnsiTheme="minorHAnsi" w:cstheme="minorHAnsi"/>
                <w:i/>
                <w:iCs/>
                <w:sz w:val="22"/>
              </w:rPr>
              <w:t>ADAMTS13</w:t>
            </w:r>
            <w:r w:rsidR="00CE5D41" w:rsidRPr="00392F4C">
              <w:rPr>
                <w:rFonts w:asciiTheme="minorHAnsi" w:hAnsiTheme="minorHAnsi" w:cstheme="minorHAnsi"/>
                <w:sz w:val="22"/>
              </w:rPr>
              <w:t xml:space="preserve"> gene variant</w:t>
            </w:r>
            <w:r w:rsidR="004F6FD4" w:rsidRPr="00392F4C">
              <w:rPr>
                <w:rFonts w:asciiTheme="minorHAnsi" w:hAnsiTheme="minorHAnsi" w:cstheme="minorHAnsi"/>
                <w:sz w:val="22"/>
              </w:rPr>
              <w:t>s</w:t>
            </w:r>
          </w:p>
        </w:tc>
      </w:tr>
      <w:tr w:rsidR="007A4542" w:rsidRPr="00392F4C" w14:paraId="7C8409AB" w14:textId="77777777" w:rsidTr="00B54881">
        <w:tc>
          <w:tcPr>
            <w:tcW w:w="1005" w:type="pct"/>
            <w:tcBorders>
              <w:top w:val="single" w:sz="8" w:space="0" w:color="auto"/>
              <w:left w:val="single" w:sz="8" w:space="0" w:color="auto"/>
              <w:bottom w:val="single" w:sz="4" w:space="0" w:color="auto"/>
              <w:right w:val="single" w:sz="4" w:space="0" w:color="auto"/>
            </w:tcBorders>
            <w:hideMark/>
          </w:tcPr>
          <w:p w14:paraId="61E1224C" w14:textId="7297BBC9" w:rsidR="007A4542" w:rsidRPr="00392F4C" w:rsidRDefault="007A4542" w:rsidP="00F74003">
            <w:pPr>
              <w:pStyle w:val="TableText0"/>
              <w:rPr>
                <w:rFonts w:asciiTheme="minorHAnsi" w:hAnsiTheme="minorHAnsi" w:cstheme="minorHAnsi"/>
                <w:sz w:val="22"/>
              </w:rPr>
            </w:pPr>
            <w:r w:rsidRPr="00392F4C">
              <w:rPr>
                <w:rFonts w:asciiTheme="minorHAnsi" w:hAnsiTheme="minorHAnsi" w:cstheme="minorHAnsi"/>
                <w:sz w:val="22"/>
              </w:rPr>
              <w:t xml:space="preserve">Prior tests </w:t>
            </w:r>
          </w:p>
        </w:tc>
        <w:tc>
          <w:tcPr>
            <w:tcW w:w="3995" w:type="pct"/>
            <w:tcBorders>
              <w:top w:val="single" w:sz="4" w:space="0" w:color="auto"/>
              <w:left w:val="single" w:sz="4" w:space="0" w:color="auto"/>
              <w:bottom w:val="single" w:sz="4" w:space="0" w:color="auto"/>
              <w:right w:val="single" w:sz="4" w:space="0" w:color="auto"/>
            </w:tcBorders>
            <w:hideMark/>
          </w:tcPr>
          <w:p w14:paraId="14EDA949" w14:textId="5F187B86" w:rsidR="007A4542" w:rsidRPr="00392F4C" w:rsidRDefault="002B3A1A" w:rsidP="00F74003">
            <w:pPr>
              <w:pStyle w:val="TableText0"/>
              <w:rPr>
                <w:rFonts w:asciiTheme="minorHAnsi" w:hAnsiTheme="minorHAnsi" w:cstheme="minorHAnsi"/>
                <w:sz w:val="22"/>
              </w:rPr>
            </w:pPr>
            <w:r w:rsidRPr="00392F4C">
              <w:rPr>
                <w:rFonts w:asciiTheme="minorHAnsi" w:hAnsiTheme="minorHAnsi" w:cstheme="minorHAnsi"/>
                <w:sz w:val="22"/>
              </w:rPr>
              <w:t>Not applicable</w:t>
            </w:r>
          </w:p>
        </w:tc>
      </w:tr>
      <w:tr w:rsidR="007A4542" w:rsidRPr="00392F4C" w14:paraId="67A75259" w14:textId="77777777" w:rsidTr="00B54881">
        <w:tc>
          <w:tcPr>
            <w:tcW w:w="1005" w:type="pct"/>
            <w:tcBorders>
              <w:top w:val="single" w:sz="4" w:space="0" w:color="auto"/>
              <w:left w:val="single" w:sz="8" w:space="0" w:color="auto"/>
              <w:bottom w:val="single" w:sz="4" w:space="0" w:color="auto"/>
              <w:right w:val="single" w:sz="4" w:space="0" w:color="auto"/>
            </w:tcBorders>
            <w:hideMark/>
          </w:tcPr>
          <w:p w14:paraId="7073CF24" w14:textId="77777777" w:rsidR="007A4542" w:rsidRPr="00392F4C" w:rsidRDefault="007A4542" w:rsidP="00F74003">
            <w:pPr>
              <w:pStyle w:val="TableText0"/>
              <w:rPr>
                <w:rFonts w:asciiTheme="minorHAnsi" w:hAnsiTheme="minorHAnsi" w:cstheme="minorHAnsi"/>
                <w:sz w:val="22"/>
              </w:rPr>
            </w:pPr>
            <w:r w:rsidRPr="00392F4C">
              <w:rPr>
                <w:rFonts w:asciiTheme="minorHAnsi" w:hAnsiTheme="minorHAnsi" w:cstheme="minorHAnsi"/>
                <w:sz w:val="22"/>
              </w:rPr>
              <w:t>Intervention</w:t>
            </w:r>
          </w:p>
        </w:tc>
        <w:tc>
          <w:tcPr>
            <w:tcW w:w="3995" w:type="pct"/>
            <w:tcBorders>
              <w:top w:val="single" w:sz="4" w:space="0" w:color="auto"/>
              <w:left w:val="single" w:sz="4" w:space="0" w:color="auto"/>
              <w:bottom w:val="single" w:sz="4" w:space="0" w:color="auto"/>
              <w:right w:val="single" w:sz="4" w:space="0" w:color="auto"/>
            </w:tcBorders>
          </w:tcPr>
          <w:p w14:paraId="25DE992E" w14:textId="2A50E73E" w:rsidR="00FC0343" w:rsidRPr="00392F4C" w:rsidRDefault="002B3A1A" w:rsidP="00F74003">
            <w:pPr>
              <w:pStyle w:val="TableText0"/>
              <w:rPr>
                <w:rFonts w:asciiTheme="minorHAnsi" w:hAnsiTheme="minorHAnsi" w:cstheme="minorHAnsi"/>
                <w:sz w:val="22"/>
              </w:rPr>
            </w:pPr>
            <w:r w:rsidRPr="00392F4C">
              <w:rPr>
                <w:rFonts w:asciiTheme="minorHAnsi" w:hAnsiTheme="minorHAnsi" w:cstheme="minorHAnsi"/>
                <w:sz w:val="22"/>
              </w:rPr>
              <w:t xml:space="preserve">Variant-specific testing to determine the presence of </w:t>
            </w:r>
            <w:r w:rsidR="009E5312" w:rsidRPr="00392F4C">
              <w:rPr>
                <w:rFonts w:asciiTheme="minorHAnsi" w:hAnsiTheme="minorHAnsi" w:cstheme="minorHAnsi"/>
                <w:sz w:val="22"/>
              </w:rPr>
              <w:t xml:space="preserve">a pathogenic variant that is causative for cTTP in biological </w:t>
            </w:r>
            <w:r w:rsidR="00F90221" w:rsidRPr="00392F4C">
              <w:rPr>
                <w:rFonts w:asciiTheme="minorHAnsi" w:hAnsiTheme="minorHAnsi" w:cstheme="minorHAnsi"/>
                <w:sz w:val="22"/>
              </w:rPr>
              <w:t>siblings</w:t>
            </w:r>
          </w:p>
        </w:tc>
      </w:tr>
      <w:tr w:rsidR="007A4542" w:rsidRPr="00392F4C" w14:paraId="5A2A021C" w14:textId="77777777" w:rsidTr="00B54881">
        <w:tc>
          <w:tcPr>
            <w:tcW w:w="1005" w:type="pct"/>
            <w:tcBorders>
              <w:top w:val="single" w:sz="4" w:space="0" w:color="auto"/>
              <w:left w:val="single" w:sz="8" w:space="0" w:color="auto"/>
              <w:bottom w:val="single" w:sz="4" w:space="0" w:color="auto"/>
              <w:right w:val="single" w:sz="4" w:space="0" w:color="auto"/>
            </w:tcBorders>
            <w:hideMark/>
          </w:tcPr>
          <w:p w14:paraId="190F1BF7" w14:textId="173D148C" w:rsidR="007A4542" w:rsidRPr="00392F4C" w:rsidRDefault="007A4542" w:rsidP="00F74003">
            <w:pPr>
              <w:pStyle w:val="TableText0"/>
              <w:rPr>
                <w:rFonts w:asciiTheme="minorHAnsi" w:hAnsiTheme="minorHAnsi" w:cstheme="minorHAnsi"/>
                <w:sz w:val="22"/>
              </w:rPr>
            </w:pPr>
            <w:r w:rsidRPr="00392F4C">
              <w:rPr>
                <w:rFonts w:asciiTheme="minorHAnsi" w:hAnsiTheme="minorHAnsi" w:cstheme="minorHAnsi"/>
                <w:sz w:val="22"/>
              </w:rPr>
              <w:t>Comparator</w:t>
            </w:r>
          </w:p>
        </w:tc>
        <w:tc>
          <w:tcPr>
            <w:tcW w:w="3995" w:type="pct"/>
            <w:tcBorders>
              <w:top w:val="single" w:sz="4" w:space="0" w:color="auto"/>
              <w:left w:val="single" w:sz="4" w:space="0" w:color="auto"/>
              <w:bottom w:val="single" w:sz="4" w:space="0" w:color="auto"/>
              <w:right w:val="single" w:sz="4" w:space="0" w:color="auto"/>
            </w:tcBorders>
          </w:tcPr>
          <w:p w14:paraId="73B0A154" w14:textId="7CC40EAF" w:rsidR="007A4542" w:rsidRPr="00392F4C" w:rsidRDefault="00FC0343" w:rsidP="00F74003">
            <w:pPr>
              <w:pStyle w:val="TableText0"/>
              <w:rPr>
                <w:rFonts w:asciiTheme="minorHAnsi" w:hAnsiTheme="minorHAnsi" w:cstheme="minorHAnsi"/>
                <w:sz w:val="22"/>
              </w:rPr>
            </w:pPr>
            <w:r w:rsidRPr="00392F4C">
              <w:rPr>
                <w:rFonts w:asciiTheme="minorHAnsi" w:hAnsiTheme="minorHAnsi" w:cstheme="minorHAnsi"/>
                <w:sz w:val="22"/>
              </w:rPr>
              <w:t xml:space="preserve">No </w:t>
            </w:r>
            <w:r w:rsidR="00B5511E" w:rsidRPr="00392F4C">
              <w:rPr>
                <w:rFonts w:asciiTheme="minorHAnsi" w:hAnsiTheme="minorHAnsi" w:cstheme="minorHAnsi"/>
                <w:sz w:val="22"/>
              </w:rPr>
              <w:t xml:space="preserve">variant-specific testing </w:t>
            </w:r>
            <w:r w:rsidR="0057575C" w:rsidRPr="00392F4C">
              <w:rPr>
                <w:rFonts w:asciiTheme="minorHAnsi" w:hAnsiTheme="minorHAnsi" w:cstheme="minorHAnsi"/>
                <w:sz w:val="22"/>
              </w:rPr>
              <w:t xml:space="preserve">in first-degree biological </w:t>
            </w:r>
            <w:r w:rsidR="00F90221" w:rsidRPr="00392F4C">
              <w:rPr>
                <w:rFonts w:asciiTheme="minorHAnsi" w:hAnsiTheme="minorHAnsi" w:cstheme="minorHAnsi"/>
                <w:sz w:val="22"/>
              </w:rPr>
              <w:t>siblings</w:t>
            </w:r>
          </w:p>
        </w:tc>
      </w:tr>
      <w:tr w:rsidR="007A4542" w:rsidRPr="00392F4C" w14:paraId="5201BE8B" w14:textId="77777777" w:rsidTr="00B54881">
        <w:tc>
          <w:tcPr>
            <w:tcW w:w="1005" w:type="pct"/>
            <w:tcBorders>
              <w:top w:val="single" w:sz="4" w:space="0" w:color="auto"/>
              <w:left w:val="single" w:sz="8" w:space="0" w:color="auto"/>
              <w:bottom w:val="single" w:sz="4" w:space="0" w:color="auto"/>
              <w:right w:val="single" w:sz="4" w:space="0" w:color="auto"/>
            </w:tcBorders>
          </w:tcPr>
          <w:p w14:paraId="189FC9E9" w14:textId="5747D210" w:rsidR="007A4542" w:rsidRPr="00392F4C" w:rsidRDefault="007A4542" w:rsidP="00F74003">
            <w:pPr>
              <w:pStyle w:val="TableText0"/>
              <w:rPr>
                <w:rFonts w:asciiTheme="minorHAnsi" w:hAnsiTheme="minorHAnsi" w:cstheme="minorHAnsi"/>
                <w:sz w:val="22"/>
              </w:rPr>
            </w:pPr>
            <w:r w:rsidRPr="00392F4C">
              <w:rPr>
                <w:rFonts w:asciiTheme="minorHAnsi" w:hAnsiTheme="minorHAnsi" w:cstheme="minorHAnsi"/>
                <w:sz w:val="22"/>
              </w:rPr>
              <w:t xml:space="preserve">Reference standard </w:t>
            </w:r>
          </w:p>
        </w:tc>
        <w:tc>
          <w:tcPr>
            <w:tcW w:w="3995" w:type="pct"/>
            <w:tcBorders>
              <w:top w:val="single" w:sz="4" w:space="0" w:color="auto"/>
              <w:left w:val="single" w:sz="4" w:space="0" w:color="auto"/>
              <w:bottom w:val="single" w:sz="4" w:space="0" w:color="auto"/>
              <w:right w:val="single" w:sz="4" w:space="0" w:color="auto"/>
            </w:tcBorders>
          </w:tcPr>
          <w:p w14:paraId="4511AC09" w14:textId="50811FEB" w:rsidR="007A4542" w:rsidRPr="00392F4C" w:rsidRDefault="00FC0343" w:rsidP="00F74003">
            <w:pPr>
              <w:pStyle w:val="TableText0"/>
              <w:rPr>
                <w:rFonts w:asciiTheme="minorHAnsi" w:hAnsiTheme="minorHAnsi" w:cstheme="minorHAnsi"/>
                <w:sz w:val="22"/>
              </w:rPr>
            </w:pPr>
            <w:r w:rsidRPr="00392F4C">
              <w:rPr>
                <w:rFonts w:asciiTheme="minorHAnsi" w:hAnsiTheme="minorHAnsi" w:cstheme="minorHAnsi"/>
                <w:sz w:val="22"/>
              </w:rPr>
              <w:t>N/A</w:t>
            </w:r>
          </w:p>
        </w:tc>
      </w:tr>
      <w:tr w:rsidR="007A4542" w:rsidRPr="00392F4C" w14:paraId="6C118017" w14:textId="77777777" w:rsidTr="00B54881">
        <w:tc>
          <w:tcPr>
            <w:tcW w:w="1005" w:type="pct"/>
            <w:tcBorders>
              <w:top w:val="single" w:sz="4" w:space="0" w:color="auto"/>
              <w:left w:val="single" w:sz="8" w:space="0" w:color="auto"/>
              <w:bottom w:val="single" w:sz="4" w:space="0" w:color="auto"/>
              <w:right w:val="single" w:sz="4" w:space="0" w:color="auto"/>
            </w:tcBorders>
            <w:hideMark/>
          </w:tcPr>
          <w:p w14:paraId="2815D692" w14:textId="77777777" w:rsidR="007A4542" w:rsidRPr="00392F4C" w:rsidRDefault="007A4542" w:rsidP="006D53F4">
            <w:pPr>
              <w:pStyle w:val="TableText0"/>
              <w:rPr>
                <w:rFonts w:asciiTheme="minorHAnsi" w:hAnsiTheme="minorHAnsi" w:cstheme="minorHAnsi"/>
                <w:sz w:val="22"/>
              </w:rPr>
            </w:pPr>
            <w:r w:rsidRPr="00392F4C">
              <w:rPr>
                <w:rFonts w:asciiTheme="minorHAnsi" w:hAnsiTheme="minorHAnsi" w:cstheme="minorHAnsi"/>
                <w:sz w:val="22"/>
              </w:rPr>
              <w:t>Outcomes</w:t>
            </w:r>
          </w:p>
        </w:tc>
        <w:tc>
          <w:tcPr>
            <w:tcW w:w="3995" w:type="pct"/>
            <w:tcBorders>
              <w:top w:val="single" w:sz="4" w:space="0" w:color="auto"/>
              <w:left w:val="single" w:sz="4" w:space="0" w:color="auto"/>
              <w:bottom w:val="single" w:sz="4" w:space="0" w:color="auto"/>
              <w:right w:val="single" w:sz="4" w:space="0" w:color="auto"/>
            </w:tcBorders>
            <w:hideMark/>
          </w:tcPr>
          <w:p w14:paraId="4F6F3C7E" w14:textId="60CB287C" w:rsidR="000621F7" w:rsidRPr="00392F4C" w:rsidRDefault="000621F7" w:rsidP="000621F7">
            <w:pPr>
              <w:pStyle w:val="TableText0"/>
              <w:rPr>
                <w:rFonts w:asciiTheme="minorHAnsi" w:hAnsiTheme="minorHAnsi" w:cstheme="minorHAnsi"/>
                <w:b/>
                <w:sz w:val="22"/>
              </w:rPr>
            </w:pPr>
            <w:r w:rsidRPr="00392F4C">
              <w:rPr>
                <w:rFonts w:asciiTheme="minorHAnsi" w:hAnsiTheme="minorHAnsi" w:cstheme="minorHAnsi"/>
                <w:b/>
                <w:sz w:val="22"/>
              </w:rPr>
              <w:t>Safety</w:t>
            </w:r>
            <w:r w:rsidR="0013566C" w:rsidRPr="00392F4C">
              <w:rPr>
                <w:rFonts w:asciiTheme="minorHAnsi" w:hAnsiTheme="minorHAnsi" w:cstheme="minorHAnsi"/>
                <w:b/>
                <w:bCs/>
                <w:sz w:val="22"/>
              </w:rPr>
              <w:t xml:space="preserve"> outcomes</w:t>
            </w:r>
          </w:p>
          <w:p w14:paraId="79708776" w14:textId="0CFF8077" w:rsidR="000621F7" w:rsidRPr="00392F4C" w:rsidRDefault="00FF199B" w:rsidP="00F575CB">
            <w:pPr>
              <w:pStyle w:val="TableText0"/>
              <w:numPr>
                <w:ilvl w:val="0"/>
                <w:numId w:val="5"/>
              </w:numPr>
              <w:rPr>
                <w:rFonts w:asciiTheme="minorHAnsi" w:hAnsiTheme="minorHAnsi" w:cstheme="minorHAnsi"/>
                <w:sz w:val="22"/>
              </w:rPr>
            </w:pPr>
            <w:r w:rsidRPr="00392F4C">
              <w:rPr>
                <w:rFonts w:asciiTheme="minorHAnsi" w:hAnsiTheme="minorHAnsi" w:cstheme="minorHAnsi"/>
                <w:sz w:val="22"/>
              </w:rPr>
              <w:t>harms</w:t>
            </w:r>
            <w:r w:rsidR="000621F7" w:rsidRPr="00392F4C">
              <w:rPr>
                <w:rFonts w:asciiTheme="minorHAnsi" w:hAnsiTheme="minorHAnsi" w:cstheme="minorHAnsi"/>
                <w:sz w:val="22"/>
              </w:rPr>
              <w:t xml:space="preserve"> from obtaining a sample for testing</w:t>
            </w:r>
          </w:p>
          <w:p w14:paraId="6D09A3F7" w14:textId="5DE71173" w:rsidR="000621F7" w:rsidRPr="00392F4C" w:rsidRDefault="00313BBF" w:rsidP="00F575CB">
            <w:pPr>
              <w:pStyle w:val="TableText0"/>
              <w:numPr>
                <w:ilvl w:val="0"/>
                <w:numId w:val="5"/>
              </w:numPr>
              <w:rPr>
                <w:rFonts w:asciiTheme="minorHAnsi" w:hAnsiTheme="minorHAnsi" w:cstheme="minorHAnsi"/>
                <w:sz w:val="22"/>
              </w:rPr>
            </w:pPr>
            <w:r w:rsidRPr="00392F4C">
              <w:rPr>
                <w:rFonts w:asciiTheme="minorHAnsi" w:hAnsiTheme="minorHAnsi" w:cstheme="minorHAnsi"/>
                <w:sz w:val="22"/>
              </w:rPr>
              <w:t xml:space="preserve">psychological </w:t>
            </w:r>
            <w:r w:rsidR="00C466AE" w:rsidRPr="00392F4C">
              <w:rPr>
                <w:rFonts w:asciiTheme="minorHAnsi" w:hAnsiTheme="minorHAnsi" w:cstheme="minorHAnsi"/>
                <w:sz w:val="22"/>
              </w:rPr>
              <w:t>harms</w:t>
            </w:r>
            <w:r w:rsidR="000621F7" w:rsidRPr="00392F4C">
              <w:rPr>
                <w:rFonts w:asciiTheme="minorHAnsi" w:hAnsiTheme="minorHAnsi" w:cstheme="minorHAnsi"/>
                <w:sz w:val="22"/>
              </w:rPr>
              <w:t xml:space="preserve"> from genetic testing</w:t>
            </w:r>
            <w:r w:rsidR="00134EE4" w:rsidRPr="00392F4C">
              <w:rPr>
                <w:rFonts w:asciiTheme="minorHAnsi" w:hAnsiTheme="minorHAnsi" w:cstheme="minorHAnsi"/>
                <w:sz w:val="22"/>
              </w:rPr>
              <w:t xml:space="preserve"> (positive result, negative result) or no genetic testing</w:t>
            </w:r>
          </w:p>
          <w:p w14:paraId="05C728D4" w14:textId="77777777" w:rsidR="007A4542" w:rsidRPr="00392F4C" w:rsidRDefault="00541284" w:rsidP="008F0A64">
            <w:pPr>
              <w:pStyle w:val="TableText0"/>
              <w:rPr>
                <w:rFonts w:asciiTheme="minorHAnsi" w:hAnsiTheme="minorHAnsi" w:cstheme="minorHAnsi"/>
                <w:b/>
                <w:sz w:val="22"/>
              </w:rPr>
            </w:pPr>
            <w:r w:rsidRPr="00392F4C">
              <w:rPr>
                <w:rFonts w:asciiTheme="minorHAnsi" w:hAnsiTheme="minorHAnsi" w:cstheme="minorHAnsi"/>
                <w:b/>
                <w:sz w:val="22"/>
              </w:rPr>
              <w:t>Test information</w:t>
            </w:r>
          </w:p>
          <w:p w14:paraId="043709EF" w14:textId="77777777" w:rsidR="00BC55EF" w:rsidRPr="00392F4C" w:rsidRDefault="00BC55EF" w:rsidP="00541284">
            <w:pPr>
              <w:pStyle w:val="TableTextbullet"/>
              <w:rPr>
                <w:rFonts w:asciiTheme="minorHAnsi" w:hAnsiTheme="minorHAnsi" w:cstheme="minorHAnsi"/>
                <w:sz w:val="22"/>
              </w:rPr>
            </w:pPr>
            <w:r w:rsidRPr="00392F4C">
              <w:rPr>
                <w:rFonts w:asciiTheme="minorHAnsi" w:hAnsiTheme="minorHAnsi" w:cstheme="minorHAnsi"/>
                <w:sz w:val="22"/>
              </w:rPr>
              <w:t>test uptake rate</w:t>
            </w:r>
          </w:p>
          <w:p w14:paraId="6EF3BF03" w14:textId="36D48D63" w:rsidR="00541284" w:rsidRPr="00392F4C" w:rsidRDefault="00313BBF" w:rsidP="00541284">
            <w:pPr>
              <w:pStyle w:val="TableTextbullet"/>
              <w:rPr>
                <w:rFonts w:asciiTheme="minorHAnsi" w:hAnsiTheme="minorHAnsi" w:cstheme="minorHAnsi"/>
                <w:sz w:val="22"/>
              </w:rPr>
            </w:pPr>
            <w:r w:rsidRPr="00392F4C">
              <w:rPr>
                <w:rFonts w:asciiTheme="minorHAnsi" w:hAnsiTheme="minorHAnsi" w:cstheme="minorHAnsi"/>
                <w:sz w:val="22"/>
              </w:rPr>
              <w:t xml:space="preserve">diagnostic </w:t>
            </w:r>
            <w:r w:rsidR="00A52324" w:rsidRPr="00392F4C">
              <w:rPr>
                <w:rFonts w:asciiTheme="minorHAnsi" w:hAnsiTheme="minorHAnsi" w:cstheme="minorHAnsi"/>
                <w:sz w:val="22"/>
              </w:rPr>
              <w:t>yield</w:t>
            </w:r>
          </w:p>
          <w:p w14:paraId="18DF08FB" w14:textId="795BD843" w:rsidR="00A52324" w:rsidRPr="00392F4C" w:rsidRDefault="00313BBF" w:rsidP="00541284">
            <w:pPr>
              <w:pStyle w:val="TableTextbullet"/>
              <w:rPr>
                <w:rFonts w:asciiTheme="minorHAnsi" w:hAnsiTheme="minorHAnsi" w:cstheme="minorHAnsi"/>
                <w:sz w:val="22"/>
              </w:rPr>
            </w:pPr>
            <w:r w:rsidRPr="00392F4C">
              <w:rPr>
                <w:rFonts w:asciiTheme="minorHAnsi" w:hAnsiTheme="minorHAnsi" w:cstheme="minorHAnsi"/>
                <w:sz w:val="22"/>
              </w:rPr>
              <w:lastRenderedPageBreak/>
              <w:t xml:space="preserve">prognostic </w:t>
            </w:r>
            <w:r w:rsidR="00A52324" w:rsidRPr="00392F4C">
              <w:rPr>
                <w:rFonts w:asciiTheme="minorHAnsi" w:hAnsiTheme="minorHAnsi" w:cstheme="minorHAnsi"/>
                <w:sz w:val="22"/>
              </w:rPr>
              <w:t>and predictive value</w:t>
            </w:r>
          </w:p>
          <w:p w14:paraId="101EEF21" w14:textId="7CE77453" w:rsidR="00A52324" w:rsidRPr="00392F4C" w:rsidRDefault="00313BBF" w:rsidP="00541284">
            <w:pPr>
              <w:pStyle w:val="TableTextbullet"/>
              <w:rPr>
                <w:rFonts w:asciiTheme="minorHAnsi" w:hAnsiTheme="minorHAnsi" w:cstheme="minorHAnsi"/>
                <w:sz w:val="22"/>
              </w:rPr>
            </w:pPr>
            <w:r w:rsidRPr="00392F4C">
              <w:rPr>
                <w:rFonts w:asciiTheme="minorHAnsi" w:hAnsiTheme="minorHAnsi" w:cstheme="minorHAnsi"/>
                <w:sz w:val="22"/>
              </w:rPr>
              <w:t xml:space="preserve">rate </w:t>
            </w:r>
            <w:r w:rsidR="00A52324" w:rsidRPr="00392F4C">
              <w:rPr>
                <w:rFonts w:asciiTheme="minorHAnsi" w:hAnsiTheme="minorHAnsi" w:cstheme="minorHAnsi"/>
                <w:sz w:val="22"/>
              </w:rPr>
              <w:t>of repeat testing</w:t>
            </w:r>
          </w:p>
          <w:p w14:paraId="4FD2F350" w14:textId="02364895" w:rsidR="00A52324" w:rsidRPr="00392F4C" w:rsidRDefault="00313BBF" w:rsidP="00541284">
            <w:pPr>
              <w:pStyle w:val="TableTextbullet"/>
              <w:rPr>
                <w:rFonts w:asciiTheme="minorHAnsi" w:hAnsiTheme="minorHAnsi" w:cstheme="minorHAnsi"/>
                <w:sz w:val="22"/>
              </w:rPr>
            </w:pPr>
            <w:r w:rsidRPr="00392F4C">
              <w:rPr>
                <w:rFonts w:asciiTheme="minorHAnsi" w:hAnsiTheme="minorHAnsi" w:cstheme="minorHAnsi"/>
                <w:sz w:val="22"/>
              </w:rPr>
              <w:t xml:space="preserve">rate </w:t>
            </w:r>
            <w:r w:rsidR="00A52324" w:rsidRPr="00392F4C">
              <w:rPr>
                <w:rFonts w:asciiTheme="minorHAnsi" w:hAnsiTheme="minorHAnsi" w:cstheme="minorHAnsi"/>
                <w:sz w:val="22"/>
              </w:rPr>
              <w:t>of repeat data analysis</w:t>
            </w:r>
          </w:p>
          <w:p w14:paraId="45ABCAE8" w14:textId="77777777" w:rsidR="00A52324" w:rsidRPr="00392F4C" w:rsidRDefault="009373DA" w:rsidP="009373DA">
            <w:pPr>
              <w:pStyle w:val="TableText0"/>
              <w:rPr>
                <w:rFonts w:asciiTheme="minorHAnsi" w:hAnsiTheme="minorHAnsi" w:cstheme="minorHAnsi"/>
                <w:b/>
                <w:sz w:val="22"/>
              </w:rPr>
            </w:pPr>
            <w:r w:rsidRPr="00392F4C">
              <w:rPr>
                <w:rFonts w:asciiTheme="minorHAnsi" w:hAnsiTheme="minorHAnsi" w:cstheme="minorHAnsi"/>
                <w:b/>
                <w:sz w:val="22"/>
              </w:rPr>
              <w:t>Health outcomes</w:t>
            </w:r>
          </w:p>
          <w:p w14:paraId="7ACC9289" w14:textId="4A6DF02C" w:rsidR="009373DA" w:rsidRPr="00392F4C" w:rsidRDefault="00313BBF" w:rsidP="009373DA">
            <w:pPr>
              <w:pStyle w:val="TableTextbullet"/>
              <w:rPr>
                <w:rFonts w:asciiTheme="minorHAnsi" w:hAnsiTheme="minorHAnsi" w:cstheme="minorHAnsi"/>
                <w:sz w:val="22"/>
              </w:rPr>
            </w:pPr>
            <w:r w:rsidRPr="00392F4C">
              <w:rPr>
                <w:rFonts w:asciiTheme="minorHAnsi" w:hAnsiTheme="minorHAnsi" w:cstheme="minorHAnsi"/>
                <w:sz w:val="22"/>
              </w:rPr>
              <w:t xml:space="preserve">impact </w:t>
            </w:r>
            <w:r w:rsidR="002E40EF" w:rsidRPr="00392F4C">
              <w:rPr>
                <w:rFonts w:asciiTheme="minorHAnsi" w:hAnsiTheme="minorHAnsi" w:cstheme="minorHAnsi"/>
                <w:sz w:val="22"/>
              </w:rPr>
              <w:t>on clinical management</w:t>
            </w:r>
          </w:p>
          <w:p w14:paraId="0D143569" w14:textId="526D1CE8" w:rsidR="0083208C" w:rsidRPr="00392F4C" w:rsidRDefault="00313BBF" w:rsidP="0083208C">
            <w:pPr>
              <w:pStyle w:val="TableTextbullet2ndlevel"/>
              <w:rPr>
                <w:rFonts w:asciiTheme="minorHAnsi" w:hAnsiTheme="minorHAnsi" w:cstheme="minorHAnsi"/>
                <w:sz w:val="22"/>
              </w:rPr>
            </w:pPr>
            <w:r w:rsidRPr="00392F4C">
              <w:rPr>
                <w:rFonts w:asciiTheme="minorHAnsi" w:hAnsiTheme="minorHAnsi" w:cstheme="minorHAnsi"/>
                <w:sz w:val="22"/>
              </w:rPr>
              <w:t xml:space="preserve">earlier </w:t>
            </w:r>
            <w:r w:rsidR="00503851" w:rsidRPr="00392F4C">
              <w:rPr>
                <w:rFonts w:asciiTheme="minorHAnsi" w:hAnsiTheme="minorHAnsi" w:cstheme="minorHAnsi"/>
                <w:sz w:val="22"/>
              </w:rPr>
              <w:t>treatment</w:t>
            </w:r>
          </w:p>
          <w:p w14:paraId="65DCE3DB" w14:textId="375FD794" w:rsidR="00503851" w:rsidRPr="00392F4C" w:rsidRDefault="00313BBF" w:rsidP="0083208C">
            <w:pPr>
              <w:pStyle w:val="TableTextbullet2ndlevel"/>
              <w:rPr>
                <w:rFonts w:asciiTheme="minorHAnsi" w:hAnsiTheme="minorHAnsi" w:cstheme="minorHAnsi"/>
                <w:sz w:val="22"/>
              </w:rPr>
            </w:pPr>
            <w:r w:rsidRPr="00392F4C">
              <w:rPr>
                <w:rFonts w:asciiTheme="minorHAnsi" w:hAnsiTheme="minorHAnsi" w:cstheme="minorHAnsi"/>
                <w:sz w:val="22"/>
              </w:rPr>
              <w:t xml:space="preserve">monitoring </w:t>
            </w:r>
            <w:r w:rsidR="00A73AEA" w:rsidRPr="00392F4C">
              <w:rPr>
                <w:rFonts w:asciiTheme="minorHAnsi" w:hAnsiTheme="minorHAnsi" w:cstheme="minorHAnsi"/>
                <w:sz w:val="22"/>
              </w:rPr>
              <w:t xml:space="preserve">and </w:t>
            </w:r>
            <w:r w:rsidR="0092495B" w:rsidRPr="00392F4C">
              <w:rPr>
                <w:rFonts w:asciiTheme="minorHAnsi" w:hAnsiTheme="minorHAnsi" w:cstheme="minorHAnsi"/>
                <w:sz w:val="22"/>
              </w:rPr>
              <w:t>prophylactic treatment</w:t>
            </w:r>
          </w:p>
          <w:p w14:paraId="6517CA1F" w14:textId="7404218C" w:rsidR="00687B65" w:rsidRPr="00392F4C" w:rsidRDefault="00313BBF" w:rsidP="00687B65">
            <w:pPr>
              <w:pStyle w:val="TableTextbullet"/>
              <w:rPr>
                <w:rFonts w:asciiTheme="minorHAnsi" w:hAnsiTheme="minorHAnsi" w:cstheme="minorHAnsi"/>
                <w:sz w:val="22"/>
              </w:rPr>
            </w:pPr>
            <w:r w:rsidRPr="00392F4C">
              <w:rPr>
                <w:rFonts w:asciiTheme="minorHAnsi" w:hAnsiTheme="minorHAnsi" w:cstheme="minorHAnsi"/>
                <w:sz w:val="22"/>
              </w:rPr>
              <w:t>health</w:t>
            </w:r>
            <w:r w:rsidR="00687B65" w:rsidRPr="00392F4C">
              <w:rPr>
                <w:rFonts w:asciiTheme="minorHAnsi" w:hAnsiTheme="minorHAnsi" w:cstheme="minorHAnsi"/>
                <w:sz w:val="22"/>
              </w:rPr>
              <w:t>-related quality of life</w:t>
            </w:r>
          </w:p>
          <w:p w14:paraId="720BA641" w14:textId="1B25614B" w:rsidR="00B95431" w:rsidRPr="00392F4C" w:rsidRDefault="00B95431" w:rsidP="00B95431">
            <w:pPr>
              <w:pStyle w:val="TableTextbullet"/>
              <w:numPr>
                <w:ilvl w:val="0"/>
                <w:numId w:val="0"/>
              </w:numPr>
              <w:rPr>
                <w:rFonts w:asciiTheme="minorHAnsi" w:hAnsiTheme="minorHAnsi" w:cstheme="minorHAnsi"/>
                <w:b/>
                <w:bCs/>
                <w:sz w:val="22"/>
              </w:rPr>
            </w:pPr>
            <w:r w:rsidRPr="00392F4C">
              <w:rPr>
                <w:rFonts w:asciiTheme="minorHAnsi" w:hAnsiTheme="minorHAnsi" w:cstheme="minorHAnsi"/>
                <w:b/>
                <w:bCs/>
                <w:sz w:val="22"/>
              </w:rPr>
              <w:t xml:space="preserve">Other </w:t>
            </w:r>
            <w:r w:rsidR="00E2754F" w:rsidRPr="00392F4C">
              <w:rPr>
                <w:rFonts w:asciiTheme="minorHAnsi" w:hAnsiTheme="minorHAnsi" w:cstheme="minorHAnsi"/>
                <w:b/>
                <w:bCs/>
                <w:sz w:val="22"/>
              </w:rPr>
              <w:t>utility</w:t>
            </w:r>
            <w:r w:rsidRPr="00392F4C">
              <w:rPr>
                <w:rFonts w:asciiTheme="minorHAnsi" w:hAnsiTheme="minorHAnsi" w:cstheme="minorHAnsi"/>
                <w:b/>
                <w:bCs/>
                <w:sz w:val="22"/>
              </w:rPr>
              <w:t xml:space="preserve"> outcomes</w:t>
            </w:r>
          </w:p>
          <w:p w14:paraId="6CEB9CA8" w14:textId="611B1C83" w:rsidR="005A0D08" w:rsidRPr="00392F4C" w:rsidRDefault="00313BBF" w:rsidP="00687B65">
            <w:pPr>
              <w:pStyle w:val="TableTextbullet"/>
              <w:rPr>
                <w:rFonts w:asciiTheme="minorHAnsi" w:hAnsiTheme="minorHAnsi" w:cstheme="minorHAnsi"/>
                <w:sz w:val="22"/>
              </w:rPr>
            </w:pPr>
            <w:r w:rsidRPr="00392F4C">
              <w:rPr>
                <w:rFonts w:asciiTheme="minorHAnsi" w:hAnsiTheme="minorHAnsi" w:cstheme="minorHAnsi"/>
                <w:sz w:val="22"/>
              </w:rPr>
              <w:t xml:space="preserve">value </w:t>
            </w:r>
            <w:r w:rsidR="005A0D08" w:rsidRPr="00392F4C">
              <w:rPr>
                <w:rFonts w:asciiTheme="minorHAnsi" w:hAnsiTheme="minorHAnsi" w:cstheme="minorHAnsi"/>
                <w:sz w:val="22"/>
              </w:rPr>
              <w:t>of knowing</w:t>
            </w:r>
          </w:p>
          <w:p w14:paraId="60D0C2A6" w14:textId="77777777" w:rsidR="00567C34" w:rsidRPr="00392F4C" w:rsidRDefault="001B47CE" w:rsidP="00567C34">
            <w:pPr>
              <w:pStyle w:val="TableText0"/>
              <w:rPr>
                <w:rFonts w:asciiTheme="minorHAnsi" w:hAnsiTheme="minorHAnsi" w:cstheme="minorHAnsi"/>
                <w:b/>
                <w:sz w:val="22"/>
              </w:rPr>
            </w:pPr>
            <w:r w:rsidRPr="00392F4C">
              <w:rPr>
                <w:rFonts w:asciiTheme="minorHAnsi" w:hAnsiTheme="minorHAnsi" w:cstheme="minorHAnsi"/>
                <w:b/>
                <w:sz w:val="22"/>
              </w:rPr>
              <w:t>Healthcare resources</w:t>
            </w:r>
          </w:p>
          <w:p w14:paraId="002E7047" w14:textId="44F75ACC" w:rsidR="001360B3" w:rsidRPr="00392F4C" w:rsidRDefault="001360B3" w:rsidP="001360B3">
            <w:pPr>
              <w:pStyle w:val="TableText0"/>
              <w:numPr>
                <w:ilvl w:val="0"/>
                <w:numId w:val="6"/>
              </w:numPr>
              <w:rPr>
                <w:rFonts w:asciiTheme="minorHAnsi" w:hAnsiTheme="minorHAnsi" w:cstheme="minorHAnsi"/>
                <w:sz w:val="22"/>
              </w:rPr>
            </w:pPr>
            <w:r w:rsidRPr="00392F4C">
              <w:rPr>
                <w:rFonts w:asciiTheme="minorHAnsi" w:hAnsiTheme="minorHAnsi" w:cstheme="minorHAnsi"/>
                <w:sz w:val="22"/>
              </w:rPr>
              <w:t>cost of variant-specific test</w:t>
            </w:r>
          </w:p>
          <w:p w14:paraId="697A9375" w14:textId="6231A341" w:rsidR="004931D1" w:rsidRPr="00392F4C" w:rsidRDefault="001360B3" w:rsidP="004931D1">
            <w:pPr>
              <w:pStyle w:val="TableText0"/>
              <w:numPr>
                <w:ilvl w:val="0"/>
                <w:numId w:val="6"/>
              </w:numPr>
              <w:rPr>
                <w:rFonts w:asciiTheme="minorHAnsi" w:hAnsiTheme="minorHAnsi" w:cstheme="minorHAnsi"/>
                <w:sz w:val="22"/>
              </w:rPr>
            </w:pPr>
            <w:r w:rsidRPr="00392F4C">
              <w:rPr>
                <w:rFonts w:asciiTheme="minorHAnsi" w:hAnsiTheme="minorHAnsi" w:cstheme="minorHAnsi"/>
                <w:sz w:val="22"/>
              </w:rPr>
              <w:t xml:space="preserve">number </w:t>
            </w:r>
            <w:r w:rsidR="004931D1" w:rsidRPr="00392F4C">
              <w:rPr>
                <w:rFonts w:asciiTheme="minorHAnsi" w:hAnsiTheme="minorHAnsi" w:cstheme="minorHAnsi"/>
                <w:sz w:val="22"/>
              </w:rPr>
              <w:t>of, and cost associated with</w:t>
            </w:r>
            <w:r w:rsidRPr="00392F4C">
              <w:rPr>
                <w:rFonts w:asciiTheme="minorHAnsi" w:hAnsiTheme="minorHAnsi" w:cstheme="minorHAnsi"/>
                <w:sz w:val="22"/>
              </w:rPr>
              <w:t>,</w:t>
            </w:r>
            <w:r w:rsidR="004931D1" w:rsidRPr="00392F4C">
              <w:rPr>
                <w:rFonts w:asciiTheme="minorHAnsi" w:hAnsiTheme="minorHAnsi" w:cstheme="minorHAnsi"/>
                <w:sz w:val="22"/>
              </w:rPr>
              <w:t xml:space="preserve"> obtaining an appropriate sample</w:t>
            </w:r>
          </w:p>
          <w:p w14:paraId="1E77F1A8" w14:textId="5AB9CC66" w:rsidR="004931D1" w:rsidRPr="00392F4C" w:rsidRDefault="001360B3" w:rsidP="004931D1">
            <w:pPr>
              <w:pStyle w:val="TableTextbullet"/>
              <w:rPr>
                <w:rFonts w:asciiTheme="minorHAnsi" w:hAnsiTheme="minorHAnsi" w:cstheme="minorHAnsi"/>
                <w:sz w:val="22"/>
              </w:rPr>
            </w:pPr>
            <w:r w:rsidRPr="00392F4C">
              <w:rPr>
                <w:rFonts w:asciiTheme="minorHAnsi" w:hAnsiTheme="minorHAnsi" w:cstheme="minorHAnsi"/>
                <w:sz w:val="22"/>
              </w:rPr>
              <w:t xml:space="preserve">additional </w:t>
            </w:r>
            <w:r w:rsidR="004931D1" w:rsidRPr="00392F4C">
              <w:rPr>
                <w:rFonts w:asciiTheme="minorHAnsi" w:hAnsiTheme="minorHAnsi" w:cstheme="minorHAnsi"/>
                <w:sz w:val="22"/>
              </w:rPr>
              <w:t>medical practitioner consultations</w:t>
            </w:r>
          </w:p>
          <w:p w14:paraId="1FFB96D2" w14:textId="3B53C32B" w:rsidR="007A4542" w:rsidRPr="00392F4C" w:rsidRDefault="001360B3" w:rsidP="004931D1">
            <w:pPr>
              <w:pStyle w:val="TableTextbullet"/>
              <w:rPr>
                <w:rFonts w:asciiTheme="minorHAnsi" w:hAnsiTheme="minorHAnsi" w:cstheme="minorHAnsi"/>
                <w:sz w:val="22"/>
              </w:rPr>
            </w:pPr>
            <w:r w:rsidRPr="00392F4C">
              <w:rPr>
                <w:rFonts w:asciiTheme="minorHAnsi" w:hAnsiTheme="minorHAnsi" w:cstheme="minorHAnsi"/>
                <w:sz w:val="22"/>
              </w:rPr>
              <w:t xml:space="preserve">cost </w:t>
            </w:r>
            <w:r w:rsidR="004931D1" w:rsidRPr="00392F4C">
              <w:rPr>
                <w:rFonts w:asciiTheme="minorHAnsi" w:hAnsiTheme="minorHAnsi" w:cstheme="minorHAnsi"/>
                <w:sz w:val="22"/>
              </w:rPr>
              <w:t>of re-testing and/or data reanalysis</w:t>
            </w:r>
          </w:p>
          <w:p w14:paraId="4A1E974A" w14:textId="17732D7A" w:rsidR="00BB5D79" w:rsidRPr="00392F4C" w:rsidRDefault="00BB5D79" w:rsidP="00BB5D79">
            <w:pPr>
              <w:pStyle w:val="TableTextbullet"/>
              <w:numPr>
                <w:ilvl w:val="0"/>
                <w:numId w:val="0"/>
              </w:numPr>
              <w:rPr>
                <w:rFonts w:asciiTheme="minorHAnsi" w:hAnsiTheme="minorHAnsi" w:cstheme="minorHAnsi"/>
                <w:b/>
                <w:bCs/>
                <w:sz w:val="22"/>
              </w:rPr>
            </w:pPr>
            <w:r w:rsidRPr="00392F4C">
              <w:rPr>
                <w:rFonts w:asciiTheme="minorHAnsi" w:hAnsiTheme="minorHAnsi" w:cstheme="minorHAnsi"/>
                <w:b/>
                <w:bCs/>
                <w:sz w:val="22"/>
              </w:rPr>
              <w:t>Cost-effectiveness</w:t>
            </w:r>
          </w:p>
          <w:p w14:paraId="7EA96E75" w14:textId="087455A0" w:rsidR="00BB5D79" w:rsidRPr="00392F4C" w:rsidRDefault="00BB5D79" w:rsidP="00F3029A">
            <w:pPr>
              <w:pStyle w:val="TableText0"/>
              <w:numPr>
                <w:ilvl w:val="0"/>
                <w:numId w:val="6"/>
              </w:numPr>
              <w:rPr>
                <w:rFonts w:asciiTheme="minorHAnsi" w:hAnsiTheme="minorHAnsi" w:cstheme="minorHAnsi"/>
                <w:sz w:val="22"/>
              </w:rPr>
            </w:pPr>
            <w:r w:rsidRPr="00392F4C">
              <w:rPr>
                <w:rFonts w:asciiTheme="minorHAnsi" w:hAnsiTheme="minorHAnsi" w:cstheme="minorHAnsi"/>
                <w:sz w:val="22"/>
              </w:rPr>
              <w:t xml:space="preserve">cost per </w:t>
            </w:r>
            <w:r w:rsidR="00F90221" w:rsidRPr="00392F4C">
              <w:rPr>
                <w:rFonts w:asciiTheme="minorHAnsi" w:hAnsiTheme="minorHAnsi" w:cstheme="minorHAnsi"/>
                <w:sz w:val="22"/>
              </w:rPr>
              <w:t xml:space="preserve">sibling </w:t>
            </w:r>
            <w:r w:rsidRPr="00392F4C">
              <w:rPr>
                <w:rFonts w:asciiTheme="minorHAnsi" w:hAnsiTheme="minorHAnsi" w:cstheme="minorHAnsi"/>
                <w:sz w:val="22"/>
              </w:rPr>
              <w:t>identified</w:t>
            </w:r>
            <w:r w:rsidR="0036106D" w:rsidRPr="00392F4C">
              <w:rPr>
                <w:rFonts w:asciiTheme="minorHAnsi" w:hAnsiTheme="minorHAnsi" w:cstheme="minorHAnsi"/>
                <w:sz w:val="22"/>
              </w:rPr>
              <w:t xml:space="preserve"> with pathogenic variant(s)</w:t>
            </w:r>
          </w:p>
          <w:p w14:paraId="028965C2" w14:textId="5B7811C0" w:rsidR="00710ACE" w:rsidRPr="00392F4C" w:rsidRDefault="00710ACE" w:rsidP="00710ACE">
            <w:pPr>
              <w:pStyle w:val="TableText0"/>
              <w:rPr>
                <w:rFonts w:asciiTheme="minorHAnsi" w:hAnsiTheme="minorHAnsi" w:cstheme="minorHAnsi"/>
                <w:sz w:val="22"/>
              </w:rPr>
            </w:pPr>
            <w:r w:rsidRPr="00392F4C">
              <w:rPr>
                <w:rFonts w:asciiTheme="minorHAnsi" w:hAnsiTheme="minorHAnsi" w:cstheme="minorHAnsi"/>
                <w:b/>
                <w:bCs/>
                <w:sz w:val="22"/>
              </w:rPr>
              <w:t>Total Australian Government health care costs</w:t>
            </w:r>
          </w:p>
        </w:tc>
      </w:tr>
      <w:tr w:rsidR="007A4542" w:rsidRPr="00392F4C" w14:paraId="2862BF59" w14:textId="77777777" w:rsidTr="00392F4C">
        <w:tc>
          <w:tcPr>
            <w:tcW w:w="1005" w:type="pct"/>
            <w:tcBorders>
              <w:top w:val="single" w:sz="4" w:space="0" w:color="auto"/>
              <w:left w:val="single" w:sz="8" w:space="0" w:color="auto"/>
              <w:bottom w:val="single" w:sz="8" w:space="0" w:color="auto"/>
              <w:right w:val="single" w:sz="4" w:space="0" w:color="auto"/>
            </w:tcBorders>
          </w:tcPr>
          <w:p w14:paraId="766BF089" w14:textId="4F7D730E" w:rsidR="007A4542" w:rsidRPr="00392F4C" w:rsidRDefault="007A4542" w:rsidP="009D628C">
            <w:pPr>
              <w:pStyle w:val="TableText0"/>
              <w:rPr>
                <w:rFonts w:asciiTheme="minorHAnsi" w:hAnsiTheme="minorHAnsi" w:cstheme="minorHAnsi"/>
                <w:sz w:val="22"/>
              </w:rPr>
            </w:pPr>
            <w:r w:rsidRPr="00392F4C">
              <w:rPr>
                <w:rFonts w:asciiTheme="minorHAnsi" w:hAnsiTheme="minorHAnsi" w:cstheme="minorHAnsi"/>
                <w:sz w:val="22"/>
              </w:rPr>
              <w:lastRenderedPageBreak/>
              <w:t>Assessment questions</w:t>
            </w:r>
          </w:p>
        </w:tc>
        <w:tc>
          <w:tcPr>
            <w:tcW w:w="3995" w:type="pct"/>
            <w:tcBorders>
              <w:top w:val="single" w:sz="4" w:space="0" w:color="auto"/>
              <w:left w:val="single" w:sz="4" w:space="0" w:color="auto"/>
              <w:bottom w:val="single" w:sz="4" w:space="0" w:color="auto"/>
              <w:right w:val="single" w:sz="4" w:space="0" w:color="auto"/>
            </w:tcBorders>
          </w:tcPr>
          <w:p w14:paraId="5A120061" w14:textId="7952BFCD" w:rsidR="007A4542" w:rsidRPr="00392F4C" w:rsidRDefault="0033180D" w:rsidP="00F575CB">
            <w:pPr>
              <w:pStyle w:val="TableText0"/>
              <w:numPr>
                <w:ilvl w:val="0"/>
                <w:numId w:val="7"/>
              </w:numPr>
              <w:rPr>
                <w:rFonts w:asciiTheme="minorHAnsi" w:hAnsiTheme="minorHAnsi" w:cstheme="minorHAnsi"/>
                <w:sz w:val="22"/>
              </w:rPr>
            </w:pPr>
            <w:r w:rsidRPr="00392F4C">
              <w:rPr>
                <w:rFonts w:asciiTheme="minorHAnsi" w:hAnsiTheme="minorHAnsi" w:cstheme="minorHAnsi"/>
                <w:sz w:val="22"/>
              </w:rPr>
              <w:t xml:space="preserve">What is the diagnostic yield of variant-specific testing to determine the presence of </w:t>
            </w:r>
            <w:r w:rsidR="00591A49" w:rsidRPr="00392F4C">
              <w:rPr>
                <w:rFonts w:asciiTheme="minorHAnsi" w:hAnsiTheme="minorHAnsi" w:cstheme="minorHAnsi"/>
                <w:sz w:val="22"/>
              </w:rPr>
              <w:t xml:space="preserve">pathogenic </w:t>
            </w:r>
            <w:r w:rsidR="00591A49" w:rsidRPr="00392F4C">
              <w:rPr>
                <w:rFonts w:asciiTheme="minorHAnsi" w:hAnsiTheme="minorHAnsi" w:cstheme="minorHAnsi"/>
                <w:i/>
                <w:iCs/>
                <w:sz w:val="22"/>
              </w:rPr>
              <w:t>ADAMTS13</w:t>
            </w:r>
            <w:r w:rsidR="00591A49" w:rsidRPr="00392F4C">
              <w:rPr>
                <w:rFonts w:asciiTheme="minorHAnsi" w:hAnsiTheme="minorHAnsi" w:cstheme="minorHAnsi"/>
                <w:sz w:val="22"/>
              </w:rPr>
              <w:t xml:space="preserve"> gene </w:t>
            </w:r>
            <w:r w:rsidR="004F16E5" w:rsidRPr="00392F4C">
              <w:rPr>
                <w:rFonts w:asciiTheme="minorHAnsi" w:hAnsiTheme="minorHAnsi" w:cstheme="minorHAnsi"/>
                <w:sz w:val="22"/>
              </w:rPr>
              <w:t>variant</w:t>
            </w:r>
            <w:r w:rsidR="002B4B97" w:rsidRPr="00392F4C">
              <w:rPr>
                <w:rFonts w:asciiTheme="minorHAnsi" w:hAnsiTheme="minorHAnsi" w:cstheme="minorHAnsi"/>
                <w:sz w:val="22"/>
              </w:rPr>
              <w:t>(</w:t>
            </w:r>
            <w:r w:rsidR="004F16E5" w:rsidRPr="00392F4C">
              <w:rPr>
                <w:rFonts w:asciiTheme="minorHAnsi" w:hAnsiTheme="minorHAnsi" w:cstheme="minorHAnsi"/>
                <w:sz w:val="22"/>
              </w:rPr>
              <w:t>s</w:t>
            </w:r>
            <w:r w:rsidR="002B4B97" w:rsidRPr="00392F4C">
              <w:rPr>
                <w:rFonts w:asciiTheme="minorHAnsi" w:hAnsiTheme="minorHAnsi" w:cstheme="minorHAnsi"/>
                <w:sz w:val="22"/>
              </w:rPr>
              <w:t>)</w:t>
            </w:r>
            <w:r w:rsidR="00591A49" w:rsidRPr="00392F4C">
              <w:rPr>
                <w:rFonts w:asciiTheme="minorHAnsi" w:hAnsiTheme="minorHAnsi" w:cstheme="minorHAnsi"/>
                <w:sz w:val="22"/>
              </w:rPr>
              <w:t xml:space="preserve"> </w:t>
            </w:r>
            <w:r w:rsidR="000407E7" w:rsidRPr="00392F4C">
              <w:rPr>
                <w:rFonts w:asciiTheme="minorHAnsi" w:hAnsiTheme="minorHAnsi" w:cstheme="minorHAnsi"/>
                <w:sz w:val="22"/>
              </w:rPr>
              <w:t xml:space="preserve">that </w:t>
            </w:r>
            <w:r w:rsidR="004F16E5" w:rsidRPr="00392F4C">
              <w:rPr>
                <w:rFonts w:asciiTheme="minorHAnsi" w:hAnsiTheme="minorHAnsi" w:cstheme="minorHAnsi"/>
                <w:sz w:val="22"/>
              </w:rPr>
              <w:t>are</w:t>
            </w:r>
            <w:r w:rsidR="000407E7" w:rsidRPr="00392F4C">
              <w:rPr>
                <w:rFonts w:asciiTheme="minorHAnsi" w:hAnsiTheme="minorHAnsi" w:cstheme="minorHAnsi"/>
                <w:sz w:val="22"/>
              </w:rPr>
              <w:t xml:space="preserve"> causative for cTTP in a </w:t>
            </w:r>
            <w:r w:rsidR="003A50C4" w:rsidRPr="00392F4C">
              <w:rPr>
                <w:rFonts w:asciiTheme="minorHAnsi" w:hAnsiTheme="minorHAnsi" w:cstheme="minorHAnsi"/>
                <w:sz w:val="22"/>
              </w:rPr>
              <w:t xml:space="preserve">first-degree </w:t>
            </w:r>
            <w:r w:rsidR="000407E7" w:rsidRPr="00392F4C">
              <w:rPr>
                <w:rFonts w:asciiTheme="minorHAnsi" w:hAnsiTheme="minorHAnsi" w:cstheme="minorHAnsi"/>
                <w:sz w:val="22"/>
              </w:rPr>
              <w:t xml:space="preserve">biological </w:t>
            </w:r>
            <w:r w:rsidR="00F90221" w:rsidRPr="00392F4C">
              <w:rPr>
                <w:rFonts w:asciiTheme="minorHAnsi" w:hAnsiTheme="minorHAnsi" w:cstheme="minorHAnsi"/>
                <w:sz w:val="22"/>
              </w:rPr>
              <w:t xml:space="preserve">sibling </w:t>
            </w:r>
            <w:r w:rsidR="000407E7" w:rsidRPr="00392F4C">
              <w:rPr>
                <w:rFonts w:asciiTheme="minorHAnsi" w:hAnsiTheme="minorHAnsi" w:cstheme="minorHAnsi"/>
                <w:sz w:val="22"/>
              </w:rPr>
              <w:t xml:space="preserve">of a </w:t>
            </w:r>
            <w:r w:rsidR="003A50C4" w:rsidRPr="00392F4C">
              <w:rPr>
                <w:rFonts w:asciiTheme="minorHAnsi" w:hAnsiTheme="minorHAnsi" w:cstheme="minorHAnsi"/>
                <w:sz w:val="22"/>
              </w:rPr>
              <w:t>patient</w:t>
            </w:r>
            <w:r w:rsidR="000407E7" w:rsidRPr="00392F4C">
              <w:rPr>
                <w:rFonts w:asciiTheme="minorHAnsi" w:hAnsiTheme="minorHAnsi" w:cstheme="minorHAnsi"/>
                <w:sz w:val="22"/>
              </w:rPr>
              <w:t xml:space="preserve"> with identified pathogenic </w:t>
            </w:r>
            <w:r w:rsidR="004F16E5" w:rsidRPr="00392F4C">
              <w:rPr>
                <w:rFonts w:asciiTheme="minorHAnsi" w:hAnsiTheme="minorHAnsi" w:cstheme="minorHAnsi"/>
                <w:sz w:val="22"/>
              </w:rPr>
              <w:t>variant</w:t>
            </w:r>
            <w:r w:rsidR="002B4B97" w:rsidRPr="00392F4C">
              <w:rPr>
                <w:rFonts w:asciiTheme="minorHAnsi" w:hAnsiTheme="minorHAnsi" w:cstheme="minorHAnsi"/>
                <w:sz w:val="22"/>
              </w:rPr>
              <w:t>(</w:t>
            </w:r>
            <w:r w:rsidR="004F16E5" w:rsidRPr="00392F4C">
              <w:rPr>
                <w:rFonts w:asciiTheme="minorHAnsi" w:hAnsiTheme="minorHAnsi" w:cstheme="minorHAnsi"/>
                <w:sz w:val="22"/>
              </w:rPr>
              <w:t>s</w:t>
            </w:r>
            <w:r w:rsidR="002B4B97" w:rsidRPr="00392F4C">
              <w:rPr>
                <w:rFonts w:asciiTheme="minorHAnsi" w:hAnsiTheme="minorHAnsi" w:cstheme="minorHAnsi"/>
                <w:sz w:val="22"/>
              </w:rPr>
              <w:t>)</w:t>
            </w:r>
            <w:r w:rsidR="004F16E5" w:rsidRPr="00392F4C">
              <w:rPr>
                <w:rFonts w:asciiTheme="minorHAnsi" w:hAnsiTheme="minorHAnsi" w:cstheme="minorHAnsi"/>
                <w:sz w:val="22"/>
              </w:rPr>
              <w:t xml:space="preserve"> (homozygous or compound heterozygous)</w:t>
            </w:r>
            <w:r w:rsidR="00BF6480" w:rsidRPr="00392F4C">
              <w:rPr>
                <w:rFonts w:asciiTheme="minorHAnsi" w:hAnsiTheme="minorHAnsi" w:cstheme="minorHAnsi"/>
                <w:sz w:val="22"/>
              </w:rPr>
              <w:t>?</w:t>
            </w:r>
          </w:p>
          <w:p w14:paraId="32E583EF" w14:textId="77777777" w:rsidR="00BF6480" w:rsidRPr="00392F4C" w:rsidRDefault="00BF6480" w:rsidP="00392F4C">
            <w:pPr>
              <w:pStyle w:val="TableText0"/>
              <w:numPr>
                <w:ilvl w:val="0"/>
                <w:numId w:val="7"/>
              </w:numPr>
              <w:spacing w:before="120"/>
              <w:ind w:left="714" w:hanging="357"/>
              <w:rPr>
                <w:rFonts w:asciiTheme="minorHAnsi" w:hAnsiTheme="minorHAnsi" w:cstheme="minorHAnsi"/>
                <w:sz w:val="22"/>
              </w:rPr>
            </w:pPr>
            <w:r w:rsidRPr="00392F4C">
              <w:rPr>
                <w:rFonts w:asciiTheme="minorHAnsi" w:hAnsiTheme="minorHAnsi" w:cstheme="minorHAnsi"/>
                <w:sz w:val="22"/>
              </w:rPr>
              <w:t xml:space="preserve">Is there a change in management in individuals </w:t>
            </w:r>
            <w:r w:rsidR="00B7725D" w:rsidRPr="00392F4C">
              <w:rPr>
                <w:rFonts w:asciiTheme="minorHAnsi" w:hAnsiTheme="minorHAnsi" w:cstheme="minorHAnsi"/>
                <w:sz w:val="22"/>
              </w:rPr>
              <w:t>who undergo variant-specific testing</w:t>
            </w:r>
            <w:r w:rsidR="008C5913" w:rsidRPr="00392F4C">
              <w:rPr>
                <w:rFonts w:asciiTheme="minorHAnsi" w:hAnsiTheme="minorHAnsi" w:cstheme="minorHAnsi"/>
                <w:sz w:val="22"/>
              </w:rPr>
              <w:t>?</w:t>
            </w:r>
          </w:p>
          <w:p w14:paraId="55A68A7D" w14:textId="60107025" w:rsidR="00D9373D" w:rsidRPr="00392F4C" w:rsidRDefault="00D9373D" w:rsidP="00392F4C">
            <w:pPr>
              <w:pStyle w:val="TableText0"/>
              <w:numPr>
                <w:ilvl w:val="0"/>
                <w:numId w:val="7"/>
              </w:numPr>
              <w:spacing w:before="120"/>
              <w:ind w:left="714" w:hanging="357"/>
              <w:rPr>
                <w:rFonts w:asciiTheme="minorHAnsi" w:hAnsiTheme="minorHAnsi" w:cstheme="minorHAnsi"/>
                <w:sz w:val="22"/>
              </w:rPr>
            </w:pPr>
            <w:r w:rsidRPr="00392F4C">
              <w:rPr>
                <w:rFonts w:asciiTheme="minorHAnsi" w:hAnsiTheme="minorHAnsi" w:cstheme="minorHAnsi"/>
                <w:sz w:val="22"/>
              </w:rPr>
              <w:t xml:space="preserve">Does earlier treatment of </w:t>
            </w:r>
            <w:r w:rsidR="00F90221" w:rsidRPr="00392F4C">
              <w:rPr>
                <w:rFonts w:asciiTheme="minorHAnsi" w:hAnsiTheme="minorHAnsi" w:cstheme="minorHAnsi"/>
                <w:sz w:val="22"/>
              </w:rPr>
              <w:t xml:space="preserve">siblings </w:t>
            </w:r>
            <w:r w:rsidR="00294643" w:rsidRPr="00392F4C">
              <w:rPr>
                <w:rFonts w:asciiTheme="minorHAnsi" w:hAnsiTheme="minorHAnsi" w:cstheme="minorHAnsi"/>
                <w:sz w:val="22"/>
              </w:rPr>
              <w:t>who</w:t>
            </w:r>
            <w:r w:rsidRPr="00392F4C">
              <w:rPr>
                <w:rFonts w:asciiTheme="minorHAnsi" w:hAnsiTheme="minorHAnsi" w:cstheme="minorHAnsi"/>
                <w:sz w:val="22"/>
              </w:rPr>
              <w:t xml:space="preserve"> are non-symptomatic or </w:t>
            </w:r>
            <w:r w:rsidR="00FA69F9" w:rsidRPr="00392F4C">
              <w:rPr>
                <w:rFonts w:asciiTheme="minorHAnsi" w:hAnsiTheme="minorHAnsi" w:cstheme="minorHAnsi"/>
                <w:sz w:val="22"/>
              </w:rPr>
              <w:t>do not have overt</w:t>
            </w:r>
            <w:r w:rsidRPr="00392F4C">
              <w:rPr>
                <w:rFonts w:asciiTheme="minorHAnsi" w:hAnsiTheme="minorHAnsi" w:cstheme="minorHAnsi"/>
                <w:sz w:val="22"/>
              </w:rPr>
              <w:t xml:space="preserve"> symptoms and have inherited </w:t>
            </w:r>
            <w:r w:rsidRPr="00392F4C">
              <w:rPr>
                <w:rFonts w:asciiTheme="minorHAnsi" w:hAnsiTheme="minorHAnsi" w:cstheme="minorHAnsi"/>
                <w:i/>
                <w:iCs/>
                <w:sz w:val="22"/>
              </w:rPr>
              <w:t>ADAMTS13</w:t>
            </w:r>
            <w:r w:rsidR="00917408" w:rsidRPr="00392F4C">
              <w:rPr>
                <w:rFonts w:asciiTheme="minorHAnsi" w:hAnsiTheme="minorHAnsi" w:cstheme="minorHAnsi"/>
                <w:sz w:val="22"/>
              </w:rPr>
              <w:t xml:space="preserve"> gene variant</w:t>
            </w:r>
            <w:r w:rsidR="009E74B7" w:rsidRPr="00392F4C">
              <w:rPr>
                <w:rFonts w:asciiTheme="minorHAnsi" w:hAnsiTheme="minorHAnsi" w:cstheme="minorHAnsi"/>
                <w:sz w:val="22"/>
              </w:rPr>
              <w:t>s (homozygous or compound heterozygous)</w:t>
            </w:r>
            <w:r w:rsidR="00917408" w:rsidRPr="00392F4C">
              <w:rPr>
                <w:rFonts w:asciiTheme="minorHAnsi" w:hAnsiTheme="minorHAnsi" w:cstheme="minorHAnsi"/>
                <w:sz w:val="22"/>
              </w:rPr>
              <w:t xml:space="preserve"> </w:t>
            </w:r>
            <w:r w:rsidR="00A01972" w:rsidRPr="00392F4C">
              <w:rPr>
                <w:rFonts w:asciiTheme="minorHAnsi" w:hAnsiTheme="minorHAnsi" w:cstheme="minorHAnsi"/>
                <w:sz w:val="22"/>
              </w:rPr>
              <w:t xml:space="preserve">lead to better health outcomes compared to delaying treatment </w:t>
            </w:r>
            <w:r w:rsidR="00DD17EF" w:rsidRPr="00392F4C">
              <w:rPr>
                <w:rFonts w:asciiTheme="minorHAnsi" w:hAnsiTheme="minorHAnsi" w:cstheme="minorHAnsi"/>
                <w:sz w:val="22"/>
              </w:rPr>
              <w:t>until</w:t>
            </w:r>
            <w:r w:rsidR="00A01972" w:rsidRPr="00392F4C">
              <w:rPr>
                <w:rFonts w:asciiTheme="minorHAnsi" w:hAnsiTheme="minorHAnsi" w:cstheme="minorHAnsi"/>
                <w:sz w:val="22"/>
              </w:rPr>
              <w:t xml:space="preserve"> the onset of symptoms?</w:t>
            </w:r>
          </w:p>
          <w:p w14:paraId="0E695974" w14:textId="71AB2E4E" w:rsidR="00A01972" w:rsidRPr="00392F4C" w:rsidRDefault="00335193" w:rsidP="00392F4C">
            <w:pPr>
              <w:pStyle w:val="TableText0"/>
              <w:numPr>
                <w:ilvl w:val="0"/>
                <w:numId w:val="7"/>
              </w:numPr>
              <w:spacing w:before="120"/>
              <w:ind w:left="714" w:hanging="357"/>
              <w:rPr>
                <w:rFonts w:asciiTheme="minorHAnsi" w:hAnsiTheme="minorHAnsi" w:cstheme="minorHAnsi"/>
                <w:sz w:val="22"/>
              </w:rPr>
            </w:pPr>
            <w:r w:rsidRPr="00392F4C">
              <w:rPr>
                <w:rFonts w:asciiTheme="minorHAnsi" w:hAnsiTheme="minorHAnsi" w:cstheme="minorHAnsi"/>
                <w:sz w:val="22"/>
              </w:rPr>
              <w:t xml:space="preserve">Will the </w:t>
            </w:r>
            <w:r w:rsidR="003719A0" w:rsidRPr="00392F4C">
              <w:rPr>
                <w:rFonts w:asciiTheme="minorHAnsi" w:hAnsiTheme="minorHAnsi" w:cstheme="minorHAnsi"/>
                <w:sz w:val="22"/>
              </w:rPr>
              <w:t xml:space="preserve">information generated as a result of variant-specific testing be of additional value to </w:t>
            </w:r>
            <w:r w:rsidR="001B336E" w:rsidRPr="00392F4C">
              <w:rPr>
                <w:rFonts w:asciiTheme="minorHAnsi" w:hAnsiTheme="minorHAnsi" w:cstheme="minorHAnsi"/>
                <w:sz w:val="22"/>
              </w:rPr>
              <w:t xml:space="preserve">siblings </w:t>
            </w:r>
            <w:r w:rsidR="003719A0" w:rsidRPr="00392F4C">
              <w:rPr>
                <w:rFonts w:asciiTheme="minorHAnsi" w:hAnsiTheme="minorHAnsi" w:cstheme="minorHAnsi"/>
                <w:sz w:val="22"/>
              </w:rPr>
              <w:t xml:space="preserve">with inherited pathogenic </w:t>
            </w:r>
            <w:r w:rsidR="003719A0" w:rsidRPr="00392F4C">
              <w:rPr>
                <w:rFonts w:asciiTheme="minorHAnsi" w:hAnsiTheme="minorHAnsi" w:cstheme="minorHAnsi"/>
                <w:i/>
                <w:iCs/>
                <w:sz w:val="22"/>
              </w:rPr>
              <w:t>ADAMTS13</w:t>
            </w:r>
            <w:r w:rsidR="003719A0" w:rsidRPr="00392F4C">
              <w:rPr>
                <w:rFonts w:asciiTheme="minorHAnsi" w:hAnsiTheme="minorHAnsi" w:cstheme="minorHAnsi"/>
                <w:sz w:val="22"/>
              </w:rPr>
              <w:t xml:space="preserve"> gene var</w:t>
            </w:r>
            <w:r w:rsidR="006E1076" w:rsidRPr="00392F4C">
              <w:rPr>
                <w:rFonts w:asciiTheme="minorHAnsi" w:hAnsiTheme="minorHAnsi" w:cstheme="minorHAnsi"/>
                <w:sz w:val="22"/>
              </w:rPr>
              <w:t>iant</w:t>
            </w:r>
            <w:r w:rsidR="00F94A59" w:rsidRPr="00392F4C">
              <w:rPr>
                <w:rFonts w:asciiTheme="minorHAnsi" w:hAnsiTheme="minorHAnsi" w:cstheme="minorHAnsi"/>
                <w:sz w:val="22"/>
              </w:rPr>
              <w:t>(s)</w:t>
            </w:r>
            <w:r w:rsidR="006E1076" w:rsidRPr="00392F4C">
              <w:rPr>
                <w:rFonts w:asciiTheme="minorHAnsi" w:hAnsiTheme="minorHAnsi" w:cstheme="minorHAnsi"/>
                <w:sz w:val="22"/>
              </w:rPr>
              <w:t xml:space="preserve"> even if there are not changes in </w:t>
            </w:r>
            <w:r w:rsidR="00D33700" w:rsidRPr="00392F4C">
              <w:rPr>
                <w:rFonts w:asciiTheme="minorHAnsi" w:hAnsiTheme="minorHAnsi" w:cstheme="minorHAnsi"/>
                <w:sz w:val="22"/>
              </w:rPr>
              <w:t>management i.e. value of knowing?</w:t>
            </w:r>
          </w:p>
          <w:p w14:paraId="708A7A6F" w14:textId="4F1C51A2" w:rsidR="00D33700" w:rsidRPr="00392F4C" w:rsidRDefault="00D33700" w:rsidP="00392F4C">
            <w:pPr>
              <w:pStyle w:val="TableText0"/>
              <w:numPr>
                <w:ilvl w:val="0"/>
                <w:numId w:val="7"/>
              </w:numPr>
              <w:spacing w:before="120"/>
              <w:ind w:left="714" w:hanging="357"/>
              <w:rPr>
                <w:rFonts w:asciiTheme="minorHAnsi" w:hAnsiTheme="minorHAnsi" w:cstheme="minorHAnsi"/>
                <w:sz w:val="22"/>
              </w:rPr>
            </w:pPr>
            <w:r w:rsidRPr="00392F4C">
              <w:rPr>
                <w:rFonts w:asciiTheme="minorHAnsi" w:hAnsiTheme="minorHAnsi" w:cstheme="minorHAnsi"/>
                <w:sz w:val="22"/>
              </w:rPr>
              <w:t xml:space="preserve">Are there any safety </w:t>
            </w:r>
            <w:r w:rsidR="003E0D60" w:rsidRPr="00392F4C">
              <w:rPr>
                <w:rFonts w:asciiTheme="minorHAnsi" w:hAnsiTheme="minorHAnsi" w:cstheme="minorHAnsi"/>
                <w:sz w:val="22"/>
              </w:rPr>
              <w:t xml:space="preserve">concerns with variant specific testing </w:t>
            </w:r>
            <w:r w:rsidR="006E5A84" w:rsidRPr="00392F4C">
              <w:rPr>
                <w:rFonts w:asciiTheme="minorHAnsi" w:hAnsiTheme="minorHAnsi" w:cstheme="minorHAnsi"/>
                <w:sz w:val="22"/>
              </w:rPr>
              <w:t xml:space="preserve">of first-degree </w:t>
            </w:r>
            <w:r w:rsidR="001B336E" w:rsidRPr="00392F4C">
              <w:rPr>
                <w:rFonts w:asciiTheme="minorHAnsi" w:hAnsiTheme="minorHAnsi" w:cstheme="minorHAnsi"/>
                <w:sz w:val="22"/>
              </w:rPr>
              <w:t xml:space="preserve">siblings </w:t>
            </w:r>
            <w:r w:rsidR="006E5A84" w:rsidRPr="00392F4C">
              <w:rPr>
                <w:rFonts w:asciiTheme="minorHAnsi" w:hAnsiTheme="minorHAnsi" w:cstheme="minorHAnsi"/>
                <w:sz w:val="22"/>
              </w:rPr>
              <w:t>at risk of having cTTP?</w:t>
            </w:r>
          </w:p>
          <w:p w14:paraId="62589601" w14:textId="0C7491E4" w:rsidR="007A4542" w:rsidRPr="00392F4C" w:rsidRDefault="006E5A84" w:rsidP="00392F4C">
            <w:pPr>
              <w:pStyle w:val="TableText0"/>
              <w:numPr>
                <w:ilvl w:val="0"/>
                <w:numId w:val="7"/>
              </w:numPr>
              <w:spacing w:before="120"/>
              <w:ind w:left="714" w:hanging="357"/>
              <w:rPr>
                <w:rFonts w:asciiTheme="minorHAnsi" w:hAnsiTheme="minorHAnsi" w:cstheme="minorHAnsi"/>
                <w:sz w:val="22"/>
              </w:rPr>
            </w:pPr>
            <w:r w:rsidRPr="00392F4C">
              <w:rPr>
                <w:rFonts w:asciiTheme="minorHAnsi" w:hAnsiTheme="minorHAnsi" w:cstheme="minorHAnsi"/>
                <w:sz w:val="22"/>
              </w:rPr>
              <w:t xml:space="preserve">Are there any psychological harms </w:t>
            </w:r>
            <w:r w:rsidR="00E931CF" w:rsidRPr="00392F4C">
              <w:rPr>
                <w:rFonts w:asciiTheme="minorHAnsi" w:hAnsiTheme="minorHAnsi" w:cstheme="minorHAnsi"/>
                <w:sz w:val="22"/>
              </w:rPr>
              <w:t xml:space="preserve">from </w:t>
            </w:r>
            <w:r w:rsidR="00201112" w:rsidRPr="00392F4C">
              <w:rPr>
                <w:rFonts w:asciiTheme="minorHAnsi" w:hAnsiTheme="minorHAnsi" w:cstheme="minorHAnsi"/>
                <w:sz w:val="22"/>
              </w:rPr>
              <w:t xml:space="preserve">variant specific testing of first-degree </w:t>
            </w:r>
            <w:r w:rsidR="001B336E" w:rsidRPr="00392F4C">
              <w:rPr>
                <w:rFonts w:asciiTheme="minorHAnsi" w:hAnsiTheme="minorHAnsi" w:cstheme="minorHAnsi"/>
                <w:sz w:val="22"/>
              </w:rPr>
              <w:t xml:space="preserve">siblings </w:t>
            </w:r>
            <w:r w:rsidR="00201112" w:rsidRPr="00392F4C">
              <w:rPr>
                <w:rFonts w:asciiTheme="minorHAnsi" w:hAnsiTheme="minorHAnsi" w:cstheme="minorHAnsi"/>
                <w:sz w:val="22"/>
              </w:rPr>
              <w:t>at risk of having cTTP?</w:t>
            </w:r>
          </w:p>
          <w:p w14:paraId="6BDF2C74" w14:textId="77777777" w:rsidR="004E61B3" w:rsidRPr="00392F4C" w:rsidRDefault="004E61B3" w:rsidP="00FB777C">
            <w:pPr>
              <w:pStyle w:val="ListParagraph"/>
              <w:numPr>
                <w:ilvl w:val="0"/>
                <w:numId w:val="7"/>
              </w:numPr>
              <w:spacing w:before="120" w:after="40" w:line="240" w:lineRule="auto"/>
              <w:ind w:left="714" w:hanging="357"/>
              <w:contextualSpacing w:val="0"/>
              <w:rPr>
                <w:rFonts w:asciiTheme="minorHAnsi" w:eastAsiaTheme="minorHAnsi" w:hAnsiTheme="minorHAnsi" w:cstheme="minorHAnsi"/>
              </w:rPr>
            </w:pPr>
            <w:r w:rsidRPr="00392F4C">
              <w:rPr>
                <w:rFonts w:asciiTheme="minorHAnsi" w:eastAsiaTheme="minorHAnsi" w:hAnsiTheme="minorHAnsi" w:cstheme="minorHAnsi"/>
              </w:rPr>
              <w:t>Are there any safety concerns with targeted therapies compared to symptom-based therapies?</w:t>
            </w:r>
          </w:p>
          <w:p w14:paraId="25F7A431" w14:textId="2F0AEF9A" w:rsidR="004E61B3" w:rsidRPr="00392F4C" w:rsidRDefault="004E61B3" w:rsidP="004E61B3">
            <w:pPr>
              <w:pStyle w:val="TableText0"/>
              <w:rPr>
                <w:rFonts w:asciiTheme="minorHAnsi" w:hAnsiTheme="minorHAnsi" w:cstheme="minorHAnsi"/>
                <w:sz w:val="22"/>
              </w:rPr>
            </w:pPr>
            <w:r w:rsidRPr="00392F4C">
              <w:rPr>
                <w:rFonts w:asciiTheme="minorHAnsi" w:hAnsiTheme="minorHAnsi" w:cstheme="minorHAnsi"/>
                <w:sz w:val="22"/>
              </w:rPr>
              <w:t xml:space="preserve">Note that under a refined </w:t>
            </w:r>
            <w:r w:rsidR="00947C48" w:rsidRPr="00392F4C">
              <w:rPr>
                <w:rFonts w:asciiTheme="minorHAnsi" w:hAnsiTheme="minorHAnsi" w:cstheme="minorHAnsi"/>
                <w:sz w:val="22"/>
              </w:rPr>
              <w:t>assessment</w:t>
            </w:r>
            <w:r w:rsidRPr="00392F4C">
              <w:rPr>
                <w:rFonts w:asciiTheme="minorHAnsi" w:hAnsiTheme="minorHAnsi" w:cstheme="minorHAnsi"/>
                <w:sz w:val="22"/>
              </w:rPr>
              <w:t xml:space="preserve"> approach for genomic testing, questions </w:t>
            </w:r>
            <w:r w:rsidR="007265BD" w:rsidRPr="00392F4C">
              <w:rPr>
                <w:rFonts w:asciiTheme="minorHAnsi" w:hAnsiTheme="minorHAnsi" w:cstheme="minorHAnsi"/>
                <w:sz w:val="22"/>
              </w:rPr>
              <w:t xml:space="preserve">3 and 7 do not </w:t>
            </w:r>
            <w:r w:rsidR="00947C48" w:rsidRPr="00392F4C">
              <w:rPr>
                <w:rFonts w:asciiTheme="minorHAnsi" w:hAnsiTheme="minorHAnsi" w:cstheme="minorHAnsi"/>
                <w:sz w:val="22"/>
              </w:rPr>
              <w:t>need to be addressed.</w:t>
            </w:r>
          </w:p>
        </w:tc>
      </w:tr>
    </w:tbl>
    <w:p w14:paraId="7A1A994D" w14:textId="1A57D9C1" w:rsidR="003B4CDD" w:rsidRPr="00490FBB" w:rsidRDefault="002A69E7" w:rsidP="002A69E7">
      <w:pPr>
        <w:pStyle w:val="Tablenotes"/>
      </w:pPr>
      <w:r>
        <w:t xml:space="preserve">cTTP = congenital </w:t>
      </w:r>
      <w:r w:rsidR="00DA4885" w:rsidRPr="00FC01A1">
        <w:t>thrombotic thrombocytopenic purpura</w:t>
      </w:r>
      <w:r>
        <w:t xml:space="preserve">; N/A = not applicable; PICO = </w:t>
      </w:r>
      <w:r w:rsidR="00001A4B">
        <w:t>Population, Intervention, Comparator, Outcomes</w:t>
      </w:r>
      <w:r>
        <w:t>.</w:t>
      </w:r>
    </w:p>
    <w:p w14:paraId="7DFC6926" w14:textId="7257E0F6" w:rsidR="00CE0545" w:rsidRDefault="00CE0545" w:rsidP="00CE0545">
      <w:pPr>
        <w:pStyle w:val="Caption"/>
      </w:pPr>
      <w:r>
        <w:lastRenderedPageBreak/>
        <w:t>Table </w:t>
      </w:r>
      <w:r>
        <w:fldChar w:fldCharType="begin"/>
      </w:r>
      <w:r>
        <w:instrText xml:space="preserve"> SEQ Table \* ARABIC </w:instrText>
      </w:r>
      <w:r>
        <w:fldChar w:fldCharType="separate"/>
      </w:r>
      <w:r w:rsidR="00AE1C62">
        <w:rPr>
          <w:noProof/>
        </w:rPr>
        <w:t>3</w:t>
      </w:r>
      <w:r>
        <w:fldChar w:fldCharType="end"/>
      </w:r>
      <w:r>
        <w:tab/>
        <w:t xml:space="preserve">PICO Set 3: ADAMTS13 activity testing for </w:t>
      </w:r>
      <w:r w:rsidRPr="006805BE">
        <w:t>monitoring</w:t>
      </w:r>
      <w:r>
        <w:t xml:space="preserve"> patients diagnosed with TTP</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A0" w:firstRow="1" w:lastRow="0" w:firstColumn="1" w:lastColumn="0" w:noHBand="0" w:noVBand="0"/>
      </w:tblPr>
      <w:tblGrid>
        <w:gridCol w:w="1923"/>
        <w:gridCol w:w="7643"/>
      </w:tblGrid>
      <w:tr w:rsidR="00CE0545" w:rsidRPr="00392F4C" w14:paraId="622D96CD" w14:textId="77777777" w:rsidTr="47B5D3B7">
        <w:trPr>
          <w:trHeight w:val="372"/>
          <w:tblHeader/>
        </w:trPr>
        <w:tc>
          <w:tcPr>
            <w:tcW w:w="1005" w:type="pct"/>
            <w:tcBorders>
              <w:top w:val="single" w:sz="8" w:space="0" w:color="auto"/>
              <w:left w:val="single" w:sz="8" w:space="0" w:color="auto"/>
              <w:bottom w:val="single" w:sz="8" w:space="0" w:color="auto"/>
              <w:right w:val="single" w:sz="4" w:space="0" w:color="auto"/>
            </w:tcBorders>
            <w:shd w:val="clear" w:color="auto" w:fill="D9D9D9" w:themeFill="background1" w:themeFillShade="D9"/>
            <w:vAlign w:val="center"/>
            <w:hideMark/>
          </w:tcPr>
          <w:p w14:paraId="575AC16D" w14:textId="77777777" w:rsidR="00CE0545" w:rsidRPr="00392F4C" w:rsidRDefault="00CE0545">
            <w:pPr>
              <w:pStyle w:val="Tabletext"/>
              <w:rPr>
                <w:rFonts w:asciiTheme="minorHAnsi" w:hAnsiTheme="minorHAnsi" w:cstheme="minorHAnsi"/>
                <w:b/>
                <w:bCs/>
                <w:sz w:val="22"/>
                <w:szCs w:val="22"/>
              </w:rPr>
            </w:pPr>
            <w:r w:rsidRPr="00392F4C">
              <w:rPr>
                <w:rFonts w:asciiTheme="minorHAnsi" w:hAnsiTheme="minorHAnsi" w:cstheme="minorHAnsi"/>
                <w:b/>
                <w:bCs/>
                <w:sz w:val="22"/>
                <w:szCs w:val="22"/>
              </w:rPr>
              <w:t>Component</w:t>
            </w:r>
          </w:p>
        </w:tc>
        <w:tc>
          <w:tcPr>
            <w:tcW w:w="39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FBB5EB8" w14:textId="77777777" w:rsidR="00CE0545" w:rsidRPr="00392F4C" w:rsidRDefault="00CE0545">
            <w:pPr>
              <w:pStyle w:val="Tabletext"/>
              <w:rPr>
                <w:rFonts w:asciiTheme="minorHAnsi" w:hAnsiTheme="minorHAnsi" w:cstheme="minorHAnsi"/>
                <w:b/>
                <w:bCs/>
                <w:sz w:val="22"/>
                <w:szCs w:val="22"/>
              </w:rPr>
            </w:pPr>
            <w:r w:rsidRPr="00392F4C">
              <w:rPr>
                <w:rFonts w:asciiTheme="minorHAnsi" w:hAnsiTheme="minorHAnsi" w:cstheme="minorHAnsi"/>
                <w:b/>
                <w:bCs/>
                <w:sz w:val="22"/>
                <w:szCs w:val="22"/>
              </w:rPr>
              <w:t>Description</w:t>
            </w:r>
          </w:p>
        </w:tc>
      </w:tr>
      <w:tr w:rsidR="00CE0545" w:rsidRPr="00392F4C" w14:paraId="2B4C0C2C" w14:textId="77777777">
        <w:tc>
          <w:tcPr>
            <w:tcW w:w="1005" w:type="pct"/>
            <w:tcBorders>
              <w:top w:val="single" w:sz="8" w:space="0" w:color="auto"/>
              <w:left w:val="single" w:sz="8" w:space="0" w:color="auto"/>
              <w:bottom w:val="single" w:sz="4" w:space="0" w:color="auto"/>
              <w:right w:val="single" w:sz="4" w:space="0" w:color="auto"/>
            </w:tcBorders>
            <w:hideMark/>
          </w:tcPr>
          <w:p w14:paraId="09FF2E23" w14:textId="77777777"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Population</w:t>
            </w:r>
          </w:p>
        </w:tc>
        <w:tc>
          <w:tcPr>
            <w:tcW w:w="3995" w:type="pct"/>
            <w:tcBorders>
              <w:top w:val="single" w:sz="4" w:space="0" w:color="auto"/>
              <w:left w:val="single" w:sz="4" w:space="0" w:color="auto"/>
              <w:bottom w:val="single" w:sz="4" w:space="0" w:color="auto"/>
              <w:right w:val="single" w:sz="4" w:space="0" w:color="auto"/>
            </w:tcBorders>
            <w:hideMark/>
          </w:tcPr>
          <w:p w14:paraId="1D99AB44" w14:textId="103E15D8"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 xml:space="preserve">Patients </w:t>
            </w:r>
            <w:r w:rsidR="0036023A" w:rsidRPr="00392F4C">
              <w:rPr>
                <w:rFonts w:asciiTheme="minorHAnsi" w:hAnsiTheme="minorHAnsi" w:cstheme="minorHAnsi"/>
                <w:sz w:val="22"/>
                <w:szCs w:val="22"/>
              </w:rPr>
              <w:t xml:space="preserve">with a confirmed </w:t>
            </w:r>
            <w:r w:rsidRPr="00392F4C">
              <w:rPr>
                <w:rFonts w:asciiTheme="minorHAnsi" w:hAnsiTheme="minorHAnsi" w:cstheme="minorHAnsi"/>
                <w:sz w:val="22"/>
                <w:szCs w:val="22"/>
              </w:rPr>
              <w:t>diagnos</w:t>
            </w:r>
            <w:r w:rsidR="0036023A" w:rsidRPr="00392F4C">
              <w:rPr>
                <w:rFonts w:asciiTheme="minorHAnsi" w:hAnsiTheme="minorHAnsi" w:cstheme="minorHAnsi"/>
                <w:sz w:val="22"/>
                <w:szCs w:val="22"/>
              </w:rPr>
              <w:t>is of</w:t>
            </w:r>
            <w:r w:rsidRPr="00392F4C">
              <w:rPr>
                <w:rFonts w:asciiTheme="minorHAnsi" w:hAnsiTheme="minorHAnsi" w:cstheme="minorHAnsi"/>
                <w:sz w:val="22"/>
                <w:szCs w:val="22"/>
              </w:rPr>
              <w:t xml:space="preserve"> TTP</w:t>
            </w:r>
          </w:p>
        </w:tc>
      </w:tr>
      <w:tr w:rsidR="00CE0545" w:rsidRPr="00392F4C" w14:paraId="63D4D3D4" w14:textId="77777777">
        <w:tc>
          <w:tcPr>
            <w:tcW w:w="1005" w:type="pct"/>
            <w:tcBorders>
              <w:top w:val="single" w:sz="8" w:space="0" w:color="auto"/>
              <w:left w:val="single" w:sz="8" w:space="0" w:color="auto"/>
              <w:bottom w:val="single" w:sz="4" w:space="0" w:color="auto"/>
              <w:right w:val="single" w:sz="4" w:space="0" w:color="auto"/>
            </w:tcBorders>
            <w:hideMark/>
          </w:tcPr>
          <w:p w14:paraId="1F7BBDDE" w14:textId="77777777"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Prior tests</w:t>
            </w:r>
          </w:p>
        </w:tc>
        <w:tc>
          <w:tcPr>
            <w:tcW w:w="3995" w:type="pct"/>
            <w:tcBorders>
              <w:top w:val="single" w:sz="4" w:space="0" w:color="auto"/>
              <w:left w:val="single" w:sz="4" w:space="0" w:color="auto"/>
              <w:bottom w:val="single" w:sz="4" w:space="0" w:color="auto"/>
              <w:right w:val="single" w:sz="4" w:space="0" w:color="auto"/>
            </w:tcBorders>
            <w:hideMark/>
          </w:tcPr>
          <w:p w14:paraId="692FA4DE" w14:textId="69BCD903" w:rsidR="00CE0545" w:rsidRPr="00392F4C" w:rsidRDefault="009E2D05">
            <w:pPr>
              <w:pStyle w:val="Tabletext"/>
              <w:rPr>
                <w:rFonts w:asciiTheme="minorHAnsi" w:hAnsiTheme="minorHAnsi" w:cstheme="minorHAnsi"/>
                <w:sz w:val="22"/>
                <w:szCs w:val="22"/>
              </w:rPr>
            </w:pPr>
            <w:r w:rsidRPr="00392F4C">
              <w:rPr>
                <w:rFonts w:asciiTheme="minorHAnsi" w:hAnsiTheme="minorHAnsi" w:cstheme="minorHAnsi"/>
                <w:sz w:val="22"/>
                <w:szCs w:val="22"/>
              </w:rPr>
              <w:t xml:space="preserve">Confirmation of TTP via </w:t>
            </w:r>
            <w:r w:rsidR="00CE0545" w:rsidRPr="00392F4C">
              <w:rPr>
                <w:rFonts w:asciiTheme="minorHAnsi" w:hAnsiTheme="minorHAnsi" w:cstheme="minorHAnsi"/>
                <w:sz w:val="22"/>
                <w:szCs w:val="22"/>
              </w:rPr>
              <w:t>ADAMTS13 activity test</w:t>
            </w:r>
          </w:p>
        </w:tc>
      </w:tr>
      <w:tr w:rsidR="00CE0545" w:rsidRPr="00392F4C" w14:paraId="409E1FE0" w14:textId="77777777">
        <w:tc>
          <w:tcPr>
            <w:tcW w:w="1005" w:type="pct"/>
            <w:tcBorders>
              <w:top w:val="single" w:sz="4" w:space="0" w:color="auto"/>
              <w:left w:val="single" w:sz="8" w:space="0" w:color="auto"/>
              <w:bottom w:val="single" w:sz="4" w:space="0" w:color="auto"/>
              <w:right w:val="single" w:sz="4" w:space="0" w:color="auto"/>
            </w:tcBorders>
            <w:hideMark/>
          </w:tcPr>
          <w:p w14:paraId="76CF5D87" w14:textId="77777777"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Intervention</w:t>
            </w:r>
          </w:p>
        </w:tc>
        <w:tc>
          <w:tcPr>
            <w:tcW w:w="3995" w:type="pct"/>
            <w:tcBorders>
              <w:top w:val="single" w:sz="4" w:space="0" w:color="auto"/>
              <w:left w:val="single" w:sz="4" w:space="0" w:color="auto"/>
              <w:bottom w:val="single" w:sz="4" w:space="0" w:color="auto"/>
              <w:right w:val="single" w:sz="4" w:space="0" w:color="auto"/>
            </w:tcBorders>
            <w:hideMark/>
          </w:tcPr>
          <w:p w14:paraId="008670B2" w14:textId="26D2AAF0" w:rsidR="00CE0545" w:rsidRPr="00392F4C" w:rsidRDefault="00CE0545" w:rsidP="006F55E0">
            <w:pPr>
              <w:pStyle w:val="Tabletext"/>
              <w:rPr>
                <w:rFonts w:asciiTheme="minorHAnsi" w:hAnsiTheme="minorHAnsi" w:cstheme="minorHAnsi"/>
                <w:sz w:val="22"/>
                <w:szCs w:val="22"/>
              </w:rPr>
            </w:pPr>
            <w:r w:rsidRPr="00392F4C">
              <w:rPr>
                <w:rFonts w:asciiTheme="minorHAnsi" w:hAnsiTheme="minorHAnsi" w:cstheme="minorHAnsi"/>
                <w:sz w:val="22"/>
                <w:szCs w:val="22"/>
              </w:rPr>
              <w:t xml:space="preserve">ADAMTS13 activity testing </w:t>
            </w:r>
            <w:r w:rsidR="00C6374A" w:rsidRPr="00392F4C">
              <w:rPr>
                <w:rFonts w:asciiTheme="minorHAnsi" w:hAnsiTheme="minorHAnsi" w:cstheme="minorHAnsi"/>
                <w:sz w:val="22"/>
                <w:szCs w:val="22"/>
              </w:rPr>
              <w:t xml:space="preserve">for </w:t>
            </w:r>
            <w:r w:rsidR="005C4B25" w:rsidRPr="00392F4C">
              <w:rPr>
                <w:rFonts w:asciiTheme="minorHAnsi" w:hAnsiTheme="minorHAnsi" w:cstheme="minorHAnsi"/>
                <w:sz w:val="22"/>
                <w:szCs w:val="22"/>
              </w:rPr>
              <w:t xml:space="preserve">patient </w:t>
            </w:r>
            <w:r w:rsidR="00C6374A" w:rsidRPr="00392F4C">
              <w:rPr>
                <w:rFonts w:asciiTheme="minorHAnsi" w:hAnsiTheme="minorHAnsi" w:cstheme="minorHAnsi"/>
                <w:sz w:val="22"/>
                <w:szCs w:val="22"/>
              </w:rPr>
              <w:t>monitoring</w:t>
            </w:r>
          </w:p>
        </w:tc>
      </w:tr>
      <w:tr w:rsidR="00CE0545" w:rsidRPr="00392F4C" w14:paraId="49DD4319" w14:textId="77777777">
        <w:tc>
          <w:tcPr>
            <w:tcW w:w="1005" w:type="pct"/>
            <w:tcBorders>
              <w:top w:val="single" w:sz="4" w:space="0" w:color="auto"/>
              <w:left w:val="single" w:sz="8" w:space="0" w:color="auto"/>
              <w:bottom w:val="single" w:sz="4" w:space="0" w:color="auto"/>
              <w:right w:val="single" w:sz="4" w:space="0" w:color="auto"/>
            </w:tcBorders>
            <w:hideMark/>
          </w:tcPr>
          <w:p w14:paraId="0D39AB99" w14:textId="69500E94"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Comparator</w:t>
            </w:r>
          </w:p>
        </w:tc>
        <w:tc>
          <w:tcPr>
            <w:tcW w:w="3995" w:type="pct"/>
            <w:tcBorders>
              <w:top w:val="single" w:sz="4" w:space="0" w:color="auto"/>
              <w:left w:val="single" w:sz="4" w:space="0" w:color="auto"/>
              <w:bottom w:val="single" w:sz="4" w:space="0" w:color="auto"/>
              <w:right w:val="single" w:sz="4" w:space="0" w:color="auto"/>
            </w:tcBorders>
            <w:hideMark/>
          </w:tcPr>
          <w:p w14:paraId="7878B5A4" w14:textId="6C9989E8"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No</w:t>
            </w:r>
            <w:r w:rsidR="00415BE8" w:rsidRPr="00392F4C">
              <w:rPr>
                <w:rFonts w:asciiTheme="minorHAnsi" w:hAnsiTheme="minorHAnsi" w:cstheme="minorHAnsi"/>
                <w:sz w:val="22"/>
                <w:szCs w:val="22"/>
              </w:rPr>
              <w:t xml:space="preserve"> ADAMTS13 activity</w:t>
            </w:r>
            <w:r w:rsidRPr="00392F4C">
              <w:rPr>
                <w:rFonts w:asciiTheme="minorHAnsi" w:hAnsiTheme="minorHAnsi" w:cstheme="minorHAnsi"/>
                <w:sz w:val="22"/>
                <w:szCs w:val="22"/>
              </w:rPr>
              <w:t xml:space="preserve"> test</w:t>
            </w:r>
            <w:r w:rsidR="00415BE8" w:rsidRPr="00392F4C">
              <w:rPr>
                <w:rFonts w:asciiTheme="minorHAnsi" w:hAnsiTheme="minorHAnsi" w:cstheme="minorHAnsi"/>
                <w:sz w:val="22"/>
                <w:szCs w:val="22"/>
              </w:rPr>
              <w:t xml:space="preserve">ing </w:t>
            </w:r>
            <w:r w:rsidR="00A9168D" w:rsidRPr="00392F4C">
              <w:rPr>
                <w:rFonts w:asciiTheme="minorHAnsi" w:hAnsiTheme="minorHAnsi" w:cstheme="minorHAnsi"/>
                <w:sz w:val="22"/>
                <w:szCs w:val="22"/>
              </w:rPr>
              <w:t xml:space="preserve">for patient monitoring </w:t>
            </w:r>
            <w:r w:rsidR="00415BE8" w:rsidRPr="00392F4C" w:rsidDel="00A01862">
              <w:rPr>
                <w:rFonts w:asciiTheme="minorHAnsi" w:hAnsiTheme="minorHAnsi" w:cstheme="minorHAnsi"/>
                <w:sz w:val="22"/>
                <w:szCs w:val="22"/>
              </w:rPr>
              <w:t>and clinical management based on symptoms</w:t>
            </w:r>
            <w:r w:rsidR="00C36010" w:rsidRPr="00392F4C" w:rsidDel="00A01862">
              <w:rPr>
                <w:rFonts w:asciiTheme="minorHAnsi" w:hAnsiTheme="minorHAnsi" w:cstheme="minorHAnsi"/>
                <w:sz w:val="22"/>
                <w:szCs w:val="22"/>
              </w:rPr>
              <w:t xml:space="preserve"> and platelet count</w:t>
            </w:r>
          </w:p>
        </w:tc>
      </w:tr>
      <w:tr w:rsidR="00955CF9" w:rsidRPr="00392F4C" w14:paraId="021230B8" w14:textId="77777777">
        <w:tc>
          <w:tcPr>
            <w:tcW w:w="1005" w:type="pct"/>
            <w:tcBorders>
              <w:top w:val="single" w:sz="4" w:space="0" w:color="auto"/>
              <w:left w:val="single" w:sz="8" w:space="0" w:color="auto"/>
              <w:bottom w:val="single" w:sz="4" w:space="0" w:color="auto"/>
              <w:right w:val="single" w:sz="4" w:space="0" w:color="auto"/>
            </w:tcBorders>
          </w:tcPr>
          <w:p w14:paraId="50BB59CB" w14:textId="3780E2F0" w:rsidR="00955CF9" w:rsidRPr="00392F4C" w:rsidRDefault="00955CF9">
            <w:pPr>
              <w:pStyle w:val="Tabletext"/>
              <w:rPr>
                <w:rFonts w:asciiTheme="minorHAnsi" w:hAnsiTheme="minorHAnsi" w:cstheme="minorHAnsi"/>
                <w:sz w:val="22"/>
                <w:szCs w:val="22"/>
              </w:rPr>
            </w:pPr>
            <w:r w:rsidRPr="00392F4C">
              <w:rPr>
                <w:rFonts w:asciiTheme="minorHAnsi" w:hAnsiTheme="minorHAnsi" w:cstheme="minorHAnsi"/>
                <w:sz w:val="22"/>
                <w:szCs w:val="22"/>
              </w:rPr>
              <w:t>Reference standard</w:t>
            </w:r>
          </w:p>
        </w:tc>
        <w:tc>
          <w:tcPr>
            <w:tcW w:w="3995" w:type="pct"/>
            <w:tcBorders>
              <w:top w:val="single" w:sz="4" w:space="0" w:color="auto"/>
              <w:left w:val="single" w:sz="4" w:space="0" w:color="auto"/>
              <w:bottom w:val="single" w:sz="4" w:space="0" w:color="auto"/>
              <w:right w:val="single" w:sz="4" w:space="0" w:color="auto"/>
            </w:tcBorders>
          </w:tcPr>
          <w:p w14:paraId="3E70A261" w14:textId="3E4615C4" w:rsidR="00955CF9" w:rsidRPr="00392F4C" w:rsidRDefault="00BC4A4E">
            <w:pPr>
              <w:pStyle w:val="Tabletext"/>
              <w:rPr>
                <w:rFonts w:asciiTheme="minorHAnsi" w:hAnsiTheme="minorHAnsi" w:cstheme="minorHAnsi"/>
                <w:sz w:val="22"/>
                <w:szCs w:val="22"/>
              </w:rPr>
            </w:pPr>
            <w:r w:rsidRPr="00392F4C">
              <w:rPr>
                <w:rFonts w:asciiTheme="minorHAnsi" w:hAnsiTheme="minorHAnsi" w:cstheme="minorHAnsi"/>
                <w:sz w:val="22"/>
                <w:szCs w:val="22"/>
              </w:rPr>
              <w:t>Ability to predict exacerbation and recurrence</w:t>
            </w:r>
          </w:p>
        </w:tc>
      </w:tr>
      <w:tr w:rsidR="00CE0545" w:rsidRPr="00392F4C" w14:paraId="56809D8B" w14:textId="77777777">
        <w:tc>
          <w:tcPr>
            <w:tcW w:w="1005" w:type="pct"/>
            <w:tcBorders>
              <w:top w:val="single" w:sz="4" w:space="0" w:color="auto"/>
              <w:left w:val="single" w:sz="8" w:space="0" w:color="auto"/>
              <w:bottom w:val="single" w:sz="4" w:space="0" w:color="auto"/>
              <w:right w:val="single" w:sz="4" w:space="0" w:color="auto"/>
            </w:tcBorders>
          </w:tcPr>
          <w:p w14:paraId="4863ECEC" w14:textId="146B0BD4" w:rsidR="00CE0545" w:rsidRPr="00392F4C" w:rsidRDefault="00955CF9">
            <w:pPr>
              <w:pStyle w:val="Tabletext"/>
              <w:rPr>
                <w:rFonts w:asciiTheme="minorHAnsi" w:hAnsiTheme="minorHAnsi" w:cstheme="minorHAnsi"/>
                <w:sz w:val="22"/>
                <w:szCs w:val="22"/>
              </w:rPr>
            </w:pPr>
            <w:r w:rsidRPr="00392F4C">
              <w:rPr>
                <w:rFonts w:asciiTheme="minorHAnsi" w:hAnsiTheme="minorHAnsi" w:cstheme="minorHAnsi"/>
                <w:sz w:val="22"/>
                <w:szCs w:val="22"/>
              </w:rPr>
              <w:t>Clinical utility</w:t>
            </w:r>
            <w:r w:rsidR="00CE0545" w:rsidRPr="00392F4C">
              <w:rPr>
                <w:rFonts w:asciiTheme="minorHAnsi" w:hAnsiTheme="minorHAnsi" w:cstheme="minorHAnsi"/>
                <w:sz w:val="22"/>
                <w:szCs w:val="22"/>
              </w:rPr>
              <w:t xml:space="preserve"> standard</w:t>
            </w:r>
          </w:p>
        </w:tc>
        <w:tc>
          <w:tcPr>
            <w:tcW w:w="3995" w:type="pct"/>
            <w:tcBorders>
              <w:top w:val="single" w:sz="4" w:space="0" w:color="auto"/>
              <w:left w:val="single" w:sz="4" w:space="0" w:color="auto"/>
              <w:bottom w:val="single" w:sz="4" w:space="0" w:color="auto"/>
              <w:right w:val="single" w:sz="4" w:space="0" w:color="auto"/>
            </w:tcBorders>
          </w:tcPr>
          <w:p w14:paraId="3C850794" w14:textId="7299AA7C" w:rsidR="00CE0545" w:rsidRPr="00392F4C" w:rsidRDefault="00A80576">
            <w:pPr>
              <w:pStyle w:val="Tabletext"/>
              <w:rPr>
                <w:rFonts w:asciiTheme="minorHAnsi" w:hAnsiTheme="minorHAnsi" w:cstheme="minorHAnsi"/>
                <w:sz w:val="22"/>
                <w:szCs w:val="22"/>
              </w:rPr>
            </w:pPr>
            <w:r w:rsidRPr="00392F4C">
              <w:rPr>
                <w:rFonts w:asciiTheme="minorHAnsi" w:hAnsiTheme="minorHAnsi" w:cstheme="minorHAnsi"/>
                <w:sz w:val="22"/>
                <w:szCs w:val="22"/>
              </w:rPr>
              <w:t>ADAMTS13 fluorescence resonance energy transfer assay (FRETS-VWF73), or ELISA-based detection</w:t>
            </w:r>
          </w:p>
        </w:tc>
      </w:tr>
      <w:tr w:rsidR="00CE0545" w:rsidRPr="00392F4C" w14:paraId="038511FC" w14:textId="77777777">
        <w:tc>
          <w:tcPr>
            <w:tcW w:w="1005" w:type="pct"/>
            <w:tcBorders>
              <w:top w:val="single" w:sz="4" w:space="0" w:color="auto"/>
              <w:left w:val="single" w:sz="8" w:space="0" w:color="auto"/>
              <w:bottom w:val="single" w:sz="4" w:space="0" w:color="auto"/>
              <w:right w:val="single" w:sz="4" w:space="0" w:color="auto"/>
            </w:tcBorders>
            <w:hideMark/>
          </w:tcPr>
          <w:p w14:paraId="6AE33043" w14:textId="77777777"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Outcomes</w:t>
            </w:r>
          </w:p>
        </w:tc>
        <w:tc>
          <w:tcPr>
            <w:tcW w:w="3995" w:type="pct"/>
            <w:tcBorders>
              <w:top w:val="single" w:sz="4" w:space="0" w:color="auto"/>
              <w:left w:val="single" w:sz="4" w:space="0" w:color="auto"/>
              <w:bottom w:val="single" w:sz="4" w:space="0" w:color="auto"/>
              <w:right w:val="single" w:sz="4" w:space="0" w:color="auto"/>
            </w:tcBorders>
            <w:hideMark/>
          </w:tcPr>
          <w:p w14:paraId="526B93A9" w14:textId="77777777" w:rsidR="00CE0545" w:rsidRPr="00392F4C" w:rsidRDefault="00CE0545">
            <w:pPr>
              <w:pStyle w:val="Tabletext"/>
              <w:rPr>
                <w:rFonts w:asciiTheme="minorHAnsi" w:hAnsiTheme="minorHAnsi" w:cstheme="minorHAnsi"/>
                <w:b/>
                <w:bCs/>
                <w:sz w:val="22"/>
                <w:szCs w:val="22"/>
              </w:rPr>
            </w:pPr>
            <w:r w:rsidRPr="00392F4C">
              <w:rPr>
                <w:rFonts w:asciiTheme="minorHAnsi" w:hAnsiTheme="minorHAnsi" w:cstheme="minorHAnsi"/>
                <w:b/>
                <w:bCs/>
                <w:sz w:val="22"/>
                <w:szCs w:val="22"/>
              </w:rPr>
              <w:t>Safety outcomes</w:t>
            </w:r>
          </w:p>
          <w:p w14:paraId="00AEF23B" w14:textId="77D73275" w:rsidR="00481032" w:rsidRPr="00392F4C" w:rsidRDefault="00165873" w:rsidP="00481032">
            <w:pPr>
              <w:pStyle w:val="TableTextbullet"/>
              <w:rPr>
                <w:rFonts w:asciiTheme="minorHAnsi" w:hAnsiTheme="minorHAnsi" w:cstheme="minorHAnsi"/>
                <w:sz w:val="22"/>
              </w:rPr>
            </w:pPr>
            <w:r w:rsidRPr="00392F4C">
              <w:rPr>
                <w:rFonts w:asciiTheme="minorHAnsi" w:hAnsiTheme="minorHAnsi" w:cstheme="minorHAnsi"/>
                <w:sz w:val="22"/>
              </w:rPr>
              <w:t xml:space="preserve">harms </w:t>
            </w:r>
            <w:r w:rsidR="00481032" w:rsidRPr="00392F4C">
              <w:rPr>
                <w:rFonts w:asciiTheme="minorHAnsi" w:hAnsiTheme="minorHAnsi" w:cstheme="minorHAnsi"/>
                <w:sz w:val="22"/>
              </w:rPr>
              <w:t>from obtaining a sample for testing</w:t>
            </w:r>
          </w:p>
          <w:p w14:paraId="79B9C187" w14:textId="15FB0D55" w:rsidR="000C1729" w:rsidRPr="00392F4C" w:rsidRDefault="002501D5" w:rsidP="002501D5">
            <w:pPr>
              <w:pStyle w:val="TableTextbullet"/>
              <w:rPr>
                <w:rFonts w:asciiTheme="minorHAnsi" w:hAnsiTheme="minorHAnsi" w:cstheme="minorHAnsi"/>
                <w:b/>
                <w:bCs/>
                <w:sz w:val="22"/>
              </w:rPr>
            </w:pPr>
            <w:r w:rsidRPr="00392F4C">
              <w:rPr>
                <w:rFonts w:asciiTheme="minorHAnsi" w:hAnsiTheme="minorHAnsi" w:cstheme="minorHAnsi"/>
                <w:sz w:val="22"/>
              </w:rPr>
              <w:t xml:space="preserve">harms associated with false positive or false negative results </w:t>
            </w:r>
          </w:p>
          <w:p w14:paraId="040C9211" w14:textId="29F0109B" w:rsidR="00CE0545" w:rsidRPr="00392F4C" w:rsidRDefault="00CE0545" w:rsidP="000C1729">
            <w:pPr>
              <w:pStyle w:val="TableTextbullet"/>
              <w:numPr>
                <w:ilvl w:val="0"/>
                <w:numId w:val="0"/>
              </w:numPr>
              <w:rPr>
                <w:rFonts w:asciiTheme="minorHAnsi" w:hAnsiTheme="minorHAnsi" w:cstheme="minorHAnsi"/>
                <w:b/>
                <w:bCs/>
                <w:sz w:val="22"/>
              </w:rPr>
            </w:pPr>
            <w:r w:rsidRPr="00392F4C">
              <w:rPr>
                <w:rFonts w:asciiTheme="minorHAnsi" w:hAnsiTheme="minorHAnsi" w:cstheme="minorHAnsi"/>
                <w:b/>
                <w:bCs/>
                <w:sz w:val="22"/>
              </w:rPr>
              <w:t>Clinical effectiveness outcomes</w:t>
            </w:r>
          </w:p>
          <w:p w14:paraId="73A5FEBC" w14:textId="016DFCC5" w:rsidR="00C84C72" w:rsidRPr="00392F4C" w:rsidRDefault="00C84C72" w:rsidP="00C84C72">
            <w:pPr>
              <w:pStyle w:val="TableText0"/>
              <w:rPr>
                <w:rFonts w:asciiTheme="minorHAnsi" w:hAnsiTheme="minorHAnsi" w:cstheme="minorHAnsi"/>
                <w:sz w:val="22"/>
              </w:rPr>
            </w:pPr>
            <w:r w:rsidRPr="00392F4C">
              <w:rPr>
                <w:rFonts w:asciiTheme="minorHAnsi" w:hAnsiTheme="minorHAnsi" w:cstheme="minorHAnsi"/>
                <w:sz w:val="22"/>
              </w:rPr>
              <w:t>Test performance</w:t>
            </w:r>
          </w:p>
          <w:p w14:paraId="77EB487F" w14:textId="31DBFE16" w:rsidR="00C84C72" w:rsidRPr="00392F4C" w:rsidRDefault="00165873" w:rsidP="00C84C72">
            <w:pPr>
              <w:pStyle w:val="TableTextbullet"/>
              <w:rPr>
                <w:rFonts w:asciiTheme="minorHAnsi" w:hAnsiTheme="minorHAnsi" w:cstheme="minorHAnsi"/>
                <w:sz w:val="22"/>
              </w:rPr>
            </w:pPr>
            <w:r w:rsidRPr="00392F4C">
              <w:rPr>
                <w:rFonts w:asciiTheme="minorHAnsi" w:hAnsiTheme="minorHAnsi" w:cstheme="minorHAnsi"/>
                <w:sz w:val="22"/>
              </w:rPr>
              <w:t>accuracy</w:t>
            </w:r>
            <w:r w:rsidR="00DC2FE1" w:rsidRPr="00392F4C">
              <w:rPr>
                <w:rFonts w:asciiTheme="minorHAnsi" w:hAnsiTheme="minorHAnsi" w:cstheme="minorHAnsi"/>
                <w:sz w:val="22"/>
              </w:rPr>
              <w:t>, c</w:t>
            </w:r>
            <w:r w:rsidR="00965540" w:rsidRPr="00392F4C">
              <w:rPr>
                <w:rFonts w:asciiTheme="minorHAnsi" w:hAnsiTheme="minorHAnsi" w:cstheme="minorHAnsi"/>
                <w:sz w:val="22"/>
              </w:rPr>
              <w:t>oncordance</w:t>
            </w:r>
          </w:p>
          <w:p w14:paraId="07C6C8DB" w14:textId="347DF02E" w:rsidR="00A8675B" w:rsidRPr="00392F4C" w:rsidRDefault="00165873" w:rsidP="00C84C72">
            <w:pPr>
              <w:pStyle w:val="TableTextbullet"/>
              <w:rPr>
                <w:rFonts w:asciiTheme="minorHAnsi" w:hAnsiTheme="minorHAnsi" w:cstheme="minorHAnsi"/>
                <w:sz w:val="22"/>
              </w:rPr>
            </w:pPr>
            <w:r w:rsidRPr="00392F4C">
              <w:rPr>
                <w:rFonts w:asciiTheme="minorHAnsi" w:hAnsiTheme="minorHAnsi" w:cstheme="minorHAnsi"/>
                <w:sz w:val="22"/>
              </w:rPr>
              <w:t xml:space="preserve">prognostic </w:t>
            </w:r>
            <w:r w:rsidR="00601884" w:rsidRPr="00392F4C">
              <w:rPr>
                <w:rFonts w:asciiTheme="minorHAnsi" w:hAnsiTheme="minorHAnsi" w:cstheme="minorHAnsi"/>
                <w:sz w:val="22"/>
              </w:rPr>
              <w:t>and predictive value</w:t>
            </w:r>
          </w:p>
          <w:p w14:paraId="51484E4E" w14:textId="289FD3AE" w:rsidR="00965540" w:rsidRPr="00392F4C" w:rsidRDefault="009072D2" w:rsidP="00C84C72">
            <w:pPr>
              <w:pStyle w:val="TableTextbullet"/>
              <w:rPr>
                <w:rFonts w:asciiTheme="minorHAnsi" w:hAnsiTheme="minorHAnsi" w:cstheme="minorHAnsi"/>
                <w:sz w:val="22"/>
              </w:rPr>
            </w:pPr>
            <w:r w:rsidRPr="00392F4C">
              <w:rPr>
                <w:rFonts w:asciiTheme="minorHAnsi" w:hAnsiTheme="minorHAnsi" w:cstheme="minorHAnsi"/>
                <w:sz w:val="22"/>
              </w:rPr>
              <w:t>rate</w:t>
            </w:r>
            <w:r w:rsidR="000134F6" w:rsidRPr="00392F4C">
              <w:rPr>
                <w:rFonts w:asciiTheme="minorHAnsi" w:hAnsiTheme="minorHAnsi" w:cstheme="minorHAnsi"/>
                <w:sz w:val="22"/>
              </w:rPr>
              <w:t xml:space="preserve"> of test failure/repeat testing</w:t>
            </w:r>
          </w:p>
          <w:p w14:paraId="3AFACA76" w14:textId="1C08D843" w:rsidR="009072D2" w:rsidRPr="00392F4C" w:rsidRDefault="009072D2" w:rsidP="009072D2">
            <w:pPr>
              <w:pStyle w:val="TableText0"/>
              <w:rPr>
                <w:rFonts w:asciiTheme="minorHAnsi" w:hAnsiTheme="minorHAnsi" w:cstheme="minorHAnsi"/>
                <w:sz w:val="22"/>
              </w:rPr>
            </w:pPr>
            <w:r w:rsidRPr="00392F4C">
              <w:rPr>
                <w:rFonts w:asciiTheme="minorHAnsi" w:hAnsiTheme="minorHAnsi" w:cstheme="minorHAnsi"/>
                <w:sz w:val="22"/>
              </w:rPr>
              <w:t>Change in management</w:t>
            </w:r>
          </w:p>
          <w:p w14:paraId="56064A4B" w14:textId="2D817BF0" w:rsidR="00DC38E7" w:rsidRPr="00392F4C" w:rsidRDefault="00165873" w:rsidP="009072D2">
            <w:pPr>
              <w:pStyle w:val="TableTextbullet"/>
              <w:rPr>
                <w:rFonts w:asciiTheme="minorHAnsi" w:hAnsiTheme="minorHAnsi" w:cstheme="minorHAnsi"/>
                <w:sz w:val="22"/>
              </w:rPr>
            </w:pPr>
            <w:r w:rsidRPr="00392F4C">
              <w:rPr>
                <w:rFonts w:asciiTheme="minorHAnsi" w:hAnsiTheme="minorHAnsi" w:cstheme="minorHAnsi"/>
                <w:sz w:val="22"/>
              </w:rPr>
              <w:t xml:space="preserve">change </w:t>
            </w:r>
            <w:r w:rsidR="00987A4B" w:rsidRPr="00392F4C">
              <w:rPr>
                <w:rFonts w:asciiTheme="minorHAnsi" w:hAnsiTheme="minorHAnsi" w:cstheme="minorHAnsi"/>
                <w:sz w:val="22"/>
              </w:rPr>
              <w:t>in treatment (treatment ceased, treatment initiated</w:t>
            </w:r>
            <w:r w:rsidR="008279B5" w:rsidRPr="00392F4C">
              <w:rPr>
                <w:rFonts w:asciiTheme="minorHAnsi" w:hAnsiTheme="minorHAnsi" w:cstheme="minorHAnsi"/>
                <w:sz w:val="22"/>
              </w:rPr>
              <w:t>, treatment avoided</w:t>
            </w:r>
            <w:r w:rsidR="00987A4B" w:rsidRPr="00392F4C">
              <w:rPr>
                <w:rFonts w:asciiTheme="minorHAnsi" w:hAnsiTheme="minorHAnsi" w:cstheme="minorHAnsi"/>
                <w:sz w:val="22"/>
              </w:rPr>
              <w:t>)</w:t>
            </w:r>
          </w:p>
          <w:p w14:paraId="72C1E28A" w14:textId="410A6E6C" w:rsidR="009072D2" w:rsidRPr="00392F4C" w:rsidRDefault="00165873" w:rsidP="009072D2">
            <w:pPr>
              <w:pStyle w:val="TableTextbullet"/>
              <w:rPr>
                <w:rFonts w:asciiTheme="minorHAnsi" w:hAnsiTheme="minorHAnsi" w:cstheme="minorHAnsi"/>
                <w:sz w:val="22"/>
              </w:rPr>
            </w:pPr>
            <w:r w:rsidRPr="00392F4C">
              <w:rPr>
                <w:rFonts w:asciiTheme="minorHAnsi" w:hAnsiTheme="minorHAnsi" w:cstheme="minorHAnsi"/>
                <w:sz w:val="22"/>
              </w:rPr>
              <w:t xml:space="preserve">adherence </w:t>
            </w:r>
            <w:r w:rsidR="00FA66CA" w:rsidRPr="00392F4C">
              <w:rPr>
                <w:rFonts w:asciiTheme="minorHAnsi" w:hAnsiTheme="minorHAnsi" w:cstheme="minorHAnsi"/>
                <w:sz w:val="22"/>
              </w:rPr>
              <w:t>to monitoring</w:t>
            </w:r>
          </w:p>
          <w:p w14:paraId="7340C7CD" w14:textId="27176BB0" w:rsidR="00DC38E7" w:rsidRPr="00392F4C" w:rsidRDefault="0051282E" w:rsidP="0051282E">
            <w:pPr>
              <w:pStyle w:val="TableText0"/>
              <w:rPr>
                <w:rFonts w:asciiTheme="minorHAnsi" w:hAnsiTheme="minorHAnsi" w:cstheme="minorHAnsi"/>
                <w:sz w:val="22"/>
              </w:rPr>
            </w:pPr>
            <w:r w:rsidRPr="00392F4C">
              <w:rPr>
                <w:rFonts w:asciiTheme="minorHAnsi" w:hAnsiTheme="minorHAnsi" w:cstheme="minorHAnsi"/>
                <w:sz w:val="22"/>
              </w:rPr>
              <w:t xml:space="preserve">Patient health outcomes </w:t>
            </w:r>
          </w:p>
          <w:p w14:paraId="0860BFA8" w14:textId="61998607" w:rsidR="00106591" w:rsidRPr="00392F4C" w:rsidRDefault="00165873" w:rsidP="0051282E">
            <w:pPr>
              <w:pStyle w:val="TableTextbullet"/>
              <w:rPr>
                <w:rFonts w:asciiTheme="minorHAnsi" w:hAnsiTheme="minorHAnsi" w:cstheme="minorHAnsi"/>
                <w:sz w:val="22"/>
              </w:rPr>
            </w:pPr>
            <w:r w:rsidRPr="00392F4C">
              <w:rPr>
                <w:rFonts w:asciiTheme="minorHAnsi" w:hAnsiTheme="minorHAnsi" w:cstheme="minorHAnsi"/>
                <w:sz w:val="22"/>
              </w:rPr>
              <w:t>mortality</w:t>
            </w:r>
          </w:p>
          <w:p w14:paraId="7FCC5B53" w14:textId="7F75E192" w:rsidR="00106591" w:rsidRPr="00392F4C" w:rsidRDefault="00165873" w:rsidP="0051282E">
            <w:pPr>
              <w:pStyle w:val="TableTextbullet"/>
              <w:rPr>
                <w:rFonts w:asciiTheme="minorHAnsi" w:hAnsiTheme="minorHAnsi" w:cstheme="minorHAnsi"/>
                <w:sz w:val="22"/>
              </w:rPr>
            </w:pPr>
            <w:r w:rsidRPr="00392F4C">
              <w:rPr>
                <w:rFonts w:asciiTheme="minorHAnsi" w:hAnsiTheme="minorHAnsi" w:cstheme="minorHAnsi"/>
                <w:sz w:val="22"/>
              </w:rPr>
              <w:t>morbidity</w:t>
            </w:r>
          </w:p>
          <w:p w14:paraId="06AB1700" w14:textId="598E9A97" w:rsidR="0051282E" w:rsidRPr="00392F4C" w:rsidRDefault="00165873" w:rsidP="0051282E">
            <w:pPr>
              <w:pStyle w:val="TableTextbullet"/>
              <w:rPr>
                <w:rFonts w:asciiTheme="minorHAnsi" w:hAnsiTheme="minorHAnsi" w:cstheme="minorHAnsi"/>
                <w:sz w:val="22"/>
              </w:rPr>
            </w:pPr>
            <w:r w:rsidRPr="00392F4C">
              <w:rPr>
                <w:rFonts w:asciiTheme="minorHAnsi" w:hAnsiTheme="minorHAnsi" w:cstheme="minorHAnsi"/>
                <w:sz w:val="22"/>
              </w:rPr>
              <w:t xml:space="preserve">time </w:t>
            </w:r>
            <w:r w:rsidR="00DD2E8A" w:rsidRPr="00392F4C">
              <w:rPr>
                <w:rFonts w:asciiTheme="minorHAnsi" w:hAnsiTheme="minorHAnsi" w:cstheme="minorHAnsi"/>
                <w:sz w:val="22"/>
              </w:rPr>
              <w:t xml:space="preserve">to </w:t>
            </w:r>
            <w:r w:rsidR="00527426" w:rsidRPr="00392F4C">
              <w:rPr>
                <w:rFonts w:asciiTheme="minorHAnsi" w:hAnsiTheme="minorHAnsi" w:cstheme="minorHAnsi"/>
                <w:sz w:val="22"/>
              </w:rPr>
              <w:t>exacerbation/</w:t>
            </w:r>
            <w:r w:rsidR="00DD2E8A" w:rsidRPr="00392F4C">
              <w:rPr>
                <w:rFonts w:asciiTheme="minorHAnsi" w:hAnsiTheme="minorHAnsi" w:cstheme="minorHAnsi"/>
                <w:sz w:val="22"/>
              </w:rPr>
              <w:t>relapse</w:t>
            </w:r>
          </w:p>
          <w:p w14:paraId="1B03DFBE" w14:textId="59A5989F" w:rsidR="002E7895" w:rsidRPr="00392F4C" w:rsidRDefault="00165873" w:rsidP="002E7895">
            <w:pPr>
              <w:pStyle w:val="TableTextbullet"/>
              <w:rPr>
                <w:rFonts w:asciiTheme="minorHAnsi" w:hAnsiTheme="minorHAnsi" w:cstheme="minorHAnsi"/>
                <w:sz w:val="22"/>
              </w:rPr>
            </w:pPr>
            <w:r w:rsidRPr="00392F4C">
              <w:rPr>
                <w:rFonts w:asciiTheme="minorHAnsi" w:hAnsiTheme="minorHAnsi" w:cstheme="minorHAnsi"/>
                <w:sz w:val="22"/>
              </w:rPr>
              <w:t>health</w:t>
            </w:r>
            <w:r w:rsidR="00053156" w:rsidRPr="00392F4C">
              <w:rPr>
                <w:rFonts w:asciiTheme="minorHAnsi" w:hAnsiTheme="minorHAnsi" w:cstheme="minorHAnsi"/>
                <w:sz w:val="22"/>
              </w:rPr>
              <w:t>-</w:t>
            </w:r>
            <w:r w:rsidR="003F3498" w:rsidRPr="00392F4C">
              <w:rPr>
                <w:rFonts w:asciiTheme="minorHAnsi" w:hAnsiTheme="minorHAnsi" w:cstheme="minorHAnsi"/>
                <w:sz w:val="22"/>
              </w:rPr>
              <w:t>related quality of life</w:t>
            </w:r>
          </w:p>
          <w:p w14:paraId="714C3737" w14:textId="77777777" w:rsidR="00CE0545" w:rsidRPr="00392F4C" w:rsidRDefault="00CE0545">
            <w:pPr>
              <w:pStyle w:val="Tabletext"/>
              <w:rPr>
                <w:rFonts w:asciiTheme="minorHAnsi" w:hAnsiTheme="minorHAnsi" w:cstheme="minorHAnsi"/>
                <w:b/>
                <w:bCs/>
                <w:sz w:val="22"/>
                <w:szCs w:val="22"/>
              </w:rPr>
            </w:pPr>
            <w:r w:rsidRPr="00392F4C">
              <w:rPr>
                <w:rFonts w:asciiTheme="minorHAnsi" w:hAnsiTheme="minorHAnsi" w:cstheme="minorHAnsi"/>
                <w:b/>
                <w:bCs/>
                <w:sz w:val="22"/>
                <w:szCs w:val="22"/>
              </w:rPr>
              <w:t>Health care resources</w:t>
            </w:r>
          </w:p>
          <w:p w14:paraId="0CC8C13B" w14:textId="0A3625D8" w:rsidR="002F609C" w:rsidRPr="00392F4C" w:rsidRDefault="00165873" w:rsidP="002F609C">
            <w:pPr>
              <w:pStyle w:val="TableTextbullet"/>
              <w:rPr>
                <w:rFonts w:asciiTheme="minorHAnsi" w:hAnsiTheme="minorHAnsi" w:cstheme="minorHAnsi"/>
                <w:sz w:val="22"/>
              </w:rPr>
            </w:pPr>
            <w:r w:rsidRPr="00392F4C">
              <w:rPr>
                <w:rFonts w:asciiTheme="minorHAnsi" w:hAnsiTheme="minorHAnsi" w:cstheme="minorHAnsi"/>
                <w:sz w:val="22"/>
              </w:rPr>
              <w:t xml:space="preserve">cost </w:t>
            </w:r>
            <w:r w:rsidR="002F609C" w:rsidRPr="00392F4C">
              <w:rPr>
                <w:rFonts w:asciiTheme="minorHAnsi" w:hAnsiTheme="minorHAnsi" w:cstheme="minorHAnsi"/>
                <w:sz w:val="22"/>
              </w:rPr>
              <w:t>of testing</w:t>
            </w:r>
            <w:r w:rsidR="00E27A43" w:rsidRPr="00392F4C">
              <w:rPr>
                <w:rFonts w:asciiTheme="minorHAnsi" w:hAnsiTheme="minorHAnsi" w:cstheme="minorHAnsi"/>
                <w:sz w:val="22"/>
              </w:rPr>
              <w:t>/monitoring</w:t>
            </w:r>
          </w:p>
          <w:p w14:paraId="13EF3D28" w14:textId="47D9C40B" w:rsidR="00CE0545" w:rsidRPr="00392F4C" w:rsidRDefault="00CE0545">
            <w:pPr>
              <w:pStyle w:val="Tabletext"/>
              <w:rPr>
                <w:rFonts w:asciiTheme="minorHAnsi" w:hAnsiTheme="minorHAnsi" w:cstheme="minorHAnsi"/>
                <w:b/>
                <w:bCs/>
                <w:sz w:val="22"/>
                <w:szCs w:val="22"/>
              </w:rPr>
            </w:pPr>
            <w:r w:rsidRPr="00392F4C">
              <w:rPr>
                <w:rFonts w:asciiTheme="minorHAnsi" w:hAnsiTheme="minorHAnsi" w:cstheme="minorHAnsi"/>
                <w:b/>
                <w:bCs/>
                <w:sz w:val="22"/>
                <w:szCs w:val="22"/>
              </w:rPr>
              <w:t>Cost-effectiveness</w:t>
            </w:r>
          </w:p>
          <w:p w14:paraId="5C09EAE4" w14:textId="77777777"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b/>
                <w:bCs/>
                <w:sz w:val="22"/>
                <w:szCs w:val="22"/>
              </w:rPr>
              <w:t>Total Australian Government health care costs</w:t>
            </w:r>
          </w:p>
        </w:tc>
      </w:tr>
      <w:tr w:rsidR="00CE0545" w:rsidRPr="00392F4C" w14:paraId="49F0438F" w14:textId="77777777">
        <w:tc>
          <w:tcPr>
            <w:tcW w:w="1005" w:type="pct"/>
            <w:tcBorders>
              <w:top w:val="single" w:sz="4" w:space="0" w:color="auto"/>
              <w:left w:val="single" w:sz="8" w:space="0" w:color="auto"/>
              <w:bottom w:val="single" w:sz="8" w:space="0" w:color="auto"/>
              <w:right w:val="single" w:sz="4" w:space="0" w:color="auto"/>
            </w:tcBorders>
          </w:tcPr>
          <w:p w14:paraId="230FAC44" w14:textId="77777777" w:rsidR="00CE0545" w:rsidRPr="00392F4C" w:rsidRDefault="00CE0545">
            <w:pPr>
              <w:pStyle w:val="Tabletext"/>
              <w:rPr>
                <w:rFonts w:asciiTheme="minorHAnsi" w:hAnsiTheme="minorHAnsi" w:cstheme="minorHAnsi"/>
                <w:sz w:val="22"/>
                <w:szCs w:val="22"/>
              </w:rPr>
            </w:pPr>
            <w:r w:rsidRPr="00392F4C">
              <w:rPr>
                <w:rFonts w:asciiTheme="minorHAnsi" w:hAnsiTheme="minorHAnsi" w:cstheme="minorHAnsi"/>
                <w:sz w:val="22"/>
                <w:szCs w:val="22"/>
              </w:rPr>
              <w:t>Assessment questions</w:t>
            </w:r>
          </w:p>
        </w:tc>
        <w:tc>
          <w:tcPr>
            <w:tcW w:w="3995" w:type="pct"/>
            <w:tcBorders>
              <w:top w:val="single" w:sz="4" w:space="0" w:color="auto"/>
              <w:left w:val="single" w:sz="4" w:space="0" w:color="auto"/>
              <w:bottom w:val="single" w:sz="4" w:space="0" w:color="auto"/>
              <w:right w:val="single" w:sz="4" w:space="0" w:color="auto"/>
            </w:tcBorders>
          </w:tcPr>
          <w:p w14:paraId="14DE5247" w14:textId="4299D069" w:rsidR="00F33462" w:rsidRPr="00392F4C" w:rsidRDefault="00CE0545" w:rsidP="00F33462">
            <w:pPr>
              <w:pStyle w:val="Tabletext"/>
              <w:rPr>
                <w:rFonts w:asciiTheme="minorHAnsi" w:hAnsiTheme="minorHAnsi" w:cstheme="minorHAnsi"/>
                <w:sz w:val="22"/>
                <w:szCs w:val="22"/>
              </w:rPr>
            </w:pPr>
            <w:r w:rsidRPr="00392F4C">
              <w:rPr>
                <w:rFonts w:asciiTheme="minorHAnsi" w:hAnsiTheme="minorHAnsi" w:cstheme="minorHAnsi"/>
                <w:sz w:val="22"/>
                <w:szCs w:val="22"/>
              </w:rPr>
              <w:t xml:space="preserve">What is the </w:t>
            </w:r>
            <w:r w:rsidR="00B04337" w:rsidRPr="00392F4C">
              <w:rPr>
                <w:rFonts w:asciiTheme="minorHAnsi" w:hAnsiTheme="minorHAnsi" w:cstheme="minorHAnsi"/>
                <w:sz w:val="22"/>
                <w:szCs w:val="22"/>
              </w:rPr>
              <w:t xml:space="preserve">comparative </w:t>
            </w:r>
            <w:r w:rsidRPr="00392F4C">
              <w:rPr>
                <w:rFonts w:asciiTheme="minorHAnsi" w:hAnsiTheme="minorHAnsi" w:cstheme="minorHAnsi"/>
                <w:sz w:val="22"/>
                <w:szCs w:val="22"/>
              </w:rPr>
              <w:t xml:space="preserve">safety, effectiveness and cost-effectiveness of </w:t>
            </w:r>
            <w:r w:rsidR="00CD5AAC" w:rsidRPr="00392F4C">
              <w:rPr>
                <w:rFonts w:asciiTheme="minorHAnsi" w:hAnsiTheme="minorHAnsi" w:cstheme="minorHAnsi"/>
                <w:sz w:val="22"/>
                <w:szCs w:val="22"/>
              </w:rPr>
              <w:t xml:space="preserve">repeat </w:t>
            </w:r>
            <w:r w:rsidRPr="00392F4C">
              <w:rPr>
                <w:rFonts w:asciiTheme="minorHAnsi" w:hAnsiTheme="minorHAnsi" w:cstheme="minorHAnsi"/>
                <w:sz w:val="22"/>
                <w:szCs w:val="22"/>
              </w:rPr>
              <w:t>ADAMT</w:t>
            </w:r>
            <w:r w:rsidR="00F332FB" w:rsidRPr="00392F4C">
              <w:rPr>
                <w:rFonts w:asciiTheme="minorHAnsi" w:hAnsiTheme="minorHAnsi" w:cstheme="minorHAnsi"/>
                <w:sz w:val="22"/>
                <w:szCs w:val="22"/>
              </w:rPr>
              <w:t>S</w:t>
            </w:r>
            <w:r w:rsidRPr="00392F4C">
              <w:rPr>
                <w:rFonts w:asciiTheme="minorHAnsi" w:hAnsiTheme="minorHAnsi" w:cstheme="minorHAnsi"/>
                <w:sz w:val="22"/>
                <w:szCs w:val="22"/>
              </w:rPr>
              <w:t xml:space="preserve">13 activity testing </w:t>
            </w:r>
            <w:r w:rsidR="006A43C0" w:rsidRPr="00392F4C">
              <w:rPr>
                <w:rFonts w:asciiTheme="minorHAnsi" w:hAnsiTheme="minorHAnsi" w:cstheme="minorHAnsi"/>
                <w:sz w:val="22"/>
                <w:szCs w:val="22"/>
              </w:rPr>
              <w:t xml:space="preserve">versus no </w:t>
            </w:r>
            <w:r w:rsidR="001751A7" w:rsidRPr="00392F4C">
              <w:rPr>
                <w:rFonts w:asciiTheme="minorHAnsi" w:hAnsiTheme="minorHAnsi" w:cstheme="minorHAnsi"/>
                <w:sz w:val="22"/>
                <w:szCs w:val="22"/>
              </w:rPr>
              <w:t xml:space="preserve">repeat </w:t>
            </w:r>
            <w:r w:rsidR="006A43C0" w:rsidRPr="00392F4C">
              <w:rPr>
                <w:rFonts w:asciiTheme="minorHAnsi" w:hAnsiTheme="minorHAnsi" w:cstheme="minorHAnsi"/>
                <w:sz w:val="22"/>
                <w:szCs w:val="22"/>
              </w:rPr>
              <w:t xml:space="preserve">ADAMTS13 activity testing </w:t>
            </w:r>
            <w:r w:rsidRPr="00392F4C">
              <w:rPr>
                <w:rFonts w:asciiTheme="minorHAnsi" w:hAnsiTheme="minorHAnsi" w:cstheme="minorHAnsi"/>
                <w:sz w:val="22"/>
                <w:szCs w:val="22"/>
              </w:rPr>
              <w:t xml:space="preserve">for </w:t>
            </w:r>
            <w:r w:rsidR="00FC7F35" w:rsidRPr="00392F4C">
              <w:rPr>
                <w:rFonts w:asciiTheme="minorHAnsi" w:hAnsiTheme="minorHAnsi" w:cstheme="minorHAnsi"/>
                <w:sz w:val="22"/>
                <w:szCs w:val="22"/>
              </w:rPr>
              <w:t xml:space="preserve">predicting </w:t>
            </w:r>
            <w:r w:rsidR="000103E2" w:rsidRPr="00392F4C">
              <w:rPr>
                <w:rFonts w:asciiTheme="minorHAnsi" w:hAnsiTheme="minorHAnsi" w:cstheme="minorHAnsi"/>
                <w:sz w:val="22"/>
                <w:szCs w:val="22"/>
              </w:rPr>
              <w:t xml:space="preserve">exacerbation and </w:t>
            </w:r>
            <w:r w:rsidRPr="00392F4C">
              <w:rPr>
                <w:rFonts w:asciiTheme="minorHAnsi" w:hAnsiTheme="minorHAnsi" w:cstheme="minorHAnsi"/>
                <w:sz w:val="22"/>
                <w:szCs w:val="22"/>
              </w:rPr>
              <w:t>relapse in patients diagnosed with TTP?</w:t>
            </w:r>
          </w:p>
          <w:p w14:paraId="260177BC" w14:textId="77777777" w:rsidR="007343E5" w:rsidRPr="00392F4C" w:rsidRDefault="007343E5" w:rsidP="00F33462">
            <w:pPr>
              <w:pStyle w:val="Tabletext"/>
              <w:rPr>
                <w:rFonts w:asciiTheme="minorHAnsi" w:hAnsiTheme="minorHAnsi" w:cstheme="minorHAnsi"/>
                <w:color w:val="000000" w:themeColor="text1"/>
                <w:sz w:val="22"/>
                <w:szCs w:val="22"/>
                <w:u w:val="single"/>
              </w:rPr>
            </w:pPr>
            <w:bookmarkStart w:id="4" w:name="_Hlk192494986"/>
            <w:r w:rsidRPr="00392F4C">
              <w:rPr>
                <w:rFonts w:asciiTheme="minorHAnsi" w:hAnsiTheme="minorHAnsi" w:cstheme="minorHAnsi"/>
                <w:color w:val="000000" w:themeColor="text1"/>
                <w:sz w:val="22"/>
                <w:szCs w:val="22"/>
                <w:u w:val="single"/>
              </w:rPr>
              <w:t>Direct evidence</w:t>
            </w:r>
          </w:p>
          <w:p w14:paraId="03B70ADD" w14:textId="0DDFFE53" w:rsidR="007343E5" w:rsidRPr="00392F4C" w:rsidRDefault="00DA0B23" w:rsidP="00F575CB">
            <w:pPr>
              <w:pStyle w:val="Tabletext"/>
              <w:numPr>
                <w:ilvl w:val="0"/>
                <w:numId w:val="8"/>
              </w:numPr>
              <w:rPr>
                <w:rFonts w:asciiTheme="minorHAnsi" w:hAnsiTheme="minorHAnsi" w:cstheme="minorHAnsi"/>
                <w:color w:val="000000" w:themeColor="text1"/>
                <w:sz w:val="22"/>
                <w:szCs w:val="22"/>
                <w:u w:val="single"/>
              </w:rPr>
            </w:pPr>
            <w:r w:rsidRPr="00392F4C">
              <w:rPr>
                <w:rFonts w:asciiTheme="minorHAnsi" w:hAnsiTheme="minorHAnsi" w:cstheme="minorHAnsi"/>
                <w:color w:val="000000" w:themeColor="text1"/>
                <w:sz w:val="22"/>
                <w:szCs w:val="22"/>
              </w:rPr>
              <w:t xml:space="preserve">In patients </w:t>
            </w:r>
            <w:r w:rsidR="00B92E49" w:rsidRPr="00392F4C">
              <w:rPr>
                <w:rFonts w:asciiTheme="minorHAnsi" w:hAnsiTheme="minorHAnsi" w:cstheme="minorHAnsi"/>
                <w:color w:val="000000" w:themeColor="text1"/>
                <w:sz w:val="22"/>
                <w:szCs w:val="22"/>
              </w:rPr>
              <w:t>with a confirmed diagnosis of TTP</w:t>
            </w:r>
            <w:r w:rsidR="004B5A43" w:rsidRPr="00392F4C">
              <w:rPr>
                <w:rFonts w:asciiTheme="minorHAnsi" w:hAnsiTheme="minorHAnsi" w:cstheme="minorHAnsi"/>
                <w:color w:val="000000" w:themeColor="text1"/>
                <w:sz w:val="22"/>
                <w:szCs w:val="22"/>
              </w:rPr>
              <w:t xml:space="preserve"> does the use of ADAMTS13 activity testing </w:t>
            </w:r>
            <w:r w:rsidR="000420FD" w:rsidRPr="00392F4C">
              <w:rPr>
                <w:rFonts w:asciiTheme="minorHAnsi" w:hAnsiTheme="minorHAnsi" w:cstheme="minorHAnsi"/>
                <w:color w:val="000000" w:themeColor="text1"/>
                <w:sz w:val="22"/>
                <w:szCs w:val="22"/>
              </w:rPr>
              <w:t xml:space="preserve">to predict </w:t>
            </w:r>
            <w:r w:rsidR="00FF5E8F" w:rsidRPr="00392F4C">
              <w:rPr>
                <w:rFonts w:asciiTheme="minorHAnsi" w:hAnsiTheme="minorHAnsi" w:cstheme="minorHAnsi"/>
                <w:color w:val="000000" w:themeColor="text1"/>
                <w:sz w:val="22"/>
                <w:szCs w:val="22"/>
              </w:rPr>
              <w:t xml:space="preserve">exacerbation and </w:t>
            </w:r>
            <w:r w:rsidR="000420FD" w:rsidRPr="00392F4C">
              <w:rPr>
                <w:rFonts w:asciiTheme="minorHAnsi" w:hAnsiTheme="minorHAnsi" w:cstheme="minorHAnsi"/>
                <w:color w:val="000000" w:themeColor="text1"/>
                <w:sz w:val="22"/>
                <w:szCs w:val="22"/>
              </w:rPr>
              <w:t>relapse</w:t>
            </w:r>
            <w:r w:rsidR="004B5A43" w:rsidRPr="00392F4C">
              <w:rPr>
                <w:rFonts w:asciiTheme="minorHAnsi" w:hAnsiTheme="minorHAnsi" w:cstheme="minorHAnsi"/>
                <w:color w:val="000000" w:themeColor="text1"/>
                <w:sz w:val="22"/>
                <w:szCs w:val="22"/>
              </w:rPr>
              <w:t xml:space="preserve"> </w:t>
            </w:r>
            <w:r w:rsidR="009662AD" w:rsidRPr="00392F4C">
              <w:rPr>
                <w:rFonts w:asciiTheme="minorHAnsi" w:hAnsiTheme="minorHAnsi" w:cstheme="minorHAnsi"/>
                <w:color w:val="000000" w:themeColor="text1"/>
                <w:sz w:val="22"/>
                <w:szCs w:val="22"/>
              </w:rPr>
              <w:t xml:space="preserve">result in </w:t>
            </w:r>
            <w:r w:rsidR="00EA0B87" w:rsidRPr="00392F4C">
              <w:rPr>
                <w:rFonts w:asciiTheme="minorHAnsi" w:hAnsiTheme="minorHAnsi" w:cstheme="minorHAnsi"/>
                <w:color w:val="000000" w:themeColor="text1"/>
                <w:sz w:val="22"/>
                <w:szCs w:val="22"/>
              </w:rPr>
              <w:t>improved health outcomes</w:t>
            </w:r>
            <w:r w:rsidR="007F38DB" w:rsidRPr="00392F4C">
              <w:rPr>
                <w:rFonts w:asciiTheme="minorHAnsi" w:hAnsiTheme="minorHAnsi" w:cstheme="minorHAnsi"/>
                <w:color w:val="000000" w:themeColor="text1"/>
                <w:sz w:val="22"/>
                <w:szCs w:val="22"/>
              </w:rPr>
              <w:t xml:space="preserve"> compared to no ADAMTS13 </w:t>
            </w:r>
            <w:r w:rsidR="000B04E8" w:rsidRPr="00392F4C">
              <w:rPr>
                <w:rFonts w:asciiTheme="minorHAnsi" w:hAnsiTheme="minorHAnsi" w:cstheme="minorHAnsi"/>
                <w:color w:val="000000" w:themeColor="text1"/>
                <w:sz w:val="22"/>
                <w:szCs w:val="22"/>
              </w:rPr>
              <w:t xml:space="preserve">activity </w:t>
            </w:r>
            <w:r w:rsidR="007F38DB" w:rsidRPr="00392F4C">
              <w:rPr>
                <w:rFonts w:asciiTheme="minorHAnsi" w:hAnsiTheme="minorHAnsi" w:cstheme="minorHAnsi"/>
                <w:color w:val="000000" w:themeColor="text1"/>
                <w:sz w:val="22"/>
                <w:szCs w:val="22"/>
              </w:rPr>
              <w:t>testing</w:t>
            </w:r>
            <w:r w:rsidR="00F17C43" w:rsidRPr="00392F4C">
              <w:rPr>
                <w:rFonts w:asciiTheme="minorHAnsi" w:hAnsiTheme="minorHAnsi" w:cstheme="minorHAnsi"/>
                <w:color w:val="000000" w:themeColor="text1"/>
                <w:sz w:val="22"/>
                <w:szCs w:val="22"/>
              </w:rPr>
              <w:t>?</w:t>
            </w:r>
          </w:p>
          <w:p w14:paraId="16631041" w14:textId="77777777" w:rsidR="00F17C43" w:rsidRPr="00392F4C" w:rsidRDefault="00F17C43" w:rsidP="00FB777C">
            <w:pPr>
              <w:pStyle w:val="Tabletext"/>
              <w:keepNext/>
              <w:keepLines/>
              <w:rPr>
                <w:rFonts w:asciiTheme="minorHAnsi" w:hAnsiTheme="minorHAnsi" w:cstheme="minorHAnsi"/>
                <w:color w:val="000000" w:themeColor="text1"/>
                <w:sz w:val="22"/>
                <w:szCs w:val="22"/>
                <w:u w:val="single"/>
              </w:rPr>
            </w:pPr>
            <w:r w:rsidRPr="00392F4C">
              <w:rPr>
                <w:rFonts w:asciiTheme="minorHAnsi" w:hAnsiTheme="minorHAnsi" w:cstheme="minorHAnsi"/>
                <w:color w:val="000000" w:themeColor="text1"/>
                <w:sz w:val="22"/>
                <w:szCs w:val="22"/>
                <w:u w:val="single"/>
              </w:rPr>
              <w:lastRenderedPageBreak/>
              <w:t>Indirect evidence</w:t>
            </w:r>
          </w:p>
          <w:p w14:paraId="15037046" w14:textId="002F7A83" w:rsidR="00BC35C1" w:rsidRPr="00392F4C" w:rsidRDefault="00F17C43" w:rsidP="00FB777C">
            <w:pPr>
              <w:pStyle w:val="Tabletext"/>
              <w:keepNext/>
              <w:keepLines/>
              <w:numPr>
                <w:ilvl w:val="0"/>
                <w:numId w:val="8"/>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 xml:space="preserve">In patients with a confirmed </w:t>
            </w:r>
            <w:r w:rsidR="006B4C6A" w:rsidRPr="00392F4C">
              <w:rPr>
                <w:rFonts w:asciiTheme="minorHAnsi" w:hAnsiTheme="minorHAnsi" w:cstheme="minorHAnsi"/>
                <w:color w:val="000000" w:themeColor="text1"/>
                <w:sz w:val="22"/>
                <w:szCs w:val="22"/>
              </w:rPr>
              <w:t>diagnosis of TTP</w:t>
            </w:r>
            <w:r w:rsidR="00FE43F0" w:rsidRPr="00392F4C">
              <w:rPr>
                <w:rFonts w:asciiTheme="minorHAnsi" w:hAnsiTheme="minorHAnsi" w:cstheme="minorHAnsi"/>
                <w:color w:val="000000" w:themeColor="text1"/>
                <w:sz w:val="22"/>
                <w:szCs w:val="22"/>
              </w:rPr>
              <w:t>,</w:t>
            </w:r>
            <w:r w:rsidR="006B4C6A" w:rsidRPr="00392F4C">
              <w:rPr>
                <w:rFonts w:asciiTheme="minorHAnsi" w:hAnsiTheme="minorHAnsi" w:cstheme="minorHAnsi"/>
                <w:color w:val="000000" w:themeColor="text1"/>
                <w:sz w:val="22"/>
                <w:szCs w:val="22"/>
              </w:rPr>
              <w:t xml:space="preserve"> </w:t>
            </w:r>
            <w:r w:rsidR="00775099" w:rsidRPr="00392F4C">
              <w:rPr>
                <w:rFonts w:asciiTheme="minorHAnsi" w:hAnsiTheme="minorHAnsi" w:cstheme="minorHAnsi"/>
                <w:color w:val="000000" w:themeColor="text1"/>
                <w:sz w:val="22"/>
                <w:szCs w:val="22"/>
              </w:rPr>
              <w:t xml:space="preserve">how </w:t>
            </w:r>
            <w:r w:rsidR="006B4C6A" w:rsidRPr="00392F4C">
              <w:rPr>
                <w:rFonts w:asciiTheme="minorHAnsi" w:hAnsiTheme="minorHAnsi" w:cstheme="minorHAnsi"/>
                <w:color w:val="000000" w:themeColor="text1"/>
                <w:sz w:val="22"/>
                <w:szCs w:val="22"/>
              </w:rPr>
              <w:t xml:space="preserve">does the </w:t>
            </w:r>
            <w:r w:rsidR="00775099" w:rsidRPr="00392F4C">
              <w:rPr>
                <w:rFonts w:asciiTheme="minorHAnsi" w:hAnsiTheme="minorHAnsi" w:cstheme="minorHAnsi"/>
                <w:color w:val="000000" w:themeColor="text1"/>
                <w:sz w:val="22"/>
                <w:szCs w:val="22"/>
              </w:rPr>
              <w:t>information from</w:t>
            </w:r>
            <w:r w:rsidR="006B4C6A" w:rsidRPr="00392F4C">
              <w:rPr>
                <w:rFonts w:asciiTheme="minorHAnsi" w:hAnsiTheme="minorHAnsi" w:cstheme="minorHAnsi"/>
                <w:color w:val="000000" w:themeColor="text1"/>
                <w:sz w:val="22"/>
                <w:szCs w:val="22"/>
              </w:rPr>
              <w:t xml:space="preserve"> ADAMTS13</w:t>
            </w:r>
            <w:r w:rsidR="00775099" w:rsidRPr="00392F4C">
              <w:rPr>
                <w:rFonts w:asciiTheme="minorHAnsi" w:hAnsiTheme="minorHAnsi" w:cstheme="minorHAnsi"/>
                <w:color w:val="000000" w:themeColor="text1"/>
                <w:sz w:val="22"/>
                <w:szCs w:val="22"/>
              </w:rPr>
              <w:t xml:space="preserve"> activity testing </w:t>
            </w:r>
            <w:r w:rsidR="00F23955" w:rsidRPr="00392F4C">
              <w:rPr>
                <w:rFonts w:asciiTheme="minorHAnsi" w:hAnsiTheme="minorHAnsi" w:cstheme="minorHAnsi"/>
                <w:color w:val="000000" w:themeColor="text1"/>
                <w:sz w:val="22"/>
                <w:szCs w:val="22"/>
              </w:rPr>
              <w:t xml:space="preserve">differ from the information </w:t>
            </w:r>
            <w:r w:rsidR="006671E9" w:rsidRPr="00392F4C">
              <w:rPr>
                <w:rFonts w:asciiTheme="minorHAnsi" w:hAnsiTheme="minorHAnsi" w:cstheme="minorHAnsi"/>
                <w:color w:val="000000" w:themeColor="text1"/>
                <w:sz w:val="22"/>
                <w:szCs w:val="22"/>
              </w:rPr>
              <w:t>obtained without ADAMTS13 activity testing?</w:t>
            </w:r>
            <w:r w:rsidR="00B11556" w:rsidRPr="00392F4C">
              <w:rPr>
                <w:rFonts w:asciiTheme="minorHAnsi" w:hAnsiTheme="minorHAnsi" w:cstheme="minorHAnsi"/>
                <w:color w:val="000000" w:themeColor="text1"/>
                <w:sz w:val="22"/>
                <w:szCs w:val="22"/>
              </w:rPr>
              <w:t xml:space="preserve"> </w:t>
            </w:r>
          </w:p>
          <w:p w14:paraId="547700C9" w14:textId="16ACCEF2" w:rsidR="00F17C43" w:rsidRPr="00392F4C" w:rsidRDefault="00B11556" w:rsidP="00FB777C">
            <w:pPr>
              <w:pStyle w:val="Tabletext"/>
              <w:keepNext/>
              <w:keepLines/>
              <w:numPr>
                <w:ilvl w:val="0"/>
                <w:numId w:val="9"/>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What is the prognostic value of ADAMTS13 activity testing</w:t>
            </w:r>
            <w:r w:rsidR="000372CE" w:rsidRPr="00392F4C">
              <w:rPr>
                <w:rFonts w:asciiTheme="minorHAnsi" w:hAnsiTheme="minorHAnsi" w:cstheme="minorHAnsi"/>
                <w:color w:val="000000" w:themeColor="text1"/>
                <w:sz w:val="22"/>
                <w:szCs w:val="22"/>
              </w:rPr>
              <w:t xml:space="preserve"> for </w:t>
            </w:r>
            <w:r w:rsidR="0098630C" w:rsidRPr="00392F4C">
              <w:rPr>
                <w:rFonts w:asciiTheme="minorHAnsi" w:hAnsiTheme="minorHAnsi" w:cstheme="minorHAnsi"/>
                <w:color w:val="000000" w:themeColor="text1"/>
                <w:sz w:val="22"/>
                <w:szCs w:val="22"/>
              </w:rPr>
              <w:t xml:space="preserve">predicting </w:t>
            </w:r>
            <w:r w:rsidR="00BD6285" w:rsidRPr="00392F4C">
              <w:rPr>
                <w:rFonts w:asciiTheme="minorHAnsi" w:hAnsiTheme="minorHAnsi" w:cstheme="minorHAnsi"/>
                <w:color w:val="000000" w:themeColor="text1"/>
                <w:sz w:val="22"/>
                <w:szCs w:val="22"/>
              </w:rPr>
              <w:t xml:space="preserve">TTP </w:t>
            </w:r>
            <w:r w:rsidR="0003688D" w:rsidRPr="00392F4C">
              <w:rPr>
                <w:rFonts w:asciiTheme="minorHAnsi" w:hAnsiTheme="minorHAnsi" w:cstheme="minorHAnsi"/>
                <w:color w:val="000000" w:themeColor="text1"/>
                <w:sz w:val="22"/>
                <w:szCs w:val="22"/>
              </w:rPr>
              <w:t>exacerbation</w:t>
            </w:r>
            <w:r w:rsidRPr="00392F4C">
              <w:rPr>
                <w:rFonts w:asciiTheme="minorHAnsi" w:hAnsiTheme="minorHAnsi" w:cstheme="minorHAnsi"/>
                <w:color w:val="000000" w:themeColor="text1"/>
                <w:sz w:val="22"/>
                <w:szCs w:val="22"/>
              </w:rPr>
              <w:t>?</w:t>
            </w:r>
          </w:p>
          <w:p w14:paraId="056950BC" w14:textId="691021EB" w:rsidR="00245505" w:rsidRPr="00392F4C" w:rsidRDefault="00245505" w:rsidP="00245505">
            <w:pPr>
              <w:pStyle w:val="Tabletext"/>
              <w:numPr>
                <w:ilvl w:val="0"/>
                <w:numId w:val="9"/>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 xml:space="preserve">What is the prognostic value of ADAMTS13 activity testing for predicting </w:t>
            </w:r>
            <w:r w:rsidR="00BD6285" w:rsidRPr="00392F4C">
              <w:rPr>
                <w:rFonts w:asciiTheme="minorHAnsi" w:hAnsiTheme="minorHAnsi" w:cstheme="minorHAnsi"/>
                <w:color w:val="000000" w:themeColor="text1"/>
                <w:sz w:val="22"/>
                <w:szCs w:val="22"/>
              </w:rPr>
              <w:t>TTP</w:t>
            </w:r>
            <w:r w:rsidRPr="00392F4C">
              <w:rPr>
                <w:rFonts w:asciiTheme="minorHAnsi" w:hAnsiTheme="minorHAnsi" w:cstheme="minorHAnsi"/>
                <w:color w:val="000000" w:themeColor="text1"/>
                <w:sz w:val="22"/>
                <w:szCs w:val="22"/>
              </w:rPr>
              <w:t xml:space="preserve"> relapse?</w:t>
            </w:r>
          </w:p>
          <w:p w14:paraId="25F677D9" w14:textId="0CBDC0EC" w:rsidR="00527335" w:rsidRPr="00392F4C" w:rsidRDefault="00527335" w:rsidP="00F575CB">
            <w:pPr>
              <w:pStyle w:val="Tabletext"/>
              <w:numPr>
                <w:ilvl w:val="0"/>
                <w:numId w:val="8"/>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 xml:space="preserve">Does the </w:t>
            </w:r>
            <w:r w:rsidR="00DE428A" w:rsidRPr="00392F4C">
              <w:rPr>
                <w:rFonts w:asciiTheme="minorHAnsi" w:hAnsiTheme="minorHAnsi" w:cstheme="minorHAnsi"/>
                <w:color w:val="000000" w:themeColor="text1"/>
                <w:sz w:val="22"/>
                <w:szCs w:val="22"/>
              </w:rPr>
              <w:t>information from ADAMTS13 activity testing lead to a change of management compared to no ADAMTS13 activity testing?</w:t>
            </w:r>
          </w:p>
          <w:p w14:paraId="756F5F1C" w14:textId="0AC259E5" w:rsidR="00DE428A" w:rsidRPr="00392F4C" w:rsidRDefault="00DE428A" w:rsidP="00F575CB">
            <w:pPr>
              <w:pStyle w:val="Tabletext"/>
              <w:numPr>
                <w:ilvl w:val="0"/>
                <w:numId w:val="8"/>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Do</w:t>
            </w:r>
            <w:r w:rsidR="006C62DC" w:rsidRPr="00392F4C">
              <w:rPr>
                <w:rFonts w:asciiTheme="minorHAnsi" w:hAnsiTheme="minorHAnsi" w:cstheme="minorHAnsi"/>
                <w:color w:val="000000" w:themeColor="text1"/>
                <w:sz w:val="22"/>
                <w:szCs w:val="22"/>
              </w:rPr>
              <w:t xml:space="preserve"> the differences in management derived from the test (e.g. </w:t>
            </w:r>
            <w:r w:rsidR="00C3385C" w:rsidRPr="00392F4C">
              <w:rPr>
                <w:rFonts w:asciiTheme="minorHAnsi" w:hAnsiTheme="minorHAnsi" w:cstheme="minorHAnsi"/>
                <w:color w:val="000000" w:themeColor="text1"/>
                <w:sz w:val="22"/>
                <w:szCs w:val="22"/>
              </w:rPr>
              <w:t xml:space="preserve">initiation of treatment to prevent </w:t>
            </w:r>
            <w:r w:rsidR="00F67BAE" w:rsidRPr="00392F4C">
              <w:rPr>
                <w:rFonts w:asciiTheme="minorHAnsi" w:hAnsiTheme="minorHAnsi" w:cstheme="minorHAnsi"/>
                <w:color w:val="000000" w:themeColor="text1"/>
                <w:sz w:val="22"/>
                <w:szCs w:val="22"/>
              </w:rPr>
              <w:t>exacerbation/</w:t>
            </w:r>
            <w:r w:rsidR="00C3385C" w:rsidRPr="00392F4C">
              <w:rPr>
                <w:rFonts w:asciiTheme="minorHAnsi" w:hAnsiTheme="minorHAnsi" w:cstheme="minorHAnsi"/>
                <w:color w:val="000000" w:themeColor="text1"/>
                <w:sz w:val="22"/>
                <w:szCs w:val="22"/>
              </w:rPr>
              <w:t>relapse</w:t>
            </w:r>
            <w:r w:rsidR="00296040" w:rsidRPr="00392F4C">
              <w:rPr>
                <w:rFonts w:asciiTheme="minorHAnsi" w:hAnsiTheme="minorHAnsi" w:cstheme="minorHAnsi"/>
                <w:color w:val="000000" w:themeColor="text1"/>
                <w:sz w:val="22"/>
                <w:szCs w:val="22"/>
              </w:rPr>
              <w:t>)</w:t>
            </w:r>
            <w:r w:rsidR="00C3385C" w:rsidRPr="00392F4C">
              <w:rPr>
                <w:rFonts w:asciiTheme="minorHAnsi" w:hAnsiTheme="minorHAnsi" w:cstheme="minorHAnsi"/>
                <w:color w:val="000000" w:themeColor="text1"/>
                <w:sz w:val="22"/>
                <w:szCs w:val="22"/>
              </w:rPr>
              <w:t xml:space="preserve"> </w:t>
            </w:r>
            <w:r w:rsidR="000063BF" w:rsidRPr="00392F4C">
              <w:rPr>
                <w:rFonts w:asciiTheme="minorHAnsi" w:hAnsiTheme="minorHAnsi" w:cstheme="minorHAnsi"/>
                <w:color w:val="000000" w:themeColor="text1"/>
                <w:sz w:val="22"/>
                <w:szCs w:val="22"/>
              </w:rPr>
              <w:t xml:space="preserve">lead to improved health outcomes compared to treatment </w:t>
            </w:r>
            <w:r w:rsidR="00F1213A" w:rsidRPr="00392F4C">
              <w:rPr>
                <w:rFonts w:asciiTheme="minorHAnsi" w:hAnsiTheme="minorHAnsi" w:cstheme="minorHAnsi"/>
                <w:color w:val="000000" w:themeColor="text1"/>
                <w:sz w:val="22"/>
                <w:szCs w:val="22"/>
              </w:rPr>
              <w:t>based on symptoms alone?</w:t>
            </w:r>
          </w:p>
          <w:p w14:paraId="57D171B5" w14:textId="0C174FE2" w:rsidR="00F1213A" w:rsidRPr="00392F4C" w:rsidRDefault="00316865" w:rsidP="00F575CB">
            <w:pPr>
              <w:pStyle w:val="Tabletext"/>
              <w:numPr>
                <w:ilvl w:val="0"/>
                <w:numId w:val="8"/>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 xml:space="preserve">What are the (direct) </w:t>
            </w:r>
            <w:r w:rsidR="00583351" w:rsidRPr="00392F4C">
              <w:rPr>
                <w:rFonts w:asciiTheme="minorHAnsi" w:hAnsiTheme="minorHAnsi" w:cstheme="minorHAnsi"/>
                <w:color w:val="000000" w:themeColor="text1"/>
                <w:sz w:val="22"/>
                <w:szCs w:val="22"/>
              </w:rPr>
              <w:t>adverse events</w:t>
            </w:r>
            <w:r w:rsidRPr="00392F4C">
              <w:rPr>
                <w:rFonts w:asciiTheme="minorHAnsi" w:hAnsiTheme="minorHAnsi" w:cstheme="minorHAnsi"/>
                <w:color w:val="000000" w:themeColor="text1"/>
                <w:sz w:val="22"/>
                <w:szCs w:val="22"/>
              </w:rPr>
              <w:t xml:space="preserve"> associated with ADAMTS13 </w:t>
            </w:r>
            <w:r w:rsidR="000B04E8" w:rsidRPr="00392F4C">
              <w:rPr>
                <w:rFonts w:asciiTheme="minorHAnsi" w:hAnsiTheme="minorHAnsi" w:cstheme="minorHAnsi"/>
                <w:color w:val="000000" w:themeColor="text1"/>
                <w:sz w:val="22"/>
                <w:szCs w:val="22"/>
              </w:rPr>
              <w:t xml:space="preserve">activity </w:t>
            </w:r>
            <w:r w:rsidRPr="00392F4C">
              <w:rPr>
                <w:rFonts w:asciiTheme="minorHAnsi" w:hAnsiTheme="minorHAnsi" w:cstheme="minorHAnsi"/>
                <w:color w:val="000000" w:themeColor="text1"/>
                <w:sz w:val="22"/>
                <w:szCs w:val="22"/>
              </w:rPr>
              <w:t>testing</w:t>
            </w:r>
            <w:r w:rsidR="000B04E8" w:rsidRPr="00392F4C">
              <w:rPr>
                <w:rFonts w:asciiTheme="minorHAnsi" w:hAnsiTheme="minorHAnsi" w:cstheme="minorHAnsi"/>
                <w:color w:val="000000" w:themeColor="text1"/>
                <w:sz w:val="22"/>
                <w:szCs w:val="22"/>
              </w:rPr>
              <w:t xml:space="preserve"> for monitoring</w:t>
            </w:r>
            <w:r w:rsidRPr="00392F4C">
              <w:rPr>
                <w:rFonts w:asciiTheme="minorHAnsi" w:hAnsiTheme="minorHAnsi" w:cstheme="minorHAnsi"/>
                <w:color w:val="000000" w:themeColor="text1"/>
                <w:sz w:val="22"/>
                <w:szCs w:val="22"/>
              </w:rPr>
              <w:t>?</w:t>
            </w:r>
          </w:p>
          <w:p w14:paraId="2B507DA1" w14:textId="60A77D6A" w:rsidR="00CE0545" w:rsidRPr="00392F4C" w:rsidRDefault="00CD2C9B" w:rsidP="00F575CB">
            <w:pPr>
              <w:pStyle w:val="Tabletext"/>
              <w:numPr>
                <w:ilvl w:val="0"/>
                <w:numId w:val="8"/>
              </w:numPr>
              <w:rPr>
                <w:rFonts w:asciiTheme="minorHAnsi" w:hAnsiTheme="minorHAnsi" w:cstheme="minorHAnsi"/>
                <w:color w:val="000000" w:themeColor="text1"/>
                <w:sz w:val="22"/>
                <w:szCs w:val="22"/>
              </w:rPr>
            </w:pPr>
            <w:r w:rsidRPr="00392F4C">
              <w:rPr>
                <w:rFonts w:asciiTheme="minorHAnsi" w:hAnsiTheme="minorHAnsi" w:cstheme="minorHAnsi"/>
                <w:color w:val="000000" w:themeColor="text1"/>
                <w:sz w:val="22"/>
                <w:szCs w:val="22"/>
              </w:rPr>
              <w:t xml:space="preserve">What are the </w:t>
            </w:r>
            <w:r w:rsidR="00583351" w:rsidRPr="00392F4C">
              <w:rPr>
                <w:rFonts w:asciiTheme="minorHAnsi" w:hAnsiTheme="minorHAnsi" w:cstheme="minorHAnsi"/>
                <w:color w:val="000000" w:themeColor="text1"/>
                <w:sz w:val="22"/>
                <w:szCs w:val="22"/>
              </w:rPr>
              <w:t>adverse events</w:t>
            </w:r>
            <w:r w:rsidRPr="00392F4C">
              <w:rPr>
                <w:rFonts w:asciiTheme="minorHAnsi" w:hAnsiTheme="minorHAnsi" w:cstheme="minorHAnsi"/>
                <w:color w:val="000000" w:themeColor="text1"/>
                <w:sz w:val="22"/>
                <w:szCs w:val="22"/>
              </w:rPr>
              <w:t xml:space="preserve"> associated with the treatments/interventions </w:t>
            </w:r>
            <w:r w:rsidR="00A16D00" w:rsidRPr="00392F4C">
              <w:rPr>
                <w:rFonts w:asciiTheme="minorHAnsi" w:hAnsiTheme="minorHAnsi" w:cstheme="minorHAnsi"/>
                <w:color w:val="000000" w:themeColor="text1"/>
                <w:sz w:val="22"/>
                <w:szCs w:val="22"/>
              </w:rPr>
              <w:t>that lead from the manag</w:t>
            </w:r>
            <w:r w:rsidR="0052435E" w:rsidRPr="00392F4C">
              <w:rPr>
                <w:rFonts w:asciiTheme="minorHAnsi" w:hAnsiTheme="minorHAnsi" w:cstheme="minorHAnsi"/>
                <w:color w:val="000000" w:themeColor="text1"/>
                <w:sz w:val="22"/>
                <w:szCs w:val="22"/>
              </w:rPr>
              <w:t>e</w:t>
            </w:r>
            <w:r w:rsidR="00A16D00" w:rsidRPr="00392F4C">
              <w:rPr>
                <w:rFonts w:asciiTheme="minorHAnsi" w:hAnsiTheme="minorHAnsi" w:cstheme="minorHAnsi"/>
                <w:color w:val="000000" w:themeColor="text1"/>
                <w:sz w:val="22"/>
                <w:szCs w:val="22"/>
              </w:rPr>
              <w:t>m</w:t>
            </w:r>
            <w:r w:rsidR="00A23099" w:rsidRPr="00392F4C">
              <w:rPr>
                <w:rFonts w:asciiTheme="minorHAnsi" w:hAnsiTheme="minorHAnsi" w:cstheme="minorHAnsi"/>
                <w:color w:val="000000" w:themeColor="text1"/>
                <w:sz w:val="22"/>
                <w:szCs w:val="22"/>
              </w:rPr>
              <w:t>en</w:t>
            </w:r>
            <w:r w:rsidR="00A16D00" w:rsidRPr="00392F4C">
              <w:rPr>
                <w:rFonts w:asciiTheme="minorHAnsi" w:hAnsiTheme="minorHAnsi" w:cstheme="minorHAnsi"/>
                <w:color w:val="000000" w:themeColor="text1"/>
                <w:sz w:val="22"/>
                <w:szCs w:val="22"/>
              </w:rPr>
              <w:t xml:space="preserve">t decisions </w:t>
            </w:r>
            <w:r w:rsidR="00190DD3" w:rsidRPr="00392F4C">
              <w:rPr>
                <w:rFonts w:asciiTheme="minorHAnsi" w:hAnsiTheme="minorHAnsi" w:cstheme="minorHAnsi"/>
                <w:color w:val="000000" w:themeColor="text1"/>
                <w:sz w:val="22"/>
                <w:szCs w:val="22"/>
              </w:rPr>
              <w:t>informed by the test?</w:t>
            </w:r>
            <w:bookmarkEnd w:id="4"/>
          </w:p>
        </w:tc>
      </w:tr>
    </w:tbl>
    <w:p w14:paraId="2B8A92D1" w14:textId="0F5B3669" w:rsidR="00642856" w:rsidRDefault="003C50D5" w:rsidP="00FB777C">
      <w:pPr>
        <w:pStyle w:val="Tablenotes"/>
        <w:spacing w:after="360"/>
      </w:pPr>
      <w:r>
        <w:lastRenderedPageBreak/>
        <w:t xml:space="preserve">ELISA = enzyme-linked immunosorbent assay; FRETS-VWF73 = ADAMTS13 fluorescence resonance energy transfer assay; PICO = </w:t>
      </w:r>
      <w:r w:rsidR="00001A4B">
        <w:t>Population, Intervention, Comparator, Outcomes</w:t>
      </w:r>
      <w:r>
        <w:t>; TTP = thrombotic thrombocytopenic purpura</w:t>
      </w:r>
    </w:p>
    <w:p w14:paraId="53297713" w14:textId="0DA7B658" w:rsidR="00912660" w:rsidRDefault="00912660" w:rsidP="00713728">
      <w:pPr>
        <w:pStyle w:val="Heading2"/>
      </w:pPr>
      <w:r>
        <w:t>Purpose of application</w:t>
      </w:r>
    </w:p>
    <w:p w14:paraId="0F1F4D29" w14:textId="5B0DF7E6" w:rsidR="00336B0F" w:rsidRDefault="004C2C5E" w:rsidP="001E4F5F">
      <w:pPr>
        <w:keepNext/>
        <w:spacing w:after="240"/>
        <w:rPr>
          <w:iCs/>
        </w:rPr>
      </w:pPr>
      <w:r w:rsidRPr="009A3778">
        <w:rPr>
          <w:iCs/>
        </w:rPr>
        <w:t xml:space="preserve">An application </w:t>
      </w:r>
      <w:r w:rsidRPr="006F6547">
        <w:rPr>
          <w:iCs/>
        </w:rPr>
        <w:t>requesting Medicare Benefits Schedule (MBS) listing of</w:t>
      </w:r>
      <w:r w:rsidRPr="009A3778">
        <w:rPr>
          <w:iCs/>
        </w:rPr>
        <w:t xml:space="preserve"> </w:t>
      </w:r>
      <w:r w:rsidR="002B5222" w:rsidRPr="002B5222">
        <w:rPr>
          <w:iCs/>
        </w:rPr>
        <w:t>ADAMTS13</w:t>
      </w:r>
      <w:r w:rsidR="00992E11">
        <w:rPr>
          <w:iCs/>
        </w:rPr>
        <w:t xml:space="preserve"> testing </w:t>
      </w:r>
      <w:r w:rsidRPr="009A3778">
        <w:rPr>
          <w:iCs/>
        </w:rPr>
        <w:t xml:space="preserve">for </w:t>
      </w:r>
      <w:r w:rsidR="00992E11">
        <w:rPr>
          <w:iCs/>
        </w:rPr>
        <w:t>the diagnosis of thrombotic thrombocytopenic pu</w:t>
      </w:r>
      <w:r w:rsidR="008D3B12">
        <w:rPr>
          <w:iCs/>
        </w:rPr>
        <w:t>r</w:t>
      </w:r>
      <w:r w:rsidR="00992E11">
        <w:rPr>
          <w:iCs/>
        </w:rPr>
        <w:t>pura (T</w:t>
      </w:r>
      <w:r w:rsidR="00327DF4">
        <w:rPr>
          <w:iCs/>
        </w:rPr>
        <w:t xml:space="preserve">TP) </w:t>
      </w:r>
      <w:r w:rsidRPr="009A3778">
        <w:rPr>
          <w:iCs/>
        </w:rPr>
        <w:t>was received from the</w:t>
      </w:r>
      <w:r w:rsidR="00097F2E">
        <w:rPr>
          <w:iCs/>
        </w:rPr>
        <w:t xml:space="preserve"> </w:t>
      </w:r>
      <w:r w:rsidR="002D401B" w:rsidRPr="00097F2E">
        <w:rPr>
          <w:iCs/>
        </w:rPr>
        <w:t>Royal College of Pathologists of Australasia</w:t>
      </w:r>
      <w:r w:rsidR="00097F2E">
        <w:rPr>
          <w:iCs/>
        </w:rPr>
        <w:t xml:space="preserve"> </w:t>
      </w:r>
      <w:r w:rsidRPr="009A3778">
        <w:rPr>
          <w:iCs/>
        </w:rPr>
        <w:t>by the Department of Health</w:t>
      </w:r>
      <w:r w:rsidR="0026533F">
        <w:rPr>
          <w:iCs/>
        </w:rPr>
        <w:t xml:space="preserve"> and Aged Care</w:t>
      </w:r>
      <w:r w:rsidRPr="009A3778">
        <w:rPr>
          <w:iCs/>
        </w:rPr>
        <w:t>.</w:t>
      </w:r>
      <w:r w:rsidR="00EA4B6C">
        <w:rPr>
          <w:iCs/>
        </w:rPr>
        <w:t xml:space="preserve"> </w:t>
      </w:r>
    </w:p>
    <w:p w14:paraId="0E65AD1B" w14:textId="03776BCA" w:rsidR="004C2C5E" w:rsidRDefault="00F404E7" w:rsidP="000D4B54">
      <w:pPr>
        <w:keepNext/>
        <w:spacing w:after="80"/>
        <w:rPr>
          <w:iCs/>
        </w:rPr>
      </w:pPr>
      <w:r>
        <w:rPr>
          <w:iCs/>
        </w:rPr>
        <w:t>The term ‘</w:t>
      </w:r>
      <w:r w:rsidR="000C5770" w:rsidRPr="000C5770">
        <w:rPr>
          <w:iCs/>
        </w:rPr>
        <w:t>ADAMTS13 testing</w:t>
      </w:r>
      <w:r>
        <w:rPr>
          <w:iCs/>
        </w:rPr>
        <w:t xml:space="preserve">’ </w:t>
      </w:r>
      <w:r w:rsidR="00ED6DB0">
        <w:rPr>
          <w:iCs/>
        </w:rPr>
        <w:t xml:space="preserve">is used </w:t>
      </w:r>
      <w:r w:rsidR="00D3529C">
        <w:rPr>
          <w:iCs/>
        </w:rPr>
        <w:t xml:space="preserve">in this document </w:t>
      </w:r>
      <w:r w:rsidR="00ED6DB0">
        <w:rPr>
          <w:iCs/>
        </w:rPr>
        <w:t xml:space="preserve">as a collective term </w:t>
      </w:r>
      <w:r w:rsidR="00147C22">
        <w:rPr>
          <w:iCs/>
        </w:rPr>
        <w:t>referring</w:t>
      </w:r>
      <w:r w:rsidR="00A241EC">
        <w:rPr>
          <w:iCs/>
        </w:rPr>
        <w:t xml:space="preserve"> to three test</w:t>
      </w:r>
      <w:r w:rsidR="00ED6DB0">
        <w:rPr>
          <w:iCs/>
        </w:rPr>
        <w:t xml:space="preserve"> types</w:t>
      </w:r>
      <w:r w:rsidR="00344868">
        <w:rPr>
          <w:iCs/>
        </w:rPr>
        <w:t xml:space="preserve">. </w:t>
      </w:r>
      <w:r w:rsidR="00174A9D" w:rsidRPr="00E84D14">
        <w:t>The application notes these tests are used to target patients to appropriate treatments and subsequent management</w:t>
      </w:r>
      <w:r w:rsidR="00174A9D">
        <w:t xml:space="preserve">, and </w:t>
      </w:r>
      <w:r w:rsidR="00174A9D">
        <w:rPr>
          <w:iCs/>
        </w:rPr>
        <w:t>requests MBS listings for each of the three tests for the following purposes</w:t>
      </w:r>
      <w:r w:rsidR="003A5B9D">
        <w:rPr>
          <w:iCs/>
        </w:rPr>
        <w:t>:</w:t>
      </w:r>
    </w:p>
    <w:p w14:paraId="6CC5FE9D" w14:textId="2F0223D7" w:rsidR="00897E38" w:rsidRDefault="00EC7732" w:rsidP="00F575CB">
      <w:pPr>
        <w:pStyle w:val="ListParagraph"/>
        <w:numPr>
          <w:ilvl w:val="0"/>
          <w:numId w:val="11"/>
        </w:numPr>
        <w:spacing w:after="80"/>
        <w:ind w:left="714" w:hanging="357"/>
        <w:contextualSpacing w:val="0"/>
      </w:pPr>
      <w:r w:rsidRPr="008C5357">
        <w:rPr>
          <w:u w:val="single"/>
        </w:rPr>
        <w:t>ADAMTS13 activity testing</w:t>
      </w:r>
      <w:r>
        <w:t xml:space="preserve"> </w:t>
      </w:r>
      <w:r w:rsidR="009E6E21">
        <w:t>–</w:t>
      </w:r>
      <w:r>
        <w:t xml:space="preserve"> </w:t>
      </w:r>
      <w:r w:rsidR="00D51049">
        <w:t>for a differential</w:t>
      </w:r>
      <w:r>
        <w:t xml:space="preserve"> diagnos</w:t>
      </w:r>
      <w:r w:rsidR="00D51049">
        <w:t>is</w:t>
      </w:r>
      <w:r>
        <w:t xml:space="preserve"> </w:t>
      </w:r>
      <w:r w:rsidR="00526F78">
        <w:t xml:space="preserve">of </w:t>
      </w:r>
      <w:r>
        <w:t xml:space="preserve">TTP </w:t>
      </w:r>
      <w:r w:rsidR="00546055">
        <w:t>from</w:t>
      </w:r>
      <w:r w:rsidR="00CD0564">
        <w:t xml:space="preserve"> other </w:t>
      </w:r>
      <w:r w:rsidR="00D50313">
        <w:t xml:space="preserve">types of </w:t>
      </w:r>
      <w:r w:rsidR="00D50313" w:rsidRPr="00FE5395">
        <w:rPr>
          <w:iCs/>
        </w:rPr>
        <w:t>thrombotic microangiopath</w:t>
      </w:r>
      <w:r w:rsidR="00D50313">
        <w:rPr>
          <w:iCs/>
        </w:rPr>
        <w:t xml:space="preserve">y </w:t>
      </w:r>
      <w:r w:rsidR="003E6CBB">
        <w:rPr>
          <w:iCs/>
        </w:rPr>
        <w:t>(</w:t>
      </w:r>
      <w:r w:rsidR="00CD0564">
        <w:t>TMA</w:t>
      </w:r>
      <w:r w:rsidR="003E6CBB">
        <w:t>)</w:t>
      </w:r>
      <w:r w:rsidR="00AE7E03">
        <w:t xml:space="preserve"> and subsequent monitoring of </w:t>
      </w:r>
      <w:r w:rsidR="00597DC2">
        <w:t>ADAMTS13 activity levels</w:t>
      </w:r>
      <w:r w:rsidR="00E21358">
        <w:t xml:space="preserve"> for patients with immune-mediated TTP (iTTP)</w:t>
      </w:r>
    </w:p>
    <w:p w14:paraId="353AA3CD" w14:textId="70BAD37C" w:rsidR="00897E38" w:rsidRDefault="006A4305" w:rsidP="00F575CB">
      <w:pPr>
        <w:pStyle w:val="ListParagraph"/>
        <w:numPr>
          <w:ilvl w:val="0"/>
          <w:numId w:val="11"/>
        </w:numPr>
        <w:spacing w:after="80"/>
        <w:ind w:left="714" w:hanging="357"/>
        <w:contextualSpacing w:val="0"/>
      </w:pPr>
      <w:r>
        <w:rPr>
          <w:u w:val="single"/>
        </w:rPr>
        <w:t>Anti-</w:t>
      </w:r>
      <w:r w:rsidR="00C42E03" w:rsidRPr="008C5357">
        <w:rPr>
          <w:u w:val="single"/>
        </w:rPr>
        <w:t xml:space="preserve">ADAMTS13 </w:t>
      </w:r>
      <w:r w:rsidR="00327595" w:rsidRPr="00327595">
        <w:rPr>
          <w:u w:val="single"/>
        </w:rPr>
        <w:t>autoantibod</w:t>
      </w:r>
      <w:r w:rsidR="00AC63B5">
        <w:rPr>
          <w:u w:val="single"/>
        </w:rPr>
        <w:t>y</w:t>
      </w:r>
      <w:r w:rsidR="00C42E03" w:rsidRPr="008C5357">
        <w:rPr>
          <w:u w:val="single"/>
        </w:rPr>
        <w:t xml:space="preserve"> testing</w:t>
      </w:r>
      <w:r w:rsidR="00C42E03">
        <w:t xml:space="preserve"> </w:t>
      </w:r>
      <w:r w:rsidR="009E6E21">
        <w:t>–</w:t>
      </w:r>
      <w:r w:rsidR="00C42E03">
        <w:t xml:space="preserve"> to </w:t>
      </w:r>
      <w:r w:rsidR="00833149">
        <w:t xml:space="preserve">differentiate between immune-mediated (iTTP) and </w:t>
      </w:r>
      <w:r w:rsidR="00C42E03" w:rsidRPr="001357FF">
        <w:t>congenital form</w:t>
      </w:r>
      <w:r w:rsidR="00833149">
        <w:t>s</w:t>
      </w:r>
      <w:r w:rsidR="00C42E03" w:rsidRPr="001357FF">
        <w:t xml:space="preserve"> of TTP (cTTP)</w:t>
      </w:r>
      <w:r w:rsidR="00024DC9">
        <w:t xml:space="preserve"> (also known as Upshaw-Schulman syndrome</w:t>
      </w:r>
      <w:r w:rsidR="00C42E03" w:rsidRPr="001357FF">
        <w:t>)</w:t>
      </w:r>
      <w:r w:rsidR="00E41D44">
        <w:t xml:space="preserve"> </w:t>
      </w:r>
    </w:p>
    <w:p w14:paraId="13B79916" w14:textId="28F31A3E" w:rsidR="00897E38" w:rsidRPr="00897E38" w:rsidRDefault="00845056" w:rsidP="00F575CB">
      <w:pPr>
        <w:pStyle w:val="ListParagraph"/>
        <w:numPr>
          <w:ilvl w:val="0"/>
          <w:numId w:val="11"/>
        </w:numPr>
        <w:spacing w:after="80"/>
        <w:ind w:left="714" w:hanging="357"/>
        <w:contextualSpacing w:val="0"/>
        <w:rPr>
          <w:iCs/>
        </w:rPr>
      </w:pPr>
      <w:r w:rsidRPr="000D4B54">
        <w:rPr>
          <w:i/>
          <w:u w:val="single"/>
        </w:rPr>
        <w:t>ADAMTS13</w:t>
      </w:r>
      <w:r w:rsidRPr="000D4B54">
        <w:rPr>
          <w:iCs/>
          <w:u w:val="single"/>
        </w:rPr>
        <w:t xml:space="preserve"> genetic test</w:t>
      </w:r>
      <w:r w:rsidR="00897E38" w:rsidRPr="000D4B54">
        <w:rPr>
          <w:iCs/>
          <w:u w:val="single"/>
        </w:rPr>
        <w:t>ing</w:t>
      </w:r>
      <w:r w:rsidRPr="00897E38">
        <w:rPr>
          <w:iCs/>
        </w:rPr>
        <w:t xml:space="preserve"> </w:t>
      </w:r>
      <w:r w:rsidR="00174A9D">
        <w:rPr>
          <w:iCs/>
        </w:rPr>
        <w:t>–</w:t>
      </w:r>
      <w:r w:rsidRPr="00897E38">
        <w:rPr>
          <w:iCs/>
        </w:rPr>
        <w:t xml:space="preserve"> to confirm a </w:t>
      </w:r>
      <w:r w:rsidR="004F6FD4">
        <w:rPr>
          <w:iCs/>
        </w:rPr>
        <w:t xml:space="preserve">molecular </w:t>
      </w:r>
      <w:r w:rsidRPr="00897E38">
        <w:rPr>
          <w:iCs/>
        </w:rPr>
        <w:t xml:space="preserve">cTTP </w:t>
      </w:r>
      <w:r w:rsidR="006D0D16" w:rsidRPr="00897E38">
        <w:rPr>
          <w:iCs/>
        </w:rPr>
        <w:t xml:space="preserve">diagnosis in </w:t>
      </w:r>
      <w:r w:rsidR="00A8191E" w:rsidRPr="00897E38">
        <w:rPr>
          <w:iCs/>
        </w:rPr>
        <w:t xml:space="preserve">the </w:t>
      </w:r>
      <w:r w:rsidR="009977D5" w:rsidRPr="00897E38">
        <w:rPr>
          <w:iCs/>
        </w:rPr>
        <w:t>index patient</w:t>
      </w:r>
      <w:r w:rsidR="00A8191E" w:rsidRPr="00897E38">
        <w:rPr>
          <w:iCs/>
        </w:rPr>
        <w:t xml:space="preserve">, and </w:t>
      </w:r>
      <w:r w:rsidR="004278A8" w:rsidRPr="00897E38">
        <w:rPr>
          <w:iCs/>
        </w:rPr>
        <w:t>to identify</w:t>
      </w:r>
      <w:r w:rsidR="002F6633" w:rsidRPr="00897E38">
        <w:rPr>
          <w:iCs/>
        </w:rPr>
        <w:t xml:space="preserve"> </w:t>
      </w:r>
      <w:r w:rsidR="009E6E21">
        <w:rPr>
          <w:iCs/>
        </w:rPr>
        <w:t xml:space="preserve">first-degree </w:t>
      </w:r>
      <w:r w:rsidR="001B336E">
        <w:rPr>
          <w:iCs/>
        </w:rPr>
        <w:t>siblings</w:t>
      </w:r>
      <w:r w:rsidR="001B336E" w:rsidRPr="00897E38">
        <w:rPr>
          <w:iCs/>
        </w:rPr>
        <w:t xml:space="preserve"> </w:t>
      </w:r>
      <w:r w:rsidR="004278A8" w:rsidRPr="00897E38">
        <w:rPr>
          <w:iCs/>
        </w:rPr>
        <w:t>carrying the same genetic variant</w:t>
      </w:r>
      <w:r w:rsidR="004F6FD4">
        <w:rPr>
          <w:iCs/>
        </w:rPr>
        <w:t>s</w:t>
      </w:r>
      <w:r w:rsidR="00CC3085">
        <w:rPr>
          <w:iCs/>
        </w:rPr>
        <w:t>,</w:t>
      </w:r>
      <w:r w:rsidR="00CC3085" w:rsidRPr="00CC3085">
        <w:rPr>
          <w:iCs/>
        </w:rPr>
        <w:t xml:space="preserve"> </w:t>
      </w:r>
      <w:r w:rsidR="00CC3085">
        <w:rPr>
          <w:iCs/>
        </w:rPr>
        <w:t>no</w:t>
      </w:r>
      <w:r w:rsidR="00CC3085" w:rsidRPr="00445B27">
        <w:rPr>
          <w:iCs/>
        </w:rPr>
        <w:t xml:space="preserve">ting cTTP generally requires biallelic variants in </w:t>
      </w:r>
      <w:r w:rsidR="00CC3085" w:rsidRPr="00445B27">
        <w:rPr>
          <w:i/>
          <w:iCs/>
        </w:rPr>
        <w:t>ADAMTS13</w:t>
      </w:r>
      <w:r w:rsidR="00CC3085" w:rsidRPr="00445B27">
        <w:rPr>
          <w:iCs/>
        </w:rPr>
        <w:t xml:space="preserve"> to cause disease (usually autosomal recessive)</w:t>
      </w:r>
      <w:r w:rsidR="004278A8" w:rsidRPr="00897E38">
        <w:rPr>
          <w:iCs/>
        </w:rPr>
        <w:t>.</w:t>
      </w:r>
      <w:r w:rsidR="00803DD8" w:rsidRPr="00897E38">
        <w:rPr>
          <w:iCs/>
        </w:rPr>
        <w:t xml:space="preserve"> </w:t>
      </w:r>
    </w:p>
    <w:p w14:paraId="46C9CE6F" w14:textId="5D571C15" w:rsidR="00A804CC" w:rsidRDefault="00A804CC" w:rsidP="00811E27">
      <w:pPr>
        <w:spacing w:before="200"/>
        <w:rPr>
          <w:iCs/>
        </w:rPr>
      </w:pPr>
      <w:r>
        <w:rPr>
          <w:iCs/>
        </w:rPr>
        <w:t xml:space="preserve">The clinical claim </w:t>
      </w:r>
      <w:r w:rsidR="00471682">
        <w:rPr>
          <w:iCs/>
        </w:rPr>
        <w:t xml:space="preserve">in the application </w:t>
      </w:r>
      <w:r>
        <w:rPr>
          <w:iCs/>
        </w:rPr>
        <w:t>is that</w:t>
      </w:r>
      <w:r w:rsidRPr="002B5222">
        <w:rPr>
          <w:iCs/>
        </w:rPr>
        <w:t xml:space="preserve"> ADAMTS13</w:t>
      </w:r>
      <w:r>
        <w:rPr>
          <w:iCs/>
        </w:rPr>
        <w:t xml:space="preserve"> testing </w:t>
      </w:r>
      <w:r w:rsidR="00931438">
        <w:rPr>
          <w:iCs/>
        </w:rPr>
        <w:t xml:space="preserve">(collectively) </w:t>
      </w:r>
      <w:r>
        <w:rPr>
          <w:iCs/>
        </w:rPr>
        <w:t xml:space="preserve">results in superior health outcomes compared to no </w:t>
      </w:r>
      <w:r w:rsidRPr="002B5222">
        <w:rPr>
          <w:iCs/>
        </w:rPr>
        <w:t>ADAMTS13</w:t>
      </w:r>
      <w:r>
        <w:rPr>
          <w:iCs/>
        </w:rPr>
        <w:t xml:space="preserve"> testing</w:t>
      </w:r>
      <w:r w:rsidR="009C58FA">
        <w:rPr>
          <w:iCs/>
        </w:rPr>
        <w:t xml:space="preserve"> </w:t>
      </w:r>
      <w:r w:rsidR="00471682">
        <w:rPr>
          <w:iCs/>
        </w:rPr>
        <w:t>for patients with suspected TTP</w:t>
      </w:r>
      <w:r>
        <w:rPr>
          <w:iCs/>
        </w:rPr>
        <w:t>.</w:t>
      </w:r>
    </w:p>
    <w:p w14:paraId="18E66948" w14:textId="77777777" w:rsidR="00D73332" w:rsidRPr="00FD4C65" w:rsidRDefault="00D73332" w:rsidP="005E11C8">
      <w:pPr>
        <w:pStyle w:val="Heading2"/>
      </w:pPr>
      <w:r w:rsidRPr="00FD4C65">
        <w:lastRenderedPageBreak/>
        <w:t xml:space="preserve">PICO </w:t>
      </w:r>
      <w:r w:rsidR="00FD4E33" w:rsidRPr="00FD4C65">
        <w:t xml:space="preserve">criteria </w:t>
      </w:r>
    </w:p>
    <w:p w14:paraId="06B30611" w14:textId="066B7AD7" w:rsidR="007D6B83" w:rsidRDefault="007D6B83" w:rsidP="005E11C8">
      <w:pPr>
        <w:pStyle w:val="Heading3"/>
      </w:pPr>
      <w:r w:rsidRPr="00713728">
        <w:t>Population</w:t>
      </w:r>
    </w:p>
    <w:p w14:paraId="26A73C10" w14:textId="5D00AB78" w:rsidR="0044658C" w:rsidRDefault="00636F64" w:rsidP="005E11C8">
      <w:pPr>
        <w:keepNext/>
        <w:keepLines/>
        <w:spacing w:after="120"/>
      </w:pPr>
      <w:r>
        <w:t>Three</w:t>
      </w:r>
      <w:r w:rsidR="0044658C">
        <w:t xml:space="preserve"> populations</w:t>
      </w:r>
      <w:r>
        <w:t xml:space="preserve"> are relevant to the application</w:t>
      </w:r>
      <w:r w:rsidR="0044658C">
        <w:t>:</w:t>
      </w:r>
    </w:p>
    <w:p w14:paraId="06CDC5CD" w14:textId="236A6954" w:rsidR="00636F64" w:rsidRDefault="00C91572" w:rsidP="005E11C8">
      <w:pPr>
        <w:pStyle w:val="ListParagraph"/>
        <w:keepNext/>
        <w:keepLines/>
        <w:numPr>
          <w:ilvl w:val="0"/>
          <w:numId w:val="47"/>
        </w:numPr>
      </w:pPr>
      <w:r w:rsidRPr="000A66F0">
        <w:t>PICO Set 1</w:t>
      </w:r>
      <w:r>
        <w:t xml:space="preserve"> </w:t>
      </w:r>
      <w:r w:rsidR="00636F64">
        <w:t xml:space="preserve">– </w:t>
      </w:r>
      <w:r w:rsidR="00774D6F">
        <w:t>ADAM</w:t>
      </w:r>
      <w:r w:rsidR="005D5942">
        <w:t>T</w:t>
      </w:r>
      <w:r w:rsidR="00774D6F">
        <w:t xml:space="preserve">S13 </w:t>
      </w:r>
      <w:r w:rsidR="00DA305C">
        <w:t xml:space="preserve">activity </w:t>
      </w:r>
      <w:r w:rsidR="0087791C">
        <w:t>testing,</w:t>
      </w:r>
      <w:r w:rsidR="00DB0A30">
        <w:t xml:space="preserve"> </w:t>
      </w:r>
      <w:r w:rsidR="000323F7">
        <w:t>anti-</w:t>
      </w:r>
      <w:r w:rsidR="00DB0A30">
        <w:t xml:space="preserve">ADAMTS13 </w:t>
      </w:r>
      <w:r w:rsidR="000323F7">
        <w:t>auto</w:t>
      </w:r>
      <w:r w:rsidR="00DB0A30">
        <w:t xml:space="preserve">antibody </w:t>
      </w:r>
      <w:r w:rsidR="00774D6F">
        <w:t>testing</w:t>
      </w:r>
      <w:r w:rsidR="00122496">
        <w:t xml:space="preserve"> </w:t>
      </w:r>
      <w:r w:rsidR="00DD4619">
        <w:t xml:space="preserve">and </w:t>
      </w:r>
      <w:r w:rsidR="00DD4619" w:rsidRPr="00C934C2">
        <w:rPr>
          <w:i/>
        </w:rPr>
        <w:t>ADAMTS13</w:t>
      </w:r>
      <w:r w:rsidR="00DD4619" w:rsidRPr="00C934C2">
        <w:rPr>
          <w:iCs/>
        </w:rPr>
        <w:t xml:space="preserve"> genetic testing</w:t>
      </w:r>
      <w:r w:rsidR="00DD4619">
        <w:rPr>
          <w:iCs/>
        </w:rPr>
        <w:t xml:space="preserve"> </w:t>
      </w:r>
      <w:r w:rsidR="00122496">
        <w:t xml:space="preserve">for the differential diagnosis of </w:t>
      </w:r>
      <w:r w:rsidR="001E5336">
        <w:t>iTTP and cTTP</w:t>
      </w:r>
      <w:r w:rsidR="004A5A53">
        <w:t xml:space="preserve"> at initial presentation</w:t>
      </w:r>
    </w:p>
    <w:p w14:paraId="55661322" w14:textId="341525A5" w:rsidR="006E7C40" w:rsidRDefault="00774D6F" w:rsidP="00636F64">
      <w:pPr>
        <w:pStyle w:val="ListParagraph"/>
        <w:numPr>
          <w:ilvl w:val="1"/>
          <w:numId w:val="47"/>
        </w:numPr>
      </w:pPr>
      <w:r>
        <w:t xml:space="preserve">patients </w:t>
      </w:r>
      <w:r w:rsidR="00012E70">
        <w:t xml:space="preserve">presenting </w:t>
      </w:r>
      <w:r>
        <w:t>with symptoms suggestive of TMA and a PLASMIC score &gt;4</w:t>
      </w:r>
    </w:p>
    <w:p w14:paraId="169AFC3E" w14:textId="77777777" w:rsidR="00444ADC" w:rsidRDefault="00122496" w:rsidP="0044658C">
      <w:pPr>
        <w:pStyle w:val="ListParagraph"/>
        <w:numPr>
          <w:ilvl w:val="0"/>
          <w:numId w:val="47"/>
        </w:numPr>
      </w:pPr>
      <w:r w:rsidRPr="000A66F0">
        <w:t>PICO Set 2</w:t>
      </w:r>
      <w:r>
        <w:t xml:space="preserve"> </w:t>
      </w:r>
      <w:r w:rsidR="00444ADC">
        <w:t xml:space="preserve">– </w:t>
      </w:r>
      <w:r w:rsidR="001E5336">
        <w:t>cascade testing</w:t>
      </w:r>
    </w:p>
    <w:p w14:paraId="5E702E63" w14:textId="19EEB07A" w:rsidR="00122496" w:rsidRDefault="001E5336" w:rsidP="00444ADC">
      <w:pPr>
        <w:pStyle w:val="ListParagraph"/>
        <w:numPr>
          <w:ilvl w:val="1"/>
          <w:numId w:val="47"/>
        </w:numPr>
      </w:pPr>
      <w:r>
        <w:t>f</w:t>
      </w:r>
      <w:r w:rsidRPr="001E5336">
        <w:t xml:space="preserve">irst-degree biological </w:t>
      </w:r>
      <w:r w:rsidR="00AF5837">
        <w:t>siblings</w:t>
      </w:r>
      <w:r w:rsidR="00AF5837" w:rsidRPr="001E5336">
        <w:t xml:space="preserve"> </w:t>
      </w:r>
      <w:r w:rsidRPr="001E5336">
        <w:t xml:space="preserve">of an individual with </w:t>
      </w:r>
      <w:r w:rsidR="00012E70">
        <w:t xml:space="preserve">cTTP confirmed by </w:t>
      </w:r>
      <w:r w:rsidR="00012E70" w:rsidRPr="00637FC5">
        <w:rPr>
          <w:i/>
          <w:iCs/>
        </w:rPr>
        <w:t>ADAM</w:t>
      </w:r>
      <w:r w:rsidR="005D5942" w:rsidRPr="00637FC5">
        <w:rPr>
          <w:i/>
          <w:iCs/>
        </w:rPr>
        <w:t>T</w:t>
      </w:r>
      <w:r w:rsidR="00012E70" w:rsidRPr="00637FC5">
        <w:rPr>
          <w:i/>
          <w:iCs/>
        </w:rPr>
        <w:t>S13</w:t>
      </w:r>
      <w:r w:rsidR="00012E70">
        <w:t xml:space="preserve"> genetic testing</w:t>
      </w:r>
    </w:p>
    <w:p w14:paraId="6BC4D2D3" w14:textId="5D8CA2F4" w:rsidR="00444ADC" w:rsidRDefault="001E5336" w:rsidP="0044658C">
      <w:pPr>
        <w:pStyle w:val="ListParagraph"/>
        <w:numPr>
          <w:ilvl w:val="0"/>
          <w:numId w:val="47"/>
        </w:numPr>
      </w:pPr>
      <w:r>
        <w:t xml:space="preserve">PICO Set 3 </w:t>
      </w:r>
      <w:r w:rsidR="00444ADC">
        <w:t xml:space="preserve">– </w:t>
      </w:r>
      <w:r w:rsidR="001129AF">
        <w:t>ADAM</w:t>
      </w:r>
      <w:r w:rsidR="005D5942">
        <w:t>T</w:t>
      </w:r>
      <w:r w:rsidR="001129AF">
        <w:t>S13 activity testing for monitoring</w:t>
      </w:r>
      <w:r w:rsidR="00AE376C">
        <w:t xml:space="preserve"> during the post-acute or chronic phase</w:t>
      </w:r>
    </w:p>
    <w:p w14:paraId="62653E2F" w14:textId="047085AC" w:rsidR="001E5336" w:rsidRDefault="001129AF" w:rsidP="00444ADC">
      <w:pPr>
        <w:pStyle w:val="ListParagraph"/>
        <w:numPr>
          <w:ilvl w:val="1"/>
          <w:numId w:val="47"/>
        </w:numPr>
      </w:pPr>
      <w:r>
        <w:t>p</w:t>
      </w:r>
      <w:r w:rsidRPr="001129AF">
        <w:t>atients with a confirmed diagnosis of TTP</w:t>
      </w:r>
      <w:r>
        <w:t>.</w:t>
      </w:r>
    </w:p>
    <w:p w14:paraId="4996390F" w14:textId="60D636F4" w:rsidR="00E065D1" w:rsidRDefault="00623A4C" w:rsidP="00623A4C">
      <w:pPr>
        <w:pStyle w:val="Heading4"/>
      </w:pPr>
      <w:r>
        <w:t>T</w:t>
      </w:r>
      <w:r w:rsidRPr="00FE5395">
        <w:t>hrombotic microangiopath</w:t>
      </w:r>
      <w:r>
        <w:t>y</w:t>
      </w:r>
      <w:r w:rsidR="003B7264">
        <w:t xml:space="preserve"> (TMA)</w:t>
      </w:r>
    </w:p>
    <w:p w14:paraId="72366B89" w14:textId="75C09383" w:rsidR="00FA09A0" w:rsidRDefault="003E3D0E" w:rsidP="003F0E9A">
      <w:pPr>
        <w:spacing w:after="120"/>
      </w:pPr>
      <w:r>
        <w:t xml:space="preserve">TMAs are a collection of conditions that result in </w:t>
      </w:r>
      <w:r w:rsidRPr="004171E1">
        <w:t>endothelial injury in the microcirculation</w:t>
      </w:r>
      <w:r>
        <w:t xml:space="preserve">. The aetiology of </w:t>
      </w:r>
      <w:r w:rsidRPr="00286D15">
        <w:t>TMA</w:t>
      </w:r>
      <w:r>
        <w:t xml:space="preserve">s is varied, but all pathologies involve </w:t>
      </w:r>
      <w:r w:rsidRPr="00286D15">
        <w:t>platelet aggregation and thrombus formation in small blood vessels</w:t>
      </w:r>
      <w:r>
        <w:t>, leading to</w:t>
      </w:r>
      <w:r w:rsidRPr="00286D15">
        <w:t xml:space="preserve"> luminal narrowing or occlusion</w:t>
      </w:r>
      <w:r>
        <w:t xml:space="preserve"> and </w:t>
      </w:r>
      <w:r w:rsidRPr="00286D15">
        <w:t xml:space="preserve">end-organ ischaemia and infarction. The most affected organs are the kidneys, brain, heart, and gastrointestinal tract. TMA is characterised by: </w:t>
      </w:r>
    </w:p>
    <w:p w14:paraId="1AF5E051" w14:textId="65AB3BEB" w:rsidR="00FA09A0" w:rsidRDefault="003E3D0E" w:rsidP="00FA09A0">
      <w:pPr>
        <w:pStyle w:val="ListParagraph"/>
        <w:numPr>
          <w:ilvl w:val="0"/>
          <w:numId w:val="48"/>
        </w:numPr>
      </w:pPr>
      <w:r w:rsidRPr="00286D15">
        <w:t xml:space="preserve">thrombocytopenia; </w:t>
      </w:r>
    </w:p>
    <w:p w14:paraId="174BE377" w14:textId="5D4D7BE0" w:rsidR="00FA09A0" w:rsidRDefault="003E3D0E" w:rsidP="00FA09A0">
      <w:pPr>
        <w:pStyle w:val="ListParagraph"/>
        <w:numPr>
          <w:ilvl w:val="0"/>
          <w:numId w:val="48"/>
        </w:numPr>
      </w:pPr>
      <w:r w:rsidRPr="00286D15">
        <w:t xml:space="preserve">microangiopathic haemolytic anaemia with red cell fragments (schistocytes); and </w:t>
      </w:r>
    </w:p>
    <w:p w14:paraId="18300239" w14:textId="302118D7" w:rsidR="00364B15" w:rsidRDefault="003E3D0E" w:rsidP="00FA09A0">
      <w:pPr>
        <w:pStyle w:val="ListParagraph"/>
        <w:numPr>
          <w:ilvl w:val="0"/>
          <w:numId w:val="48"/>
        </w:numPr>
      </w:pPr>
      <w:r w:rsidRPr="00286D15">
        <w:t>the clinical and laboratory abnormalities attributable to organ-specific dysfunction</w:t>
      </w:r>
      <w:r>
        <w:t>.</w:t>
      </w:r>
    </w:p>
    <w:p w14:paraId="1D92BF3D" w14:textId="6ECA8D4D" w:rsidR="00E73610" w:rsidRDefault="00C02A75" w:rsidP="00120618">
      <w:r>
        <w:t xml:space="preserve">TTP is a rare type of TMA caused by markedly reduced ADAMTS13 activity. </w:t>
      </w:r>
      <w:r w:rsidR="00F52FEC">
        <w:t>The ADAMTS13</w:t>
      </w:r>
      <w:r w:rsidR="00560519">
        <w:t xml:space="preserve"> protein</w:t>
      </w:r>
      <w:r w:rsidR="00A8451C">
        <w:t>,</w:t>
      </w:r>
      <w:r w:rsidR="00560519">
        <w:t xml:space="preserve"> </w:t>
      </w:r>
      <w:r w:rsidR="00C27C59">
        <w:t xml:space="preserve">coded by the </w:t>
      </w:r>
      <w:r w:rsidR="00C27C59" w:rsidRPr="00831BDE">
        <w:rPr>
          <w:i/>
          <w:iCs/>
        </w:rPr>
        <w:t>ADAMTS13</w:t>
      </w:r>
      <w:r w:rsidR="00C27C59">
        <w:t xml:space="preserve"> gene</w:t>
      </w:r>
      <w:r w:rsidR="00A8451C">
        <w:t>,</w:t>
      </w:r>
      <w:r w:rsidR="00C27C59">
        <w:t xml:space="preserve"> </w:t>
      </w:r>
      <w:r w:rsidR="00560519">
        <w:t xml:space="preserve">is a </w:t>
      </w:r>
      <w:r w:rsidR="00A05DA3" w:rsidRPr="00286D15">
        <w:t>plasma protease</w:t>
      </w:r>
      <w:r w:rsidR="00A05DA3">
        <w:t xml:space="preserve"> that </w:t>
      </w:r>
      <w:r w:rsidR="003A435A">
        <w:t>clea</w:t>
      </w:r>
      <w:r w:rsidR="00A957C0">
        <w:t xml:space="preserve">ves </w:t>
      </w:r>
      <w:r w:rsidR="006E5FCD" w:rsidRPr="00286D15">
        <w:t xml:space="preserve">von Willebrand factor </w:t>
      </w:r>
      <w:r w:rsidR="006E5FCD">
        <w:t>(</w:t>
      </w:r>
      <w:r w:rsidR="00541752">
        <w:t>V</w:t>
      </w:r>
      <w:r w:rsidR="002F522A" w:rsidRPr="00286D15">
        <w:t>WF</w:t>
      </w:r>
      <w:r w:rsidR="00541752">
        <w:t>)</w:t>
      </w:r>
      <w:r w:rsidR="00B076BD">
        <w:t>.</w:t>
      </w:r>
      <w:r w:rsidR="007E3903">
        <w:t xml:space="preserve"> </w:t>
      </w:r>
      <w:r w:rsidR="00DC70A1">
        <w:t xml:space="preserve">When </w:t>
      </w:r>
      <w:r w:rsidR="001D1243" w:rsidRPr="00286D15">
        <w:t>ADAMTS13 activity is severely impaired</w:t>
      </w:r>
      <w:r w:rsidR="001D1243">
        <w:t xml:space="preserve">, </w:t>
      </w:r>
      <w:r w:rsidR="006C58BC">
        <w:t xml:space="preserve">highly adhesive, </w:t>
      </w:r>
      <w:r w:rsidR="002F522A" w:rsidRPr="00286D15">
        <w:t xml:space="preserve">ultra-large </w:t>
      </w:r>
      <w:r w:rsidR="008B4E85" w:rsidRPr="00286D15">
        <w:t xml:space="preserve">VWF </w:t>
      </w:r>
      <w:r w:rsidR="002F522A" w:rsidRPr="00286D15">
        <w:t>multimers</w:t>
      </w:r>
      <w:r w:rsidR="001D1243">
        <w:t xml:space="preserve"> </w:t>
      </w:r>
      <w:r w:rsidR="002F522A" w:rsidRPr="00286D15">
        <w:t xml:space="preserve">accumulate </w:t>
      </w:r>
      <w:r w:rsidR="002F522A" w:rsidRPr="006C7AC7">
        <w:t>in the</w:t>
      </w:r>
      <w:r w:rsidR="002F522A">
        <w:t xml:space="preserve"> </w:t>
      </w:r>
      <w:r w:rsidR="002F522A" w:rsidRPr="006C7AC7">
        <w:t>microcirculation</w:t>
      </w:r>
      <w:r w:rsidR="006C58BC">
        <w:t>,</w:t>
      </w:r>
      <w:r w:rsidR="00C10DFD">
        <w:t xml:space="preserve"> </w:t>
      </w:r>
      <w:r w:rsidR="004240E4" w:rsidRPr="004240E4">
        <w:t>spontaneously bind</w:t>
      </w:r>
      <w:r w:rsidR="006C58BC">
        <w:t>ing</w:t>
      </w:r>
      <w:r w:rsidR="004240E4" w:rsidRPr="004240E4">
        <w:t xml:space="preserve"> platelets</w:t>
      </w:r>
      <w:r w:rsidR="004240E4">
        <w:t xml:space="preserve"> </w:t>
      </w:r>
      <w:r w:rsidR="006C58BC">
        <w:t>and</w:t>
      </w:r>
      <w:r w:rsidR="00902222">
        <w:t xml:space="preserve"> causing </w:t>
      </w:r>
      <w:r w:rsidR="00C93CF4">
        <w:t>widespread m</w:t>
      </w:r>
      <w:r w:rsidR="002F522A" w:rsidRPr="00286D15">
        <w:t>icrovascular occlusion resulting in TTP</w:t>
      </w:r>
      <w:r w:rsidR="00FD3E80">
        <w:t>.</w:t>
      </w:r>
      <w:r w:rsidR="001713AE">
        <w:t xml:space="preserve"> </w:t>
      </w:r>
      <w:r w:rsidR="00FF7458">
        <w:t xml:space="preserve">While </w:t>
      </w:r>
      <w:r w:rsidR="00CC2109">
        <w:t xml:space="preserve">autoantibodies to the ADAMTS13 protein </w:t>
      </w:r>
      <w:r w:rsidR="003A493C">
        <w:t>are</w:t>
      </w:r>
      <w:r w:rsidR="00CC2109">
        <w:t xml:space="preserve"> typically </w:t>
      </w:r>
      <w:r w:rsidR="00174AE5">
        <w:t xml:space="preserve">the cause of </w:t>
      </w:r>
      <w:r w:rsidR="00FF7458">
        <w:t>l</w:t>
      </w:r>
      <w:r w:rsidR="001713AE">
        <w:t xml:space="preserve">ow ADAMTS13 activity </w:t>
      </w:r>
      <w:r w:rsidR="00B201B6">
        <w:t>(iTTP)</w:t>
      </w:r>
      <w:r w:rsidR="00A51EBA">
        <w:t xml:space="preserve">, </w:t>
      </w:r>
      <w:r w:rsidR="00B201B6">
        <w:t xml:space="preserve">a small proportion of </w:t>
      </w:r>
      <w:r w:rsidR="00AD264A">
        <w:t>patients with TTP carry</w:t>
      </w:r>
      <w:r w:rsidR="00990D4B">
        <w:t xml:space="preserve"> </w:t>
      </w:r>
      <w:r w:rsidR="00803FBC">
        <w:t xml:space="preserve">homozygous or compound heterozygous </w:t>
      </w:r>
      <w:r w:rsidR="00682BB3">
        <w:t>patho</w:t>
      </w:r>
      <w:r w:rsidR="00A2050C">
        <w:t>genic</w:t>
      </w:r>
      <w:r w:rsidR="00682BB3">
        <w:t xml:space="preserve"> </w:t>
      </w:r>
      <w:r w:rsidR="00E23E67">
        <w:t>variant</w:t>
      </w:r>
      <w:r w:rsidR="004E70D5">
        <w:t>(s)</w:t>
      </w:r>
      <w:r w:rsidR="00682BB3">
        <w:t xml:space="preserve"> </w:t>
      </w:r>
      <w:r w:rsidR="00AD0990">
        <w:t>of</w:t>
      </w:r>
      <w:r w:rsidR="00682BB3">
        <w:t xml:space="preserve"> the </w:t>
      </w:r>
      <w:r w:rsidR="00682BB3" w:rsidRPr="00682BB3">
        <w:rPr>
          <w:i/>
          <w:iCs/>
        </w:rPr>
        <w:t>ADAMTS13</w:t>
      </w:r>
      <w:r w:rsidR="00682BB3">
        <w:t xml:space="preserve"> gene (cTTP)</w:t>
      </w:r>
      <w:r w:rsidR="00AD264A">
        <w:t xml:space="preserve">, </w:t>
      </w:r>
      <w:r w:rsidR="00D33B1C">
        <w:t>resulting in either low levels of expression or a dysfunctional enzyme.</w:t>
      </w:r>
      <w:r w:rsidR="00A639CA">
        <w:t xml:space="preserve"> As a result, the appropriate treatments for these two types of TTP are different.</w:t>
      </w:r>
    </w:p>
    <w:p w14:paraId="62EC8B03" w14:textId="08B75F99" w:rsidR="00B00790" w:rsidRDefault="004B221C" w:rsidP="00841A93">
      <w:r>
        <w:t>Other t</w:t>
      </w:r>
      <w:r w:rsidR="00F46452">
        <w:t>ypes</w:t>
      </w:r>
      <w:r w:rsidR="00A7706B">
        <w:t xml:space="preserve"> of TMA include </w:t>
      </w:r>
      <w:r w:rsidR="00281F7A" w:rsidRPr="00281F7A">
        <w:t>haemolytic uraemic syndrome</w:t>
      </w:r>
      <w:r w:rsidR="00281F7A">
        <w:t xml:space="preserve"> </w:t>
      </w:r>
      <w:r w:rsidR="00B2711D">
        <w:t xml:space="preserve">(HUS) </w:t>
      </w:r>
      <w:r w:rsidR="00ED46A1">
        <w:t>induced</w:t>
      </w:r>
      <w:r w:rsidR="00F46452">
        <w:t xml:space="preserve"> by </w:t>
      </w:r>
      <w:r w:rsidR="003727E5" w:rsidRPr="003727E5">
        <w:t xml:space="preserve">Shiga toxin </w:t>
      </w:r>
      <w:r w:rsidR="008B02DB">
        <w:t>from</w:t>
      </w:r>
      <w:r w:rsidR="003727E5" w:rsidRPr="003727E5">
        <w:t xml:space="preserve"> </w:t>
      </w:r>
      <w:r w:rsidR="003727E5" w:rsidRPr="00841A93">
        <w:rPr>
          <w:i/>
          <w:iCs/>
        </w:rPr>
        <w:t>Escherichia coli</w:t>
      </w:r>
      <w:r w:rsidR="008B02DB">
        <w:t>-contaminated food</w:t>
      </w:r>
      <w:r w:rsidR="003727E5" w:rsidRPr="003727E5">
        <w:t xml:space="preserve"> (STEC</w:t>
      </w:r>
      <w:r w:rsidR="00F46452">
        <w:t>-HU</w:t>
      </w:r>
      <w:r w:rsidR="0051137C">
        <w:t>S</w:t>
      </w:r>
      <w:r w:rsidR="00F46452">
        <w:t xml:space="preserve">), </w:t>
      </w:r>
      <w:r w:rsidR="00841A93">
        <w:t>systemic</w:t>
      </w:r>
      <w:r w:rsidR="000B21B3">
        <w:t xml:space="preserve"> infection with</w:t>
      </w:r>
      <w:r w:rsidR="00841A93">
        <w:t xml:space="preserve"> </w:t>
      </w:r>
      <w:r w:rsidR="00841A93" w:rsidRPr="00841A93">
        <w:rPr>
          <w:i/>
          <w:iCs/>
        </w:rPr>
        <w:t>Streptococcus pneumoniae</w:t>
      </w:r>
      <w:r w:rsidR="00841A93">
        <w:t xml:space="preserve"> (</w:t>
      </w:r>
      <w:r w:rsidR="000F5726">
        <w:t>pneumococcal</w:t>
      </w:r>
      <w:r w:rsidR="00900203">
        <w:t xml:space="preserve"> HUS)</w:t>
      </w:r>
      <w:r w:rsidR="008E3420">
        <w:t xml:space="preserve"> and</w:t>
      </w:r>
      <w:r w:rsidR="00257618">
        <w:t xml:space="preserve"> a</w:t>
      </w:r>
      <w:r w:rsidR="009A4573">
        <w:t>typical HUS (aHUS)</w:t>
      </w:r>
      <w:r w:rsidR="00C93E0C">
        <w:t xml:space="preserve">, </w:t>
      </w:r>
      <w:r w:rsidR="00721432">
        <w:t xml:space="preserve">all of which are associated with renal </w:t>
      </w:r>
      <w:r w:rsidR="005D14EB">
        <w:t>involvement</w:t>
      </w:r>
      <w:r w:rsidR="00721432">
        <w:t>.</w:t>
      </w:r>
      <w:r w:rsidR="00684F65">
        <w:t xml:space="preserve"> </w:t>
      </w:r>
      <w:r w:rsidR="00AE408F">
        <w:t xml:space="preserve">TMAs </w:t>
      </w:r>
      <w:r w:rsidR="00B167F9">
        <w:t xml:space="preserve">can </w:t>
      </w:r>
      <w:r w:rsidR="00F559D0">
        <w:t xml:space="preserve">also </w:t>
      </w:r>
      <w:r w:rsidR="00B167F9">
        <w:t>be precipitated by condition</w:t>
      </w:r>
      <w:r w:rsidR="00013082">
        <w:t>s</w:t>
      </w:r>
      <w:r w:rsidR="00D07BA8">
        <w:t xml:space="preserve"> </w:t>
      </w:r>
      <w:r w:rsidR="00B93F8E">
        <w:t>such as</w:t>
      </w:r>
      <w:r w:rsidR="00437E12">
        <w:t xml:space="preserve"> </w:t>
      </w:r>
      <w:r w:rsidR="00AC3D2D">
        <w:t xml:space="preserve">infection, </w:t>
      </w:r>
      <w:r w:rsidR="005F288D">
        <w:t>pregnancy</w:t>
      </w:r>
      <w:r w:rsidR="00960163">
        <w:t xml:space="preserve">, </w:t>
      </w:r>
      <w:r w:rsidR="00FF357F">
        <w:t>some auto</w:t>
      </w:r>
      <w:r w:rsidR="00C526BF">
        <w:t>-im</w:t>
      </w:r>
      <w:r w:rsidR="00644844">
        <w:t>mune conditions, organ or stem cell transplantation</w:t>
      </w:r>
      <w:r w:rsidR="007612FF">
        <w:t xml:space="preserve">, </w:t>
      </w:r>
      <w:r w:rsidR="002D5F1E">
        <w:t>and</w:t>
      </w:r>
      <w:r w:rsidR="007612FF">
        <w:t xml:space="preserve"> malignancies.</w:t>
      </w:r>
    </w:p>
    <w:p w14:paraId="08B8CEBC" w14:textId="73C7A1B7" w:rsidR="00573208" w:rsidRDefault="001F5A25" w:rsidP="00573208">
      <w:pPr>
        <w:pStyle w:val="Heading4"/>
      </w:pPr>
      <w:r>
        <w:t>Clinical significance of t</w:t>
      </w:r>
      <w:r w:rsidR="00573208">
        <w:t>hrombotic thrombocytopenic purpura</w:t>
      </w:r>
      <w:r w:rsidR="003B7264">
        <w:t xml:space="preserve"> (T</w:t>
      </w:r>
      <w:r w:rsidR="001400EE">
        <w:t>T</w:t>
      </w:r>
      <w:r w:rsidR="003B7264">
        <w:t>P)</w:t>
      </w:r>
    </w:p>
    <w:p w14:paraId="4C903841" w14:textId="7FB66DE5" w:rsidR="00250E52" w:rsidRDefault="00B66C92" w:rsidP="00E0600B">
      <w:r>
        <w:t xml:space="preserve">TTP </w:t>
      </w:r>
      <w:r w:rsidR="00CB321E">
        <w:t xml:space="preserve">is a relapsing TMA </w:t>
      </w:r>
      <w:r w:rsidR="00306C5E">
        <w:t>that</w:t>
      </w:r>
      <w:r w:rsidR="00CB321E">
        <w:t xml:space="preserve"> </w:t>
      </w:r>
      <w:r>
        <w:t xml:space="preserve">typically manifests as an abrupt-onset illness with </w:t>
      </w:r>
      <w:r w:rsidR="51CA0EFD">
        <w:t>symptoms and signs</w:t>
      </w:r>
      <w:r>
        <w:t xml:space="preserve"> </w:t>
      </w:r>
      <w:r w:rsidR="00FC39DB">
        <w:t>such as thrombocytopenia, microangiopathic haemolytic anaemia and neurological symptoms ranging from headache to coma</w:t>
      </w:r>
      <w:r w:rsidR="00552EA9">
        <w:t xml:space="preserve">. </w:t>
      </w:r>
      <w:r w:rsidR="0088245E">
        <w:t>As the c</w:t>
      </w:r>
      <w:r w:rsidR="00552EA9">
        <w:t>linical symptoms and laboratory abnormalities seen in TTP are relatively non-specific</w:t>
      </w:r>
      <w:r w:rsidR="0088245E">
        <w:t xml:space="preserve">, </w:t>
      </w:r>
      <w:r w:rsidR="003A2158">
        <w:t>a definitive diagnosis is not possible from</w:t>
      </w:r>
      <w:r w:rsidR="00FF6BFD">
        <w:t xml:space="preserve"> initial presentation</w:t>
      </w:r>
      <w:r w:rsidR="00012BBA">
        <w:t>.</w:t>
      </w:r>
    </w:p>
    <w:p w14:paraId="067B8F60" w14:textId="6FEC9414" w:rsidR="00CF2B8C" w:rsidRDefault="00CF2B8C" w:rsidP="00CF2B8C">
      <w:pPr>
        <w:keepNext/>
        <w:spacing w:after="240"/>
      </w:pPr>
      <w:r>
        <w:rPr>
          <w:iCs/>
        </w:rPr>
        <w:t xml:space="preserve">TTP has the potential for rapid clinical deterioration and, left untreated, has a 90% mortality rate due to </w:t>
      </w:r>
      <w:r w:rsidRPr="00625227">
        <w:rPr>
          <w:iCs/>
        </w:rPr>
        <w:t>sudden neurological and cardiac dysfunction</w:t>
      </w:r>
      <w:r>
        <w:rPr>
          <w:iCs/>
        </w:rPr>
        <w:t xml:space="preserve"> (Scully et al. 2023). </w:t>
      </w:r>
      <w:r>
        <w:t xml:space="preserve">Optimal treatment of an acute episode of TTP decreases mortality rates to around 10% (Fox et al. 2018). </w:t>
      </w:r>
      <w:r>
        <w:rPr>
          <w:iCs/>
        </w:rPr>
        <w:t xml:space="preserve">Therefore, patients presenting with TMA </w:t>
      </w:r>
      <w:r>
        <w:rPr>
          <w:iCs/>
        </w:rPr>
        <w:lastRenderedPageBreak/>
        <w:t xml:space="preserve">symptoms and certain clinical signs may have TTP and require urgent empiric therapy that should not be delayed awaiting confirmation of diagnosis. </w:t>
      </w:r>
    </w:p>
    <w:p w14:paraId="4A9109E8" w14:textId="3A52C792" w:rsidR="001E05DC" w:rsidRDefault="001E05DC" w:rsidP="001E05DC">
      <w:pPr>
        <w:pStyle w:val="Heading4"/>
      </w:pPr>
      <w:r>
        <w:t>Diagnosis</w:t>
      </w:r>
      <w:r w:rsidR="00245E12">
        <w:t xml:space="preserve"> and management </w:t>
      </w:r>
      <w:r>
        <w:t>of T</w:t>
      </w:r>
      <w:r w:rsidR="00BF5176">
        <w:t>T</w:t>
      </w:r>
      <w:r>
        <w:t>P</w:t>
      </w:r>
    </w:p>
    <w:p w14:paraId="2907D259" w14:textId="1DE4E8E5" w:rsidR="00D90135" w:rsidRDefault="007B59BF" w:rsidP="00F575CB">
      <w:pPr>
        <w:spacing w:after="0"/>
      </w:pPr>
      <w:r>
        <w:t>T</w:t>
      </w:r>
      <w:r w:rsidR="00B647E0">
        <w:t xml:space="preserve">he PLASMIC </w:t>
      </w:r>
      <w:r w:rsidR="0032498D">
        <w:t>scoring system</w:t>
      </w:r>
      <w:r>
        <w:t>,</w:t>
      </w:r>
      <w:r w:rsidR="0032498D">
        <w:t xml:space="preserve"> based on</w:t>
      </w:r>
      <w:r w:rsidR="00D90135">
        <w:t xml:space="preserve"> both clinical and basic laboratory </w:t>
      </w:r>
      <w:r w:rsidR="0001472E">
        <w:t>findings</w:t>
      </w:r>
      <w:r>
        <w:t>,</w:t>
      </w:r>
      <w:r w:rsidR="0001472E">
        <w:t xml:space="preserve"> </w:t>
      </w:r>
      <w:r w:rsidR="00D90135">
        <w:t xml:space="preserve">has been demonstrated to have some efficacy in identifying patients with a likelihood of having </w:t>
      </w:r>
      <w:r w:rsidR="003250D6">
        <w:t>TTP</w:t>
      </w:r>
      <w:r w:rsidR="00B647E0">
        <w:t xml:space="preserve"> (</w:t>
      </w:r>
      <w:r w:rsidR="00B647E0">
        <w:fldChar w:fldCharType="begin"/>
      </w:r>
      <w:r w:rsidR="00B647E0">
        <w:instrText xml:space="preserve"> REF _Ref192507525 \h </w:instrText>
      </w:r>
      <w:r w:rsidR="00B647E0">
        <w:fldChar w:fldCharType="separate"/>
      </w:r>
      <w:r w:rsidR="00AE1C62">
        <w:t xml:space="preserve">Table </w:t>
      </w:r>
      <w:r w:rsidR="00AE1C62">
        <w:rPr>
          <w:noProof/>
        </w:rPr>
        <w:t>4</w:t>
      </w:r>
      <w:r w:rsidR="00B647E0">
        <w:fldChar w:fldCharType="end"/>
      </w:r>
      <w:r w:rsidR="00B647E0">
        <w:t>).</w:t>
      </w:r>
      <w:r w:rsidR="00D90135">
        <w:t xml:space="preserve"> </w:t>
      </w:r>
      <w:r w:rsidR="008468A9">
        <w:t>If the score is 4 or less, the patient is less likely to have severe deficiency of ADAMTS13.</w:t>
      </w:r>
    </w:p>
    <w:p w14:paraId="370A4354" w14:textId="4E5689F2" w:rsidR="00DF1101" w:rsidRDefault="00DF1101" w:rsidP="00DF1101">
      <w:pPr>
        <w:pStyle w:val="Caption"/>
      </w:pPr>
      <w:bookmarkStart w:id="5" w:name="_Ref192507525"/>
      <w:r>
        <w:t xml:space="preserve">Table </w:t>
      </w:r>
      <w:r>
        <w:fldChar w:fldCharType="begin"/>
      </w:r>
      <w:r>
        <w:instrText xml:space="preserve"> SEQ Table \* ARABIC </w:instrText>
      </w:r>
      <w:r>
        <w:fldChar w:fldCharType="separate"/>
      </w:r>
      <w:r w:rsidR="00AE1C62">
        <w:rPr>
          <w:noProof/>
        </w:rPr>
        <w:t>4</w:t>
      </w:r>
      <w:r>
        <w:fldChar w:fldCharType="end"/>
      </w:r>
      <w:bookmarkEnd w:id="5"/>
      <w:r>
        <w:tab/>
        <w:t>PLA</w:t>
      </w:r>
      <w:r w:rsidR="00DB57D1">
        <w:t>SMIC Score</w:t>
      </w:r>
    </w:p>
    <w:tbl>
      <w:tblPr>
        <w:tblStyle w:val="TableGrid"/>
        <w:tblW w:w="5000" w:type="pct"/>
        <w:jc w:val="center"/>
        <w:tblInd w:w="0" w:type="dxa"/>
        <w:tblLook w:val="04A0" w:firstRow="1" w:lastRow="0" w:firstColumn="1" w:lastColumn="0" w:noHBand="0" w:noVBand="1"/>
      </w:tblPr>
      <w:tblGrid>
        <w:gridCol w:w="8832"/>
        <w:gridCol w:w="739"/>
      </w:tblGrid>
      <w:tr w:rsidR="00C40C48" w:rsidRPr="00A67B5A" w14:paraId="58C07C0E" w14:textId="77777777" w:rsidTr="00F32BB9">
        <w:trPr>
          <w:tblHeader/>
          <w:jc w:val="center"/>
        </w:trPr>
        <w:tc>
          <w:tcPr>
            <w:tcW w:w="4614" w:type="pct"/>
          </w:tcPr>
          <w:p w14:paraId="6C9FF925" w14:textId="70852617" w:rsidR="00C40C48" w:rsidRPr="003F0E9A" w:rsidRDefault="00DF1101" w:rsidP="003F0E9A">
            <w:pPr>
              <w:pStyle w:val="011TableHeading9pt"/>
              <w:spacing w:before="40"/>
              <w:rPr>
                <w:rFonts w:ascii="Arial Narrow" w:hAnsi="Arial Narrow"/>
                <w:sz w:val="20"/>
                <w:szCs w:val="20"/>
              </w:rPr>
            </w:pPr>
            <w:r w:rsidRPr="003F0E9A">
              <w:rPr>
                <w:rFonts w:ascii="Arial Narrow" w:hAnsi="Arial Narrow"/>
                <w:sz w:val="20"/>
                <w:szCs w:val="20"/>
              </w:rPr>
              <w:t>Parameter</w:t>
            </w:r>
          </w:p>
        </w:tc>
        <w:tc>
          <w:tcPr>
            <w:tcW w:w="386" w:type="pct"/>
          </w:tcPr>
          <w:p w14:paraId="5025E49F" w14:textId="1BC27F84" w:rsidR="00C40C48" w:rsidRPr="003F0E9A" w:rsidRDefault="00DF1101" w:rsidP="003F0E9A">
            <w:pPr>
              <w:pStyle w:val="011TableHeading9pt"/>
              <w:spacing w:before="40"/>
              <w:rPr>
                <w:rFonts w:ascii="Arial Narrow" w:hAnsi="Arial Narrow"/>
                <w:sz w:val="20"/>
                <w:szCs w:val="20"/>
              </w:rPr>
            </w:pPr>
            <w:r w:rsidRPr="003F0E9A">
              <w:rPr>
                <w:rFonts w:ascii="Arial Narrow" w:hAnsi="Arial Narrow"/>
                <w:sz w:val="20"/>
                <w:szCs w:val="20"/>
              </w:rPr>
              <w:t>Points</w:t>
            </w:r>
          </w:p>
        </w:tc>
      </w:tr>
      <w:tr w:rsidR="00C40C48" w:rsidRPr="00A67B5A" w14:paraId="09A76FB4" w14:textId="7EE2D2F5" w:rsidTr="00B647E0">
        <w:trPr>
          <w:jc w:val="center"/>
        </w:trPr>
        <w:tc>
          <w:tcPr>
            <w:tcW w:w="4614" w:type="pct"/>
          </w:tcPr>
          <w:p w14:paraId="3B781AC3" w14:textId="0E3340F2" w:rsidR="00C40C48" w:rsidRPr="003F0E9A" w:rsidRDefault="0075308A" w:rsidP="00A67B5A">
            <w:pPr>
              <w:pStyle w:val="051Tabletext229pt"/>
              <w:rPr>
                <w:rFonts w:ascii="Arial Narrow" w:hAnsi="Arial Narrow"/>
                <w:sz w:val="20"/>
                <w:szCs w:val="20"/>
              </w:rPr>
            </w:pPr>
            <w:r w:rsidRPr="003F0E9A">
              <w:rPr>
                <w:rFonts w:ascii="Arial Narrow" w:hAnsi="Arial Narrow"/>
                <w:sz w:val="20"/>
                <w:szCs w:val="20"/>
              </w:rPr>
              <w:t>P</w:t>
            </w:r>
            <w:r w:rsidR="00C40C48" w:rsidRPr="003F0E9A">
              <w:rPr>
                <w:rFonts w:ascii="Arial Narrow" w:hAnsi="Arial Narrow"/>
                <w:sz w:val="20"/>
                <w:szCs w:val="20"/>
              </w:rPr>
              <w:t>latelet count &lt;30 x 10</w:t>
            </w:r>
            <w:r w:rsidR="00C40C48" w:rsidRPr="003F0E9A">
              <w:rPr>
                <w:rFonts w:ascii="Arial Narrow" w:hAnsi="Arial Narrow"/>
                <w:sz w:val="20"/>
                <w:szCs w:val="20"/>
                <w:vertAlign w:val="superscript"/>
              </w:rPr>
              <w:t>9</w:t>
            </w:r>
            <w:r w:rsidR="00C40C48" w:rsidRPr="003F0E9A">
              <w:rPr>
                <w:rFonts w:ascii="Arial Narrow" w:hAnsi="Arial Narrow"/>
                <w:sz w:val="20"/>
                <w:szCs w:val="20"/>
              </w:rPr>
              <w:t>/L</w:t>
            </w:r>
          </w:p>
        </w:tc>
        <w:tc>
          <w:tcPr>
            <w:tcW w:w="386" w:type="pct"/>
          </w:tcPr>
          <w:p w14:paraId="5EC3EE66" w14:textId="0FA2B73C"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r w:rsidR="00C40C48" w:rsidRPr="00A67B5A" w14:paraId="5E1E5E1B" w14:textId="0FCF06BF" w:rsidTr="00B647E0">
        <w:trPr>
          <w:jc w:val="center"/>
        </w:trPr>
        <w:tc>
          <w:tcPr>
            <w:tcW w:w="4614" w:type="pct"/>
          </w:tcPr>
          <w:p w14:paraId="7774FD17" w14:textId="2E600A69" w:rsidR="00C40C48" w:rsidRPr="003F0E9A" w:rsidRDefault="00DB426B" w:rsidP="00A67B5A">
            <w:pPr>
              <w:pStyle w:val="051Tabletext229pt"/>
              <w:rPr>
                <w:rFonts w:ascii="Arial Narrow" w:hAnsi="Arial Narrow"/>
                <w:sz w:val="20"/>
                <w:szCs w:val="20"/>
              </w:rPr>
            </w:pPr>
            <w:r w:rsidRPr="003F0E9A">
              <w:rPr>
                <w:rFonts w:ascii="Arial Narrow" w:hAnsi="Arial Narrow"/>
                <w:sz w:val="20"/>
                <w:szCs w:val="20"/>
              </w:rPr>
              <w:t>H</w:t>
            </w:r>
            <w:r w:rsidR="00C40C48" w:rsidRPr="003F0E9A">
              <w:rPr>
                <w:rFonts w:ascii="Arial Narrow" w:hAnsi="Arial Narrow"/>
                <w:sz w:val="20"/>
                <w:szCs w:val="20"/>
              </w:rPr>
              <w:t>aemolysis variables (reticulocyte count &gt;2.5%, undetectable haptoglobin, or indirect bilirubin &gt;2 mg/dL)</w:t>
            </w:r>
          </w:p>
        </w:tc>
        <w:tc>
          <w:tcPr>
            <w:tcW w:w="386" w:type="pct"/>
          </w:tcPr>
          <w:p w14:paraId="1442745A" w14:textId="705C28D3"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r w:rsidR="00C40C48" w:rsidRPr="00A67B5A" w14:paraId="6550F34D" w14:textId="1B85160F" w:rsidTr="00B647E0">
        <w:trPr>
          <w:jc w:val="center"/>
        </w:trPr>
        <w:tc>
          <w:tcPr>
            <w:tcW w:w="4614" w:type="pct"/>
          </w:tcPr>
          <w:p w14:paraId="4E0D0A4C" w14:textId="357C21CE" w:rsidR="00C40C48" w:rsidRPr="003F0E9A" w:rsidRDefault="008468A9" w:rsidP="00A67B5A">
            <w:pPr>
              <w:pStyle w:val="051Tabletext229pt"/>
              <w:rPr>
                <w:rFonts w:ascii="Arial Narrow" w:hAnsi="Arial Narrow"/>
                <w:sz w:val="20"/>
                <w:szCs w:val="20"/>
              </w:rPr>
            </w:pPr>
            <w:r w:rsidRPr="003F0E9A">
              <w:rPr>
                <w:rFonts w:ascii="Arial Narrow" w:hAnsi="Arial Narrow"/>
                <w:sz w:val="20"/>
                <w:szCs w:val="20"/>
              </w:rPr>
              <w:t>N</w:t>
            </w:r>
            <w:r w:rsidR="00C40C48" w:rsidRPr="003F0E9A">
              <w:rPr>
                <w:rFonts w:ascii="Arial Narrow" w:hAnsi="Arial Narrow"/>
                <w:sz w:val="20"/>
                <w:szCs w:val="20"/>
              </w:rPr>
              <w:t>o active cancer</w:t>
            </w:r>
          </w:p>
        </w:tc>
        <w:tc>
          <w:tcPr>
            <w:tcW w:w="386" w:type="pct"/>
          </w:tcPr>
          <w:p w14:paraId="5BABEF80" w14:textId="1A97110E"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r w:rsidR="00C40C48" w:rsidRPr="00A67B5A" w14:paraId="33FC8232" w14:textId="656F2486" w:rsidTr="00B647E0">
        <w:trPr>
          <w:jc w:val="center"/>
        </w:trPr>
        <w:tc>
          <w:tcPr>
            <w:tcW w:w="4614" w:type="pct"/>
          </w:tcPr>
          <w:p w14:paraId="6D92CE2D" w14:textId="7629B67F" w:rsidR="00C40C48" w:rsidRPr="003F0E9A" w:rsidRDefault="008468A9" w:rsidP="00A67B5A">
            <w:pPr>
              <w:pStyle w:val="051Tabletext229pt"/>
              <w:rPr>
                <w:rFonts w:ascii="Arial Narrow" w:hAnsi="Arial Narrow"/>
                <w:sz w:val="20"/>
                <w:szCs w:val="20"/>
              </w:rPr>
            </w:pPr>
            <w:r w:rsidRPr="003F0E9A">
              <w:rPr>
                <w:rFonts w:ascii="Arial Narrow" w:hAnsi="Arial Narrow"/>
                <w:sz w:val="20"/>
                <w:szCs w:val="20"/>
              </w:rPr>
              <w:t>N</w:t>
            </w:r>
            <w:r w:rsidR="00C40C48" w:rsidRPr="003F0E9A">
              <w:rPr>
                <w:rFonts w:ascii="Arial Narrow" w:hAnsi="Arial Narrow"/>
                <w:sz w:val="20"/>
                <w:szCs w:val="20"/>
              </w:rPr>
              <w:t>o history of solid or hematopoietic progenitor cell transplant</w:t>
            </w:r>
          </w:p>
        </w:tc>
        <w:tc>
          <w:tcPr>
            <w:tcW w:w="386" w:type="pct"/>
          </w:tcPr>
          <w:p w14:paraId="73D91EFD" w14:textId="3075F6DE"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r w:rsidR="00C40C48" w:rsidRPr="00A67B5A" w14:paraId="2DA6B11C" w14:textId="584DFD10" w:rsidTr="00B647E0">
        <w:trPr>
          <w:jc w:val="center"/>
        </w:trPr>
        <w:tc>
          <w:tcPr>
            <w:tcW w:w="4614" w:type="pct"/>
          </w:tcPr>
          <w:p w14:paraId="791B76BA" w14:textId="394B1E19" w:rsidR="00C40C48" w:rsidRPr="003F0E9A" w:rsidRDefault="008468A9" w:rsidP="00A67B5A">
            <w:pPr>
              <w:pStyle w:val="051Tabletext229pt"/>
              <w:rPr>
                <w:rFonts w:ascii="Arial Narrow" w:hAnsi="Arial Narrow"/>
                <w:sz w:val="20"/>
                <w:szCs w:val="20"/>
              </w:rPr>
            </w:pPr>
            <w:r w:rsidRPr="003F0E9A">
              <w:rPr>
                <w:rFonts w:ascii="Arial Narrow" w:hAnsi="Arial Narrow"/>
                <w:sz w:val="20"/>
                <w:szCs w:val="20"/>
              </w:rPr>
              <w:t>M</w:t>
            </w:r>
            <w:r w:rsidR="00C40C48" w:rsidRPr="003F0E9A">
              <w:rPr>
                <w:rFonts w:ascii="Arial Narrow" w:hAnsi="Arial Narrow"/>
                <w:sz w:val="20"/>
                <w:szCs w:val="20"/>
              </w:rPr>
              <w:t>ean corpuscular volume of &lt;90 fL</w:t>
            </w:r>
          </w:p>
        </w:tc>
        <w:tc>
          <w:tcPr>
            <w:tcW w:w="386" w:type="pct"/>
          </w:tcPr>
          <w:p w14:paraId="42F24426" w14:textId="388C5FA4"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r w:rsidR="00C40C48" w:rsidRPr="00A67B5A" w14:paraId="701E938D" w14:textId="64B67946" w:rsidTr="00B647E0">
        <w:trPr>
          <w:jc w:val="center"/>
        </w:trPr>
        <w:tc>
          <w:tcPr>
            <w:tcW w:w="4614" w:type="pct"/>
          </w:tcPr>
          <w:p w14:paraId="6EE55C9B" w14:textId="11CE7795" w:rsidR="00C40C48" w:rsidRPr="003F0E9A" w:rsidRDefault="008468A9" w:rsidP="00A67B5A">
            <w:pPr>
              <w:pStyle w:val="051Tabletext229pt"/>
              <w:rPr>
                <w:rFonts w:ascii="Arial Narrow" w:hAnsi="Arial Narrow"/>
                <w:sz w:val="20"/>
                <w:szCs w:val="20"/>
              </w:rPr>
            </w:pPr>
            <w:r w:rsidRPr="003F0E9A">
              <w:rPr>
                <w:rFonts w:ascii="Arial Narrow" w:hAnsi="Arial Narrow"/>
                <w:sz w:val="20"/>
                <w:szCs w:val="20"/>
              </w:rPr>
              <w:t>I</w:t>
            </w:r>
            <w:r w:rsidR="00C40C48" w:rsidRPr="003F0E9A">
              <w:rPr>
                <w:rFonts w:ascii="Arial Narrow" w:hAnsi="Arial Narrow"/>
                <w:sz w:val="20"/>
                <w:szCs w:val="20"/>
              </w:rPr>
              <w:t>nternational normalized ratio &lt;1.5</w:t>
            </w:r>
          </w:p>
        </w:tc>
        <w:tc>
          <w:tcPr>
            <w:tcW w:w="386" w:type="pct"/>
          </w:tcPr>
          <w:p w14:paraId="47577075" w14:textId="7C3DEADE"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r w:rsidR="00C40C48" w:rsidRPr="00A67B5A" w14:paraId="4E001A35" w14:textId="4051F2E3" w:rsidTr="00B647E0">
        <w:trPr>
          <w:jc w:val="center"/>
        </w:trPr>
        <w:tc>
          <w:tcPr>
            <w:tcW w:w="4614" w:type="pct"/>
          </w:tcPr>
          <w:p w14:paraId="600F8221" w14:textId="38CE4215" w:rsidR="00C40C48" w:rsidRPr="003F0E9A" w:rsidRDefault="008468A9" w:rsidP="00A67B5A">
            <w:pPr>
              <w:pStyle w:val="051Tabletext229pt"/>
              <w:rPr>
                <w:rFonts w:ascii="Arial Narrow" w:hAnsi="Arial Narrow"/>
                <w:sz w:val="20"/>
                <w:szCs w:val="20"/>
              </w:rPr>
            </w:pPr>
            <w:r w:rsidRPr="003F0E9A">
              <w:rPr>
                <w:rFonts w:ascii="Arial Narrow" w:hAnsi="Arial Narrow"/>
                <w:sz w:val="20"/>
                <w:szCs w:val="20"/>
              </w:rPr>
              <w:t>C</w:t>
            </w:r>
            <w:r w:rsidR="00C40C48" w:rsidRPr="003F0E9A">
              <w:rPr>
                <w:rFonts w:ascii="Arial Narrow" w:hAnsi="Arial Narrow"/>
                <w:sz w:val="20"/>
                <w:szCs w:val="20"/>
              </w:rPr>
              <w:t>reatinine level &lt;2 mg/dL</w:t>
            </w:r>
          </w:p>
        </w:tc>
        <w:tc>
          <w:tcPr>
            <w:tcW w:w="386" w:type="pct"/>
          </w:tcPr>
          <w:p w14:paraId="22DFB8C2" w14:textId="6E68541C" w:rsidR="00C40C48" w:rsidRPr="003F0E9A" w:rsidRDefault="00DF1101" w:rsidP="00A67B5A">
            <w:pPr>
              <w:pStyle w:val="051Tabletext229pt"/>
              <w:jc w:val="center"/>
              <w:rPr>
                <w:rFonts w:ascii="Arial Narrow" w:hAnsi="Arial Narrow"/>
                <w:sz w:val="20"/>
                <w:szCs w:val="20"/>
              </w:rPr>
            </w:pPr>
            <w:r w:rsidRPr="003F0E9A">
              <w:rPr>
                <w:rFonts w:ascii="Arial Narrow" w:hAnsi="Arial Narrow"/>
                <w:sz w:val="20"/>
                <w:szCs w:val="20"/>
              </w:rPr>
              <w:t>1</w:t>
            </w:r>
          </w:p>
        </w:tc>
      </w:tr>
    </w:tbl>
    <w:p w14:paraId="20ED0889" w14:textId="7D4A1CBC" w:rsidR="00B647E0" w:rsidRDefault="005C7CC7" w:rsidP="00E51DAE">
      <w:pPr>
        <w:pStyle w:val="Tablenotes"/>
        <w:spacing w:after="360"/>
      </w:pPr>
      <w:r>
        <w:t>Source:</w:t>
      </w:r>
      <w:r w:rsidR="008B3C92">
        <w:t xml:space="preserve"> </w:t>
      </w:r>
      <w:r w:rsidR="007B7A27">
        <w:t xml:space="preserve">adapted from </w:t>
      </w:r>
      <w:r w:rsidR="00135378">
        <w:t xml:space="preserve">Application </w:t>
      </w:r>
      <w:r w:rsidR="00A06947">
        <w:t>1796</w:t>
      </w:r>
      <w:r w:rsidR="00E717FC">
        <w:t xml:space="preserve"> for </w:t>
      </w:r>
      <w:r w:rsidR="00BE428B">
        <w:t>ADAMTS13 testing for TTP</w:t>
      </w:r>
      <w:r w:rsidR="00A06947">
        <w:t>, p</w:t>
      </w:r>
      <w:r w:rsidR="00E717FC">
        <w:t xml:space="preserve"> 3.</w:t>
      </w:r>
    </w:p>
    <w:p w14:paraId="1913699D" w14:textId="7A122DE3" w:rsidR="00674357" w:rsidRDefault="0087517B" w:rsidP="00674357">
      <w:r>
        <w:t xml:space="preserve">As </w:t>
      </w:r>
      <w:r w:rsidR="00D21DC5">
        <w:t xml:space="preserve">noted earlier, since </w:t>
      </w:r>
      <w:r>
        <w:t xml:space="preserve">TTP </w:t>
      </w:r>
      <w:r w:rsidR="00DF06EB">
        <w:t xml:space="preserve">is considered a medical emergency due to </w:t>
      </w:r>
      <w:r w:rsidR="004F6FD4">
        <w:t xml:space="preserve">high </w:t>
      </w:r>
      <w:r w:rsidR="00DF06EB">
        <w:t xml:space="preserve">mortality </w:t>
      </w:r>
      <w:r w:rsidR="001B63B7">
        <w:t>when</w:t>
      </w:r>
      <w:r w:rsidR="00DF06EB">
        <w:t xml:space="preserve"> </w:t>
      </w:r>
      <w:r w:rsidR="00C93443">
        <w:t>untreated</w:t>
      </w:r>
      <w:r w:rsidR="001B63B7">
        <w:t xml:space="preserve">, the suspicion of TTP requires immediate empiric therapy with </w:t>
      </w:r>
      <w:r w:rsidR="006748F4">
        <w:t>plasma exchange (</w:t>
      </w:r>
      <w:r w:rsidR="001B63B7">
        <w:t>PEX</w:t>
      </w:r>
      <w:r w:rsidR="006748F4">
        <w:t>)</w:t>
      </w:r>
      <w:r w:rsidR="00637AD0">
        <w:rPr>
          <w:iCs/>
        </w:rPr>
        <w:t>, which increases</w:t>
      </w:r>
      <w:r w:rsidR="00637AD0" w:rsidRPr="00A76F40">
        <w:rPr>
          <w:iCs/>
        </w:rPr>
        <w:t xml:space="preserve"> ADAMTS13 activity and </w:t>
      </w:r>
      <w:r w:rsidR="00637AD0">
        <w:rPr>
          <w:iCs/>
        </w:rPr>
        <w:t xml:space="preserve">removes the </w:t>
      </w:r>
      <w:r w:rsidR="00637AD0" w:rsidRPr="00A76F40">
        <w:rPr>
          <w:iCs/>
        </w:rPr>
        <w:t>anti-ADAMTS13 antibodies</w:t>
      </w:r>
      <w:r w:rsidR="00637AD0">
        <w:rPr>
          <w:iCs/>
        </w:rPr>
        <w:t xml:space="preserve"> that mediate TTP in the majority of cases (</w:t>
      </w:r>
      <w:r w:rsidR="00637AD0">
        <w:t>iTTP)</w:t>
      </w:r>
      <w:r w:rsidR="00637AD0">
        <w:rPr>
          <w:iCs/>
        </w:rPr>
        <w:t>. Where no ADAMTS13 testing occurs, PEX is continued until clinical response.</w:t>
      </w:r>
      <w:r w:rsidR="00674357">
        <w:rPr>
          <w:iCs/>
        </w:rPr>
        <w:t xml:space="preserve"> </w:t>
      </w:r>
    </w:p>
    <w:p w14:paraId="1511FA22" w14:textId="42A764A5" w:rsidR="00671F76" w:rsidRDefault="007411D6" w:rsidP="001D2476">
      <w:pPr>
        <w:pStyle w:val="Heading5"/>
      </w:pPr>
      <w:r>
        <w:t>PICO</w:t>
      </w:r>
      <w:r w:rsidR="00D15B44">
        <w:t xml:space="preserve"> Set</w:t>
      </w:r>
      <w:r>
        <w:t xml:space="preserve"> 1</w:t>
      </w:r>
      <w:r w:rsidR="00EB64CF">
        <w:t xml:space="preserve"> population</w:t>
      </w:r>
    </w:p>
    <w:p w14:paraId="61CA0C36" w14:textId="2F41E19F" w:rsidR="00B1525C" w:rsidRDefault="00D044D5" w:rsidP="00B1525C">
      <w:r>
        <w:t xml:space="preserve">The population for PICO Set 1 is patients presenting with </w:t>
      </w:r>
      <w:r w:rsidR="0300F144">
        <w:t>symptoms and signs</w:t>
      </w:r>
      <w:r>
        <w:t xml:space="preserve"> suggestive of TMA and a PLASMIC score &gt;4. However, as 3 ADAMTS</w:t>
      </w:r>
      <w:r w:rsidR="00F815AA">
        <w:t>13</w:t>
      </w:r>
      <w:r>
        <w:t xml:space="preserve"> tests are proposed to be undertaken sequentially, the population</w:t>
      </w:r>
      <w:r w:rsidR="00624804">
        <w:t>s</w:t>
      </w:r>
      <w:r>
        <w:t xml:space="preserve"> that </w:t>
      </w:r>
      <w:r w:rsidR="002E7EE8">
        <w:t>are</w:t>
      </w:r>
      <w:r>
        <w:t xml:space="preserve"> tested with </w:t>
      </w:r>
      <w:r w:rsidR="00B1525C">
        <w:t xml:space="preserve">the second and third tests are a subset of the starting population. This is illustrated in </w:t>
      </w:r>
      <w:r>
        <w:fldChar w:fldCharType="begin"/>
      </w:r>
      <w:r>
        <w:instrText xml:space="preserve"> REF _Ref192243215 \h </w:instrText>
      </w:r>
      <w:r>
        <w:fldChar w:fldCharType="separate"/>
      </w:r>
      <w:r w:rsidR="00AE1C62">
        <w:t xml:space="preserve">Figure </w:t>
      </w:r>
      <w:r w:rsidR="00AE1C62" w:rsidRPr="7091EC2E">
        <w:rPr>
          <w:noProof/>
        </w:rPr>
        <w:t>1</w:t>
      </w:r>
      <w:r>
        <w:fldChar w:fldCharType="end"/>
      </w:r>
      <w:r w:rsidR="00B1525C">
        <w:t xml:space="preserve"> </w:t>
      </w:r>
      <w:r w:rsidR="009919DC">
        <w:t xml:space="preserve">that </w:t>
      </w:r>
      <w:r w:rsidR="00B1525C">
        <w:t>shows the testing pathway. Clinical management decisions are excluded from this pathway.</w:t>
      </w:r>
    </w:p>
    <w:p w14:paraId="1F43527B" w14:textId="724FA068" w:rsidR="00B1525C" w:rsidRDefault="00FE7A53" w:rsidP="0019041B">
      <w:pPr>
        <w:keepNext/>
        <w:spacing w:after="0"/>
        <w:jc w:val="center"/>
        <w:rPr>
          <w:lang w:val="en-GB" w:eastAsia="ja-JP"/>
        </w:rPr>
      </w:pPr>
      <w:r>
        <w:rPr>
          <w:noProof/>
          <w:sz w:val="16"/>
          <w:szCs w:val="16"/>
        </w:rPr>
        <w:lastRenderedPageBreak/>
        <w:drawing>
          <wp:inline distT="0" distB="0" distL="0" distR="0" wp14:anchorId="35C77F54" wp14:editId="26FB7F31">
            <wp:extent cx="5865288" cy="4158533"/>
            <wp:effectExtent l="0" t="0" r="2540" b="0"/>
            <wp:docPr id="1363002171" name="Picture 1" descr="Figure 1 Testing algorithm for the differential diagnosis of iTTP and cTTP, showing the three tests included in PICO S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002171" name="Picture 1" descr="Figure 1 Testing algorithm for the differential diagnosis of iTTP and cTTP, showing the three tests included in PICO Se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9483" cy="4168597"/>
                    </a:xfrm>
                    <a:prstGeom prst="rect">
                      <a:avLst/>
                    </a:prstGeom>
                  </pic:spPr>
                </pic:pic>
              </a:graphicData>
            </a:graphic>
          </wp:inline>
        </w:drawing>
      </w:r>
    </w:p>
    <w:p w14:paraId="74BFEA82" w14:textId="5C6831E7" w:rsidR="00B1525C" w:rsidRDefault="00B1525C" w:rsidP="00B1525C">
      <w:pPr>
        <w:pStyle w:val="Caption"/>
        <w:spacing w:before="120" w:after="0"/>
      </w:pPr>
      <w:bookmarkStart w:id="6" w:name="_Ref192243215"/>
      <w:r>
        <w:t xml:space="preserve">Figure </w:t>
      </w:r>
      <w:r>
        <w:fldChar w:fldCharType="begin"/>
      </w:r>
      <w:r>
        <w:instrText xml:space="preserve"> SEQ Figure \* ARABIC </w:instrText>
      </w:r>
      <w:r>
        <w:fldChar w:fldCharType="separate"/>
      </w:r>
      <w:r w:rsidR="00AE1C62">
        <w:rPr>
          <w:noProof/>
        </w:rPr>
        <w:t>1</w:t>
      </w:r>
      <w:r>
        <w:fldChar w:fldCharType="end"/>
      </w:r>
      <w:bookmarkEnd w:id="6"/>
      <w:r>
        <w:tab/>
        <w:t xml:space="preserve">Testing algorithm for the </w:t>
      </w:r>
      <w:r w:rsidR="00040F47">
        <w:t>differential</w:t>
      </w:r>
      <w:r w:rsidR="007C5583">
        <w:t xml:space="preserve"> </w:t>
      </w:r>
      <w:r>
        <w:t>diagnosis of iTTP and cTTP</w:t>
      </w:r>
    </w:p>
    <w:p w14:paraId="0194756A" w14:textId="77777777" w:rsidR="00B1525C" w:rsidRDefault="00B1525C" w:rsidP="00B1525C">
      <w:pPr>
        <w:pStyle w:val="Tablenotes"/>
        <w:keepNext/>
        <w:spacing w:after="0"/>
        <w:rPr>
          <w:lang w:val="en-GB" w:eastAsia="ja-JP"/>
        </w:rPr>
      </w:pPr>
      <w:r>
        <w:rPr>
          <w:lang w:val="en-GB" w:eastAsia="ja-JP"/>
        </w:rPr>
        <w:t xml:space="preserve">Source: </w:t>
      </w:r>
      <w:r w:rsidRPr="0075504A">
        <w:rPr>
          <w:lang w:eastAsia="ja-JP"/>
        </w:rPr>
        <w:t>adapted from Sukamar et al. (2021), Figure 2,</w:t>
      </w:r>
      <w:r>
        <w:rPr>
          <w:lang w:eastAsia="ja-JP"/>
        </w:rPr>
        <w:t xml:space="preserve"> </w:t>
      </w:r>
      <w:r>
        <w:rPr>
          <w:lang w:val="en-GB" w:eastAsia="ja-JP"/>
        </w:rPr>
        <w:t>by the assessment group.</w:t>
      </w:r>
    </w:p>
    <w:p w14:paraId="37692479" w14:textId="77777777" w:rsidR="00B1525C" w:rsidRDefault="00B1525C" w:rsidP="00B1525C">
      <w:pPr>
        <w:pStyle w:val="Tablenotes"/>
        <w:rPr>
          <w:lang w:val="en-GB" w:eastAsia="ja-JP"/>
        </w:rPr>
      </w:pPr>
      <w:r w:rsidRPr="00B30FAE">
        <w:rPr>
          <w:lang w:val="en-GB" w:eastAsia="ja-JP"/>
        </w:rPr>
        <w:t>aHUS = atypical haemolytic uraemic syndrome;</w:t>
      </w:r>
      <w:r>
        <w:rPr>
          <w:lang w:val="en-GB" w:eastAsia="ja-JP"/>
        </w:rPr>
        <w:t xml:space="preserve"> </w:t>
      </w:r>
      <w:r w:rsidRPr="00B30FAE">
        <w:rPr>
          <w:lang w:val="en-GB" w:eastAsia="ja-JP"/>
        </w:rPr>
        <w:t>cTTP = congenital TTP;</w:t>
      </w:r>
      <w:r>
        <w:rPr>
          <w:lang w:val="en-GB" w:eastAsia="ja-JP"/>
        </w:rPr>
        <w:t xml:space="preserve"> </w:t>
      </w:r>
      <w:r w:rsidRPr="00B30FAE">
        <w:rPr>
          <w:lang w:val="en-GB" w:eastAsia="ja-JP"/>
        </w:rPr>
        <w:t>iTTP = immune-mediated TTP;</w:t>
      </w:r>
      <w:r>
        <w:rPr>
          <w:lang w:val="en-GB" w:eastAsia="ja-JP"/>
        </w:rPr>
        <w:t xml:space="preserve"> </w:t>
      </w:r>
      <w:r w:rsidRPr="00B30FAE">
        <w:rPr>
          <w:lang w:val="en-GB" w:eastAsia="ja-JP"/>
        </w:rPr>
        <w:t>TMA = thrombotic microangiopathy;</w:t>
      </w:r>
      <w:r>
        <w:rPr>
          <w:lang w:val="en-GB" w:eastAsia="ja-JP"/>
        </w:rPr>
        <w:t xml:space="preserve"> </w:t>
      </w:r>
      <w:r w:rsidRPr="00B30FAE">
        <w:rPr>
          <w:lang w:val="en-GB" w:eastAsia="ja-JP"/>
        </w:rPr>
        <w:t>TTP = thrombotic thrombocytopenic purpura</w:t>
      </w:r>
      <w:r>
        <w:rPr>
          <w:lang w:val="en-GB" w:eastAsia="ja-JP"/>
        </w:rPr>
        <w:t>.</w:t>
      </w:r>
    </w:p>
    <w:p w14:paraId="7B329684" w14:textId="7AD96121" w:rsidR="00D044D5" w:rsidRDefault="00E47B75" w:rsidP="00713717">
      <w:r>
        <w:t>The population for the second test</w:t>
      </w:r>
      <w:r w:rsidR="004A5601">
        <w:t xml:space="preserve">, anti-ADAMTS13 </w:t>
      </w:r>
      <w:r w:rsidR="00AF39CA">
        <w:t>auto</w:t>
      </w:r>
      <w:r w:rsidR="004A5601">
        <w:t>antibody test</w:t>
      </w:r>
      <w:r w:rsidR="001B118B">
        <w:t>ing</w:t>
      </w:r>
      <w:r w:rsidR="004A5601">
        <w:t xml:space="preserve">, is only those patients </w:t>
      </w:r>
      <w:r w:rsidR="00A44EB1">
        <w:t xml:space="preserve">with </w:t>
      </w:r>
      <w:r w:rsidR="000033D9">
        <w:t xml:space="preserve">an </w:t>
      </w:r>
      <w:r w:rsidR="005D7375">
        <w:t>ADAMTS13 activity</w:t>
      </w:r>
      <w:r w:rsidR="00A44EB1">
        <w:t xml:space="preserve"> level &lt;10%</w:t>
      </w:r>
      <w:r w:rsidR="005D7375">
        <w:t xml:space="preserve"> (i.e. TTP was confirmed). The population for the third test, </w:t>
      </w:r>
      <w:r w:rsidR="005D7375" w:rsidRPr="000033D9">
        <w:rPr>
          <w:i/>
          <w:iCs/>
        </w:rPr>
        <w:t>ADAMTS13</w:t>
      </w:r>
      <w:r w:rsidR="005D7375">
        <w:t xml:space="preserve"> genetic testing, is only those patients who </w:t>
      </w:r>
      <w:r w:rsidR="00BE2BE8">
        <w:t xml:space="preserve">also tested negative for </w:t>
      </w:r>
      <w:r w:rsidR="00F70257">
        <w:t xml:space="preserve">anti-ADAMTS13 </w:t>
      </w:r>
      <w:r w:rsidR="009C60E7">
        <w:t>auto</w:t>
      </w:r>
      <w:r w:rsidR="00F70257">
        <w:t xml:space="preserve">antibodies. This is a very small proportion of the starting population. </w:t>
      </w:r>
    </w:p>
    <w:p w14:paraId="2AB43DCF" w14:textId="6DEDE76B" w:rsidR="008F2DB7" w:rsidRDefault="0010452C" w:rsidP="00713717">
      <w:r>
        <w:t>S</w:t>
      </w:r>
      <w:r w:rsidR="004E4FE2">
        <w:t>ymptoms</w:t>
      </w:r>
      <w:r w:rsidR="00536066">
        <w:t xml:space="preserve"> and signs</w:t>
      </w:r>
      <w:r w:rsidR="004E4FE2">
        <w:t xml:space="preserve"> suggestive of TMA </w:t>
      </w:r>
      <w:r>
        <w:t>include</w:t>
      </w:r>
      <w:r w:rsidR="004E4FE2">
        <w:t xml:space="preserve"> thrombocytopenia, microangiopathic haemolytic anaemia and neurological symptoms ranging from headache to coma</w:t>
      </w:r>
      <w:r>
        <w:t xml:space="preserve">. </w:t>
      </w:r>
      <w:r w:rsidR="006B5180">
        <w:t>Where</w:t>
      </w:r>
      <w:r w:rsidR="004E4FE2">
        <w:t xml:space="preserve"> a PLASMIC score</w:t>
      </w:r>
      <w:r w:rsidR="006B5180">
        <w:t xml:space="preserve"> is</w:t>
      </w:r>
      <w:r w:rsidR="004E4FE2">
        <w:t xml:space="preserve"> &gt;4</w:t>
      </w:r>
      <w:r w:rsidR="00BB0D71">
        <w:t>, s</w:t>
      </w:r>
      <w:r w:rsidR="00BB0D71" w:rsidRPr="00BB0D71">
        <w:t>evere thrombocytopenia and milder renal impairment may suggest TTP rather than aHUS</w:t>
      </w:r>
      <w:r w:rsidR="00B228B8">
        <w:t xml:space="preserve"> but</w:t>
      </w:r>
      <w:r w:rsidR="00BB0D71" w:rsidRPr="00BB0D71">
        <w:t xml:space="preserve"> ADAMTS13 activity testing is required to definitively differentiate TTP from aHUS.</w:t>
      </w:r>
      <w:r w:rsidR="00EF3501">
        <w:t xml:space="preserve"> </w:t>
      </w:r>
      <w:r w:rsidR="008F2DB7">
        <w:t>P</w:t>
      </w:r>
      <w:r w:rsidR="00814969">
        <w:t xml:space="preserve">atients commence urgent PEX therapy and </w:t>
      </w:r>
      <w:r w:rsidR="0056584A">
        <w:t>ADAMTS13 activity testing</w:t>
      </w:r>
      <w:r w:rsidR="001B5E52">
        <w:t xml:space="preserve"> (</w:t>
      </w:r>
      <w:r w:rsidR="001B5E52" w:rsidRPr="0095233F">
        <w:rPr>
          <w:b/>
          <w:bCs/>
        </w:rPr>
        <w:t>Test 1</w:t>
      </w:r>
      <w:r w:rsidR="001B5E52">
        <w:t>)</w:t>
      </w:r>
      <w:r w:rsidR="00EF3501">
        <w:t xml:space="preserve"> is performed</w:t>
      </w:r>
      <w:r w:rsidR="00D20A59">
        <w:t xml:space="preserve">. </w:t>
      </w:r>
    </w:p>
    <w:p w14:paraId="77DA6C72" w14:textId="28D1D8F0" w:rsidR="0056584A" w:rsidRDefault="00452C43" w:rsidP="00713717">
      <w:r>
        <w:t xml:space="preserve">An </w:t>
      </w:r>
      <w:r w:rsidR="00D20A59">
        <w:t>ADAMTS13</w:t>
      </w:r>
      <w:r w:rsidR="009F6C80">
        <w:t xml:space="preserve"> a</w:t>
      </w:r>
      <w:r w:rsidR="008C7E5D">
        <w:t>ctivity level</w:t>
      </w:r>
      <w:r>
        <w:t xml:space="preserve"> of</w:t>
      </w:r>
      <w:r w:rsidR="008C7E5D">
        <w:t xml:space="preserve"> &lt;10</w:t>
      </w:r>
      <w:r w:rsidR="009942E2">
        <w:t>% confirm</w:t>
      </w:r>
      <w:r>
        <w:t>s</w:t>
      </w:r>
      <w:r w:rsidR="009942E2">
        <w:t xml:space="preserve"> a diagnosis of TTP</w:t>
      </w:r>
      <w:r w:rsidR="009F6C80">
        <w:t xml:space="preserve"> and </w:t>
      </w:r>
      <w:r w:rsidR="00D20A59">
        <w:t xml:space="preserve">these </w:t>
      </w:r>
      <w:r w:rsidR="009F6C80">
        <w:t>patients remain on PEX</w:t>
      </w:r>
      <w:r w:rsidR="00012FD0">
        <w:t xml:space="preserve"> </w:t>
      </w:r>
      <w:r w:rsidR="00012FD0" w:rsidRPr="00BB0D71">
        <w:t>(&lt;10% supports a diagnosis of TTP, although 1% is more typically observed in these patients</w:t>
      </w:r>
      <w:r w:rsidR="00CE62A5">
        <w:rPr>
          <w:rStyle w:val="FootnoteReference"/>
        </w:rPr>
        <w:footnoteReference w:id="2"/>
      </w:r>
      <w:r w:rsidR="00012FD0" w:rsidRPr="00BB0D71">
        <w:t>)</w:t>
      </w:r>
      <w:r w:rsidR="00D20A59">
        <w:t>.</w:t>
      </w:r>
      <w:r w:rsidR="009F6C80">
        <w:t xml:space="preserve"> </w:t>
      </w:r>
      <w:r>
        <w:t xml:space="preserve">An </w:t>
      </w:r>
      <w:r w:rsidR="00D20A59">
        <w:t xml:space="preserve">ADAMTS13 </w:t>
      </w:r>
      <w:r w:rsidR="009F6C80">
        <w:t xml:space="preserve">activity level </w:t>
      </w:r>
      <w:r w:rsidR="009F6C80">
        <w:rPr>
          <w:rFonts w:cs="Calibri"/>
        </w:rPr>
        <w:t>≥</w:t>
      </w:r>
      <w:r w:rsidR="009F6C80">
        <w:t>10% exclude</w:t>
      </w:r>
      <w:r>
        <w:t>s</w:t>
      </w:r>
      <w:r w:rsidR="009F6C80">
        <w:t xml:space="preserve"> a diagnosis of TTP</w:t>
      </w:r>
      <w:r w:rsidR="009942E2">
        <w:t xml:space="preserve"> </w:t>
      </w:r>
      <w:r w:rsidR="009F6C80">
        <w:t xml:space="preserve">and these patients </w:t>
      </w:r>
      <w:r w:rsidR="00CF68E3">
        <w:t xml:space="preserve">can safely </w:t>
      </w:r>
      <w:r w:rsidR="009F6C80">
        <w:t>cease PEX</w:t>
      </w:r>
      <w:r w:rsidR="00EF50D2">
        <w:t>;</w:t>
      </w:r>
      <w:r w:rsidR="001666B7">
        <w:t xml:space="preserve"> </w:t>
      </w:r>
      <w:r w:rsidR="009F337F">
        <w:t>further</w:t>
      </w:r>
      <w:r w:rsidR="001666B7">
        <w:t xml:space="preserve"> testing</w:t>
      </w:r>
      <w:r w:rsidR="00EF50D2">
        <w:t xml:space="preserve"> may be needed</w:t>
      </w:r>
      <w:r w:rsidR="001666B7">
        <w:t xml:space="preserve"> </w:t>
      </w:r>
      <w:r w:rsidR="009F337F">
        <w:t>to establish an alternative diagnosis</w:t>
      </w:r>
      <w:r w:rsidR="00EF50D2">
        <w:t xml:space="preserve">, but </w:t>
      </w:r>
      <w:r w:rsidR="003E5B15">
        <w:t>exclusion of TTP in</w:t>
      </w:r>
      <w:r w:rsidR="00A70235">
        <w:t xml:space="preserve"> this population </w:t>
      </w:r>
      <w:r w:rsidR="003E5B15">
        <w:t xml:space="preserve">is likely to </w:t>
      </w:r>
      <w:r w:rsidR="00700C80">
        <w:t>confirm</w:t>
      </w:r>
      <w:r w:rsidR="003E5B15">
        <w:t xml:space="preserve"> a diagnosis of aHUS</w:t>
      </w:r>
      <w:r w:rsidR="0090380E">
        <w:t xml:space="preserve">, and these patients </w:t>
      </w:r>
      <w:r w:rsidR="00477869">
        <w:t xml:space="preserve">would be considered for </w:t>
      </w:r>
      <w:r w:rsidR="00392FD5">
        <w:t xml:space="preserve">PBS-listed </w:t>
      </w:r>
      <w:r w:rsidR="00943293">
        <w:t>complement inhibitors</w:t>
      </w:r>
      <w:r w:rsidR="00C67DCF">
        <w:t xml:space="preserve"> (eculizumab or ravulizumab)</w:t>
      </w:r>
      <w:r w:rsidR="0090380E">
        <w:t>.</w:t>
      </w:r>
    </w:p>
    <w:p w14:paraId="7FE9D01C" w14:textId="1A7C9F2D" w:rsidR="004E4FE2" w:rsidRDefault="004D3897" w:rsidP="00713717">
      <w:r>
        <w:t>Patients with</w:t>
      </w:r>
      <w:r w:rsidR="004E4FE2" w:rsidRPr="006140B4">
        <w:t xml:space="preserve"> confirmed TTP</w:t>
      </w:r>
      <w:r>
        <w:t xml:space="preserve"> </w:t>
      </w:r>
      <w:r w:rsidR="00B0414D">
        <w:t xml:space="preserve">are the population who </w:t>
      </w:r>
      <w:r w:rsidR="00AB26A5">
        <w:t>undergo</w:t>
      </w:r>
      <w:r w:rsidR="00092781">
        <w:t xml:space="preserve"> </w:t>
      </w:r>
      <w:r w:rsidR="009E4105">
        <w:t>anti-</w:t>
      </w:r>
      <w:r w:rsidR="00092781">
        <w:t xml:space="preserve">ADAMTS13 </w:t>
      </w:r>
      <w:r w:rsidR="003973C2">
        <w:t>autoantibod</w:t>
      </w:r>
      <w:r w:rsidR="00AC63B5">
        <w:t>y</w:t>
      </w:r>
      <w:r w:rsidR="00092781">
        <w:t xml:space="preserve"> testing</w:t>
      </w:r>
      <w:r w:rsidR="001B5E52">
        <w:t xml:space="preserve"> (</w:t>
      </w:r>
      <w:r w:rsidR="001B5E52" w:rsidRPr="0095233F">
        <w:rPr>
          <w:b/>
          <w:bCs/>
        </w:rPr>
        <w:t>Test 2</w:t>
      </w:r>
      <w:r w:rsidR="001B5E52">
        <w:t>)</w:t>
      </w:r>
      <w:r w:rsidR="00092781">
        <w:t xml:space="preserve"> </w:t>
      </w:r>
      <w:r w:rsidR="00BA4BF7">
        <w:t>to distinguish</w:t>
      </w:r>
      <w:r w:rsidR="00B75F6B">
        <w:t xml:space="preserve"> those with </w:t>
      </w:r>
      <w:r w:rsidR="00C541B3">
        <w:t>iT</w:t>
      </w:r>
      <w:r w:rsidR="004059A7">
        <w:t xml:space="preserve">TP </w:t>
      </w:r>
      <w:r w:rsidR="00B8210E">
        <w:t>from</w:t>
      </w:r>
      <w:r w:rsidR="004059A7">
        <w:t xml:space="preserve"> suspected cTTP. </w:t>
      </w:r>
      <w:r w:rsidR="00AF0757">
        <w:t xml:space="preserve">This is important because </w:t>
      </w:r>
      <w:r w:rsidR="002D6CC9">
        <w:t xml:space="preserve">PEX is </w:t>
      </w:r>
      <w:r w:rsidR="0048304F">
        <w:t>continued for iTTP</w:t>
      </w:r>
      <w:r w:rsidR="00AF0757">
        <w:t xml:space="preserve"> </w:t>
      </w:r>
      <w:r w:rsidR="00446B4A">
        <w:lastRenderedPageBreak/>
        <w:t xml:space="preserve">to </w:t>
      </w:r>
      <w:r w:rsidR="00362021">
        <w:t>reduce</w:t>
      </w:r>
      <w:r w:rsidR="00446B4A">
        <w:t xml:space="preserve"> anti-ADAMTS13 antibodies </w:t>
      </w:r>
      <w:r w:rsidR="00AF0757">
        <w:t xml:space="preserve">but </w:t>
      </w:r>
      <w:r w:rsidR="00FE509A">
        <w:t xml:space="preserve">discontinued </w:t>
      </w:r>
      <w:r w:rsidR="00A67BE5">
        <w:t xml:space="preserve">for </w:t>
      </w:r>
      <w:r w:rsidR="00FE509A">
        <w:t>suspected cTTP</w:t>
      </w:r>
      <w:r w:rsidR="009B5DCA">
        <w:t xml:space="preserve"> because </w:t>
      </w:r>
      <w:r w:rsidR="00B57F5F">
        <w:t xml:space="preserve">the </w:t>
      </w:r>
      <w:r w:rsidR="00FE509A">
        <w:t xml:space="preserve">pathology </w:t>
      </w:r>
      <w:r w:rsidR="00E368A8">
        <w:t>is not immune-mediated</w:t>
      </w:r>
      <w:r w:rsidR="00B72687" w:rsidRPr="00B72687">
        <w:t xml:space="preserve"> </w:t>
      </w:r>
      <w:r w:rsidR="00B72687">
        <w:t>so r</w:t>
      </w:r>
      <w:r w:rsidR="00B72687" w:rsidRPr="00B72687">
        <w:t>emoval of anti-ADAMTS13 antibodies is not required in th</w:t>
      </w:r>
      <w:r w:rsidR="00B72687">
        <w:t>e</w:t>
      </w:r>
      <w:r w:rsidR="00B72687" w:rsidRPr="00B72687">
        <w:t>se patients</w:t>
      </w:r>
      <w:r w:rsidR="00FE509A">
        <w:t>.</w:t>
      </w:r>
      <w:r w:rsidR="00F75BC7">
        <w:t xml:space="preserve"> Instead, the</w:t>
      </w:r>
      <w:r w:rsidR="00765204">
        <w:t>se patients</w:t>
      </w:r>
      <w:r w:rsidR="00F75BC7">
        <w:t xml:space="preserve"> </w:t>
      </w:r>
      <w:r w:rsidR="008C077D">
        <w:t xml:space="preserve">receive plasma infusions to </w:t>
      </w:r>
      <w:r w:rsidR="00E70931">
        <w:t>increase levels of ADAMTS13 activity</w:t>
      </w:r>
      <w:r w:rsidR="00B17DA1">
        <w:t xml:space="preserve"> without the risks </w:t>
      </w:r>
      <w:r w:rsidR="005466D2">
        <w:t xml:space="preserve">associated with </w:t>
      </w:r>
      <w:r w:rsidR="00B17DA1">
        <w:t>PEX</w:t>
      </w:r>
      <w:r w:rsidR="00E70931">
        <w:t>.</w:t>
      </w:r>
    </w:p>
    <w:p w14:paraId="50485F8C" w14:textId="2A289E75" w:rsidR="00B9566B" w:rsidRDefault="003F66B2" w:rsidP="00713717">
      <w:pPr>
        <w:rPr>
          <w:iCs/>
        </w:rPr>
      </w:pPr>
      <w:r>
        <w:t>Only those p</w:t>
      </w:r>
      <w:r w:rsidR="00167817">
        <w:t xml:space="preserve">atients </w:t>
      </w:r>
      <w:r w:rsidR="000D544C">
        <w:t>with suspected cTTP</w:t>
      </w:r>
      <w:r w:rsidR="00167817">
        <w:t xml:space="preserve"> </w:t>
      </w:r>
      <w:r w:rsidR="008A04EA">
        <w:t xml:space="preserve">would be eligible for </w:t>
      </w:r>
      <w:r w:rsidR="005D03B6" w:rsidRPr="00C934C2">
        <w:rPr>
          <w:i/>
        </w:rPr>
        <w:t>ADAMTS13</w:t>
      </w:r>
      <w:r w:rsidR="005D03B6" w:rsidRPr="00C934C2">
        <w:rPr>
          <w:iCs/>
        </w:rPr>
        <w:t xml:space="preserve"> genetic testing</w:t>
      </w:r>
      <w:r w:rsidR="0095233F">
        <w:rPr>
          <w:iCs/>
        </w:rPr>
        <w:t xml:space="preserve"> (</w:t>
      </w:r>
      <w:r w:rsidR="0095233F" w:rsidRPr="0095233F">
        <w:rPr>
          <w:b/>
          <w:bCs/>
          <w:iCs/>
        </w:rPr>
        <w:t>Test 3</w:t>
      </w:r>
      <w:r w:rsidR="0095233F">
        <w:rPr>
          <w:iCs/>
        </w:rPr>
        <w:t>)</w:t>
      </w:r>
      <w:r w:rsidR="0090084D">
        <w:rPr>
          <w:iCs/>
        </w:rPr>
        <w:t xml:space="preserve">. </w:t>
      </w:r>
      <w:r w:rsidR="000E010F">
        <w:rPr>
          <w:iCs/>
        </w:rPr>
        <w:t xml:space="preserve">Unlike the earlier tests in the diagnostic pathway, </w:t>
      </w:r>
      <w:r w:rsidR="00CF6443" w:rsidRPr="00C934C2">
        <w:rPr>
          <w:i/>
        </w:rPr>
        <w:t>ADAMTS13</w:t>
      </w:r>
      <w:r w:rsidR="00CF6443" w:rsidRPr="00C934C2">
        <w:rPr>
          <w:iCs/>
        </w:rPr>
        <w:t xml:space="preserve"> genetic testing</w:t>
      </w:r>
      <w:r w:rsidR="00CF6443">
        <w:rPr>
          <w:iCs/>
        </w:rPr>
        <w:t xml:space="preserve"> occurs </w:t>
      </w:r>
      <w:r w:rsidR="00E77853">
        <w:t xml:space="preserve">once </w:t>
      </w:r>
      <w:r w:rsidR="00783CDE" w:rsidRPr="00783CDE">
        <w:t>a clinical response</w:t>
      </w:r>
      <w:r w:rsidR="00CF6443">
        <w:t xml:space="preserve"> has been achieved and where</w:t>
      </w:r>
      <w:r w:rsidR="00B46B65">
        <w:t xml:space="preserve"> </w:t>
      </w:r>
      <w:r w:rsidR="006F7C72">
        <w:t>ADAMTS13 activity levels</w:t>
      </w:r>
      <w:r w:rsidR="00B46B65">
        <w:t xml:space="preserve"> </w:t>
      </w:r>
      <w:r w:rsidR="00CF6443">
        <w:t>remain</w:t>
      </w:r>
      <w:r w:rsidR="00B46B65">
        <w:t xml:space="preserve"> persistently low</w:t>
      </w:r>
      <w:r w:rsidR="00A73775">
        <w:t xml:space="preserve"> (i.e. following initial monitoring, PICO Set </w:t>
      </w:r>
      <w:r w:rsidR="00FB0319">
        <w:t>3</w:t>
      </w:r>
      <w:r w:rsidR="00A73775">
        <w:t>)</w:t>
      </w:r>
      <w:r w:rsidR="005D219A">
        <w:t>.</w:t>
      </w:r>
      <w:r w:rsidR="008A04EA">
        <w:t xml:space="preserve"> </w:t>
      </w:r>
      <w:r w:rsidR="0090084D">
        <w:rPr>
          <w:iCs/>
        </w:rPr>
        <w:t xml:space="preserve">Identification of </w:t>
      </w:r>
      <w:r w:rsidR="00A032FB">
        <w:rPr>
          <w:iCs/>
        </w:rPr>
        <w:t>homozygous or compound heterozygous</w:t>
      </w:r>
      <w:r w:rsidR="00667935">
        <w:rPr>
          <w:iCs/>
        </w:rPr>
        <w:t xml:space="preserve"> path</w:t>
      </w:r>
      <w:r w:rsidR="00EF2BBF">
        <w:rPr>
          <w:iCs/>
        </w:rPr>
        <w:t>o</w:t>
      </w:r>
      <w:r w:rsidR="00FC1384">
        <w:rPr>
          <w:iCs/>
        </w:rPr>
        <w:t>genic</w:t>
      </w:r>
      <w:r w:rsidR="0090084D">
        <w:rPr>
          <w:iCs/>
        </w:rPr>
        <w:t xml:space="preserve"> genetic variant</w:t>
      </w:r>
      <w:r w:rsidR="00A032FB">
        <w:rPr>
          <w:iCs/>
        </w:rPr>
        <w:t>(s)</w:t>
      </w:r>
      <w:r w:rsidR="00C62D7F">
        <w:rPr>
          <w:iCs/>
        </w:rPr>
        <w:t xml:space="preserve"> confirms a </w:t>
      </w:r>
      <w:r w:rsidR="003B79C9">
        <w:rPr>
          <w:iCs/>
        </w:rPr>
        <w:t>diagnosis of cTTP</w:t>
      </w:r>
      <w:r w:rsidR="007D35FB">
        <w:rPr>
          <w:iCs/>
        </w:rPr>
        <w:t>, which can</w:t>
      </w:r>
      <w:r w:rsidR="00910742">
        <w:rPr>
          <w:iCs/>
        </w:rPr>
        <w:t xml:space="preserve"> inform </w:t>
      </w:r>
      <w:r w:rsidR="003868B7">
        <w:rPr>
          <w:iCs/>
        </w:rPr>
        <w:t>management decision</w:t>
      </w:r>
      <w:r w:rsidR="007D35FB">
        <w:rPr>
          <w:iCs/>
        </w:rPr>
        <w:t>s</w:t>
      </w:r>
      <w:r w:rsidR="003868B7">
        <w:rPr>
          <w:iCs/>
        </w:rPr>
        <w:t xml:space="preserve"> (e.g. </w:t>
      </w:r>
      <w:r w:rsidR="0060149B">
        <w:rPr>
          <w:iCs/>
        </w:rPr>
        <w:t xml:space="preserve">prophylactic plasma infusions). </w:t>
      </w:r>
      <w:r w:rsidR="000E0167">
        <w:rPr>
          <w:iCs/>
        </w:rPr>
        <w:t xml:space="preserve">If a </w:t>
      </w:r>
      <w:r w:rsidR="00EB49DA">
        <w:rPr>
          <w:iCs/>
        </w:rPr>
        <w:t>known patho</w:t>
      </w:r>
      <w:r w:rsidR="00FC1384">
        <w:rPr>
          <w:iCs/>
        </w:rPr>
        <w:t>genic</w:t>
      </w:r>
      <w:r w:rsidR="000E0167">
        <w:rPr>
          <w:iCs/>
        </w:rPr>
        <w:t xml:space="preserve"> variant is not identified</w:t>
      </w:r>
      <w:r w:rsidR="0006403E">
        <w:rPr>
          <w:iCs/>
        </w:rPr>
        <w:t>,</w:t>
      </w:r>
      <w:r w:rsidR="000E0167">
        <w:rPr>
          <w:iCs/>
        </w:rPr>
        <w:t xml:space="preserve"> the patient is </w:t>
      </w:r>
      <w:r w:rsidR="000E0167" w:rsidDel="00620637">
        <w:rPr>
          <w:iCs/>
        </w:rPr>
        <w:t xml:space="preserve">considered to have </w:t>
      </w:r>
      <w:r w:rsidR="000E0167">
        <w:rPr>
          <w:iCs/>
        </w:rPr>
        <w:t>TTP of unknown aetiol</w:t>
      </w:r>
      <w:r w:rsidR="00F62074">
        <w:rPr>
          <w:iCs/>
        </w:rPr>
        <w:t>o</w:t>
      </w:r>
      <w:r w:rsidR="000E0167">
        <w:rPr>
          <w:iCs/>
        </w:rPr>
        <w:t xml:space="preserve">gy. </w:t>
      </w:r>
    </w:p>
    <w:p w14:paraId="68A9EE77" w14:textId="77777777" w:rsidR="003A53EC" w:rsidRDefault="00BF3BD2" w:rsidP="00713717">
      <w:pPr>
        <w:rPr>
          <w:i/>
          <w:iCs/>
        </w:rPr>
      </w:pPr>
      <w:r>
        <w:rPr>
          <w:i/>
          <w:iCs/>
        </w:rPr>
        <w:t>F</w:t>
      </w:r>
      <w:r w:rsidRPr="007D423D">
        <w:rPr>
          <w:i/>
          <w:iCs/>
        </w:rPr>
        <w:t>or PICO Set 1</w:t>
      </w:r>
      <w:r>
        <w:rPr>
          <w:i/>
          <w:iCs/>
        </w:rPr>
        <w:t>, PASC</w:t>
      </w:r>
      <w:r w:rsidRPr="007D423D">
        <w:rPr>
          <w:i/>
          <w:iCs/>
        </w:rPr>
        <w:t xml:space="preserve"> considered </w:t>
      </w:r>
      <w:r>
        <w:rPr>
          <w:i/>
          <w:iCs/>
        </w:rPr>
        <w:t xml:space="preserve">that the population eligible for </w:t>
      </w:r>
      <w:r w:rsidRPr="00991E74">
        <w:rPr>
          <w:i/>
          <w:iCs/>
        </w:rPr>
        <w:t xml:space="preserve">ADAMTS13 activity </w:t>
      </w:r>
      <w:r>
        <w:rPr>
          <w:i/>
          <w:iCs/>
        </w:rPr>
        <w:t xml:space="preserve">testing should be expanded from the applicant’s proposed population of patients with suspected TTP to patients with suspected TMA. The rationale was to allow access for MBS-funded testing in patients who may require the test to access </w:t>
      </w:r>
      <w:r w:rsidRPr="007D423D">
        <w:rPr>
          <w:i/>
          <w:iCs/>
        </w:rPr>
        <w:t xml:space="preserve">PBS-listed treatments </w:t>
      </w:r>
      <w:r>
        <w:rPr>
          <w:i/>
          <w:iCs/>
        </w:rPr>
        <w:t xml:space="preserve">(e.g., eculizumab) </w:t>
      </w:r>
      <w:r w:rsidRPr="007D423D">
        <w:rPr>
          <w:i/>
          <w:iCs/>
        </w:rPr>
        <w:t>for aHUS</w:t>
      </w:r>
      <w:r>
        <w:rPr>
          <w:i/>
          <w:iCs/>
        </w:rPr>
        <w:t>. PASC</w:t>
      </w:r>
      <w:r w:rsidRPr="007D423D">
        <w:rPr>
          <w:i/>
          <w:iCs/>
        </w:rPr>
        <w:t xml:space="preserve"> noted that PBAC considered the </w:t>
      </w:r>
      <w:r>
        <w:rPr>
          <w:i/>
          <w:iCs/>
        </w:rPr>
        <w:t xml:space="preserve">ADAMTS13 activity </w:t>
      </w:r>
      <w:r w:rsidRPr="007D423D">
        <w:rPr>
          <w:i/>
          <w:iCs/>
        </w:rPr>
        <w:t xml:space="preserve">test </w:t>
      </w:r>
      <w:r>
        <w:rPr>
          <w:i/>
          <w:iCs/>
        </w:rPr>
        <w:t xml:space="preserve">as </w:t>
      </w:r>
      <w:r w:rsidRPr="007D423D">
        <w:rPr>
          <w:i/>
          <w:iCs/>
        </w:rPr>
        <w:t xml:space="preserve">part of the diagnostic work-up for aHUS and therefore not a co-dependent test. Furthermore, the diagnostic work-up was </w:t>
      </w:r>
      <w:r>
        <w:rPr>
          <w:i/>
          <w:iCs/>
        </w:rPr>
        <w:t xml:space="preserve">typically </w:t>
      </w:r>
      <w:r w:rsidRPr="007D423D">
        <w:rPr>
          <w:i/>
          <w:iCs/>
        </w:rPr>
        <w:t>undertaken in</w:t>
      </w:r>
      <w:r>
        <w:rPr>
          <w:i/>
          <w:iCs/>
        </w:rPr>
        <w:t xml:space="preserve"> patients admitted to public</w:t>
      </w:r>
      <w:r w:rsidRPr="007D423D">
        <w:rPr>
          <w:i/>
          <w:iCs/>
        </w:rPr>
        <w:t xml:space="preserve"> hospitals</w:t>
      </w:r>
      <w:r>
        <w:rPr>
          <w:i/>
          <w:iCs/>
        </w:rPr>
        <w:t>,</w:t>
      </w:r>
      <w:r w:rsidRPr="007D423D">
        <w:rPr>
          <w:i/>
          <w:iCs/>
        </w:rPr>
        <w:t xml:space="preserve"> </w:t>
      </w:r>
      <w:r>
        <w:rPr>
          <w:i/>
          <w:iCs/>
        </w:rPr>
        <w:t>in which case the test</w:t>
      </w:r>
      <w:r w:rsidRPr="007D423D">
        <w:rPr>
          <w:i/>
          <w:iCs/>
        </w:rPr>
        <w:t xml:space="preserve"> did not require an MBS item. </w:t>
      </w:r>
    </w:p>
    <w:p w14:paraId="44EC36E5" w14:textId="77777777" w:rsidR="00A10FEC" w:rsidRDefault="00BF3BD2" w:rsidP="00713717">
      <w:pPr>
        <w:rPr>
          <w:i/>
          <w:iCs/>
        </w:rPr>
      </w:pPr>
      <w:r>
        <w:rPr>
          <w:i/>
          <w:iCs/>
        </w:rPr>
        <w:t xml:space="preserve">The applicant noted that a very small proportion of </w:t>
      </w:r>
      <w:r w:rsidRPr="004F363F">
        <w:rPr>
          <w:i/>
          <w:iCs/>
        </w:rPr>
        <w:t>ADAMTS13 activity</w:t>
      </w:r>
      <w:r w:rsidRPr="00C044E8">
        <w:rPr>
          <w:i/>
          <w:iCs/>
        </w:rPr>
        <w:t xml:space="preserve"> </w:t>
      </w:r>
      <w:r>
        <w:rPr>
          <w:i/>
          <w:iCs/>
        </w:rPr>
        <w:t xml:space="preserve">tests are positive for TTP so clinicians are already ordering tests for suspected TMA. The applicant did not anticipate a significant change in the estimated population size if the wording of the PICO was expanded to include investigation of suspected TMA. </w:t>
      </w:r>
    </w:p>
    <w:p w14:paraId="73BBFC6D" w14:textId="0BE44D7F" w:rsidR="00BF3BD2" w:rsidRPr="00BF3BD2" w:rsidRDefault="00BF3BD2" w:rsidP="00713717">
      <w:pPr>
        <w:rPr>
          <w:i/>
          <w:iCs/>
        </w:rPr>
      </w:pPr>
      <w:r>
        <w:rPr>
          <w:i/>
          <w:iCs/>
        </w:rPr>
        <w:t>As for the economic evaluation, PASC advised that the assessment should focus on the cost-effectiveness of testing for the diagnosis of TTP (as per the original application) while the financial estimates should consider the broader costs of investigation of suspected TMA</w:t>
      </w:r>
      <w:r w:rsidR="00A65F5D">
        <w:rPr>
          <w:i/>
          <w:iCs/>
        </w:rPr>
        <w:t>.</w:t>
      </w:r>
    </w:p>
    <w:p w14:paraId="698C9759" w14:textId="411AFCC6" w:rsidR="000A1768" w:rsidRDefault="000A5C9C" w:rsidP="007F5C8B">
      <w:pPr>
        <w:pStyle w:val="Heading5"/>
      </w:pPr>
      <w:r>
        <w:t xml:space="preserve">PICO </w:t>
      </w:r>
      <w:r w:rsidR="00D15B44">
        <w:t>Set 2</w:t>
      </w:r>
      <w:r w:rsidR="00EB64CF" w:rsidRPr="00EB64CF">
        <w:t xml:space="preserve"> </w:t>
      </w:r>
      <w:r w:rsidR="00EB64CF">
        <w:t>population</w:t>
      </w:r>
    </w:p>
    <w:p w14:paraId="581404F2" w14:textId="3CE6484A" w:rsidR="003C6AD9" w:rsidRDefault="00762D67" w:rsidP="003C6AD9">
      <w:pPr>
        <w:rPr>
          <w:iCs/>
        </w:rPr>
      </w:pPr>
      <w:r>
        <w:t>PICO Set 2</w:t>
      </w:r>
      <w:r w:rsidR="00F82A1B">
        <w:t xml:space="preserve"> </w:t>
      </w:r>
      <w:r w:rsidR="00370480">
        <w:t xml:space="preserve">is for </w:t>
      </w:r>
      <w:r w:rsidR="0082186A" w:rsidRPr="00C934C2">
        <w:rPr>
          <w:i/>
        </w:rPr>
        <w:t>ADAMTS13</w:t>
      </w:r>
      <w:r w:rsidR="0082186A" w:rsidRPr="00C934C2">
        <w:rPr>
          <w:iCs/>
        </w:rPr>
        <w:t xml:space="preserve"> genetic testing</w:t>
      </w:r>
      <w:r w:rsidR="00F82A1B">
        <w:rPr>
          <w:iCs/>
        </w:rPr>
        <w:t xml:space="preserve"> </w:t>
      </w:r>
      <w:r w:rsidR="00005711">
        <w:rPr>
          <w:iCs/>
        </w:rPr>
        <w:t>beyond</w:t>
      </w:r>
      <w:r w:rsidR="00F82A1B">
        <w:rPr>
          <w:iCs/>
        </w:rPr>
        <w:t xml:space="preserve"> the </w:t>
      </w:r>
      <w:r w:rsidR="00186256">
        <w:rPr>
          <w:iCs/>
        </w:rPr>
        <w:t>index case</w:t>
      </w:r>
      <w:r w:rsidR="00005711">
        <w:t xml:space="preserve">. </w:t>
      </w:r>
      <w:r w:rsidR="00186256">
        <w:t>C</w:t>
      </w:r>
      <w:r w:rsidR="00B52D91">
        <w:t xml:space="preserve">ascade </w:t>
      </w:r>
      <w:r w:rsidR="009008B1">
        <w:t>testing</w:t>
      </w:r>
      <w:r w:rsidR="004B4ADE">
        <w:t xml:space="preserve"> has been proposed for f</w:t>
      </w:r>
      <w:r w:rsidR="009008B1">
        <w:t>irst</w:t>
      </w:r>
      <w:r w:rsidR="00AC546E">
        <w:t xml:space="preserve">-degree </w:t>
      </w:r>
      <w:r w:rsidR="00186256">
        <w:t xml:space="preserve">biological </w:t>
      </w:r>
      <w:r w:rsidR="00F8658C">
        <w:t xml:space="preserve">siblings </w:t>
      </w:r>
      <w:r w:rsidR="00AC546E">
        <w:t xml:space="preserve">of </w:t>
      </w:r>
      <w:r w:rsidR="00CE3A31">
        <w:t>individuals</w:t>
      </w:r>
      <w:r w:rsidR="00AC546E">
        <w:t xml:space="preserve"> with confirmed cTTP</w:t>
      </w:r>
      <w:r w:rsidR="00707292">
        <w:rPr>
          <w:iCs/>
        </w:rPr>
        <w:t>.</w:t>
      </w:r>
      <w:r w:rsidR="006956D3">
        <w:rPr>
          <w:iCs/>
        </w:rPr>
        <w:t xml:space="preserve"> </w:t>
      </w:r>
      <w:r w:rsidR="00420E80">
        <w:rPr>
          <w:iCs/>
        </w:rPr>
        <w:t xml:space="preserve">For </w:t>
      </w:r>
      <w:r w:rsidR="00590656">
        <w:rPr>
          <w:iCs/>
        </w:rPr>
        <w:t xml:space="preserve">siblings identified with the same class 4/5 </w:t>
      </w:r>
      <w:r w:rsidR="00BD4988">
        <w:rPr>
          <w:iCs/>
        </w:rPr>
        <w:t>h</w:t>
      </w:r>
      <w:r w:rsidR="001A7B92">
        <w:rPr>
          <w:iCs/>
        </w:rPr>
        <w:t>o</w:t>
      </w:r>
      <w:r w:rsidR="00BD4988">
        <w:rPr>
          <w:iCs/>
        </w:rPr>
        <w:t>mozygous o</w:t>
      </w:r>
      <w:r w:rsidR="001A7B92">
        <w:rPr>
          <w:iCs/>
        </w:rPr>
        <w:t>r</w:t>
      </w:r>
      <w:r w:rsidR="00BD4988">
        <w:rPr>
          <w:iCs/>
        </w:rPr>
        <w:t xml:space="preserve"> compound heterozygous </w:t>
      </w:r>
      <w:r w:rsidR="00E8425D" w:rsidRPr="00E8425D">
        <w:rPr>
          <w:i/>
          <w:iCs/>
        </w:rPr>
        <w:t>ADAMTS13</w:t>
      </w:r>
      <w:r w:rsidR="00E8425D" w:rsidRPr="00E8425D">
        <w:rPr>
          <w:iCs/>
        </w:rPr>
        <w:t xml:space="preserve"> </w:t>
      </w:r>
      <w:r w:rsidR="00E8425D">
        <w:rPr>
          <w:iCs/>
        </w:rPr>
        <w:t xml:space="preserve">variants </w:t>
      </w:r>
      <w:r w:rsidR="001A7B92">
        <w:rPr>
          <w:iCs/>
        </w:rPr>
        <w:t xml:space="preserve">as the </w:t>
      </w:r>
      <w:r w:rsidR="00590656">
        <w:rPr>
          <w:iCs/>
        </w:rPr>
        <w:t>index case</w:t>
      </w:r>
      <w:r w:rsidR="001A7B92">
        <w:rPr>
          <w:iCs/>
        </w:rPr>
        <w:t>, cascade</w:t>
      </w:r>
      <w:r w:rsidR="00420E80">
        <w:rPr>
          <w:iCs/>
        </w:rPr>
        <w:t xml:space="preserve"> testing allows for</w:t>
      </w:r>
      <w:r w:rsidR="006956D3">
        <w:rPr>
          <w:iCs/>
        </w:rPr>
        <w:t xml:space="preserve"> </w:t>
      </w:r>
      <w:r w:rsidR="00EA4FCC">
        <w:rPr>
          <w:iCs/>
        </w:rPr>
        <w:t xml:space="preserve">the option for prophylactic treatment during high-risk periods (e.g. pregnancy) and </w:t>
      </w:r>
      <w:r w:rsidR="00B23004">
        <w:rPr>
          <w:iCs/>
        </w:rPr>
        <w:t xml:space="preserve">symptom relief </w:t>
      </w:r>
      <w:r w:rsidR="0084720B">
        <w:rPr>
          <w:iCs/>
        </w:rPr>
        <w:t xml:space="preserve">for individuals </w:t>
      </w:r>
      <w:r w:rsidR="001A7B92">
        <w:rPr>
          <w:iCs/>
        </w:rPr>
        <w:t xml:space="preserve">who may experience </w:t>
      </w:r>
      <w:r w:rsidR="00F957ED">
        <w:rPr>
          <w:iCs/>
        </w:rPr>
        <w:t>non-</w:t>
      </w:r>
      <w:r w:rsidR="001A7B92">
        <w:rPr>
          <w:iCs/>
        </w:rPr>
        <w:t xml:space="preserve">overt </w:t>
      </w:r>
      <w:r w:rsidR="00F957ED">
        <w:rPr>
          <w:iCs/>
        </w:rPr>
        <w:t>cTTP</w:t>
      </w:r>
      <w:r w:rsidR="00F5490F">
        <w:rPr>
          <w:iCs/>
        </w:rPr>
        <w:t xml:space="preserve"> (</w:t>
      </w:r>
      <w:r w:rsidR="00512F2A" w:rsidRPr="00512F2A">
        <w:rPr>
          <w:iCs/>
        </w:rPr>
        <w:t>headaches, lethargy, or abdominal pain</w:t>
      </w:r>
      <w:r w:rsidR="00512F2A">
        <w:rPr>
          <w:iCs/>
        </w:rPr>
        <w:t xml:space="preserve">; Alwyn </w:t>
      </w:r>
      <w:r w:rsidR="00CF1DF5">
        <w:rPr>
          <w:iCs/>
        </w:rPr>
        <w:t>et al.</w:t>
      </w:r>
      <w:r w:rsidR="00512F2A">
        <w:rPr>
          <w:iCs/>
        </w:rPr>
        <w:t xml:space="preserve"> 2019)</w:t>
      </w:r>
      <w:r w:rsidR="00EC12AB">
        <w:rPr>
          <w:iCs/>
        </w:rPr>
        <w:t>.</w:t>
      </w:r>
    </w:p>
    <w:p w14:paraId="1F17E837" w14:textId="71988F78" w:rsidR="00E51C11" w:rsidRDefault="00E51C11" w:rsidP="003C6AD9">
      <w:r>
        <w:rPr>
          <w:i/>
          <w:iCs/>
        </w:rPr>
        <w:t xml:space="preserve">For PICO Set 2 (cascade testing), PASC noted that cTTP is an autosomal recessive condition and the target population for testing is siblings, although the proposed MBS item is for first-degree relatives. PASC noted that testing of parents may be required for </w:t>
      </w:r>
      <w:r w:rsidR="00590656">
        <w:rPr>
          <w:i/>
          <w:iCs/>
        </w:rPr>
        <w:t xml:space="preserve">variant </w:t>
      </w:r>
      <w:r>
        <w:rPr>
          <w:i/>
          <w:iCs/>
        </w:rPr>
        <w:t>phasing and, if required, this would be part of the diagnostic testing in PICO Set 1 and should be included in the cost of variant testing to identify the proband. PASC noted the pre-PASC response stating that the applicant does not support routine reproductive partner screening in the absence of a family history as TTP is a rare condition. The applicant also pointed out that the utility of prenatal screening has not been established. PASC confirmed that the population for PICO Set 2 should be limited to siblings and should exclude reproductive partners and fetal testing.</w:t>
      </w:r>
    </w:p>
    <w:p w14:paraId="7B1951C2" w14:textId="575A26F4" w:rsidR="00F93C2B" w:rsidRDefault="00F93C2B" w:rsidP="007F5C8B">
      <w:pPr>
        <w:pStyle w:val="Heading5"/>
      </w:pPr>
      <w:r>
        <w:lastRenderedPageBreak/>
        <w:t>PICO Set 3</w:t>
      </w:r>
      <w:r w:rsidR="00EB64CF" w:rsidRPr="00EB64CF">
        <w:t xml:space="preserve"> </w:t>
      </w:r>
      <w:r w:rsidR="00EB64CF">
        <w:t>population</w:t>
      </w:r>
    </w:p>
    <w:p w14:paraId="0CE6B430" w14:textId="04F770E0" w:rsidR="00083B51" w:rsidRDefault="00A77717" w:rsidP="00813AB3">
      <w:r>
        <w:t xml:space="preserve">The population for PICO Set 3 is patients with </w:t>
      </w:r>
      <w:r w:rsidR="000E111D">
        <w:t>a confirmed diagnosis</w:t>
      </w:r>
      <w:r>
        <w:t xml:space="preserve"> of </w:t>
      </w:r>
      <w:r w:rsidR="00D079F2">
        <w:t>TTP</w:t>
      </w:r>
      <w:r w:rsidR="000E111D">
        <w:t>. It is proposed that they undergo</w:t>
      </w:r>
      <w:r>
        <w:t xml:space="preserve"> monitoring during the post-acute </w:t>
      </w:r>
      <w:r w:rsidR="00C27E41">
        <w:t>and</w:t>
      </w:r>
      <w:r>
        <w:t xml:space="preserve"> chronic phase.</w:t>
      </w:r>
      <w:r w:rsidR="00F306D5">
        <w:t xml:space="preserve"> This is most relevant to iTTP as </w:t>
      </w:r>
      <w:r w:rsidR="00761618">
        <w:t xml:space="preserve">prophylactic interventions may prevent relapses in </w:t>
      </w:r>
      <w:r w:rsidR="00F306D5">
        <w:t xml:space="preserve">these patients </w:t>
      </w:r>
      <w:r w:rsidR="00761618">
        <w:t xml:space="preserve">if </w:t>
      </w:r>
      <w:r w:rsidR="004C06A1">
        <w:t xml:space="preserve">a </w:t>
      </w:r>
      <w:r w:rsidR="002B2C5F">
        <w:t>declining trend of ADAMTS13 activity is detected.</w:t>
      </w:r>
      <w:r>
        <w:t xml:space="preserve"> </w:t>
      </w:r>
    </w:p>
    <w:p w14:paraId="5C06B889" w14:textId="77777777" w:rsidR="00F02EE2" w:rsidRDefault="00A71C3F" w:rsidP="005E483B">
      <w:r>
        <w:t xml:space="preserve">As patients with cTTP have </w:t>
      </w:r>
      <w:r w:rsidR="005947A8">
        <w:t xml:space="preserve">lifelong persistently </w:t>
      </w:r>
      <w:r w:rsidR="005311AA">
        <w:t xml:space="preserve">low </w:t>
      </w:r>
      <w:r w:rsidR="00F306D5">
        <w:t>ADAMTS13 activity, they will not require regular monitoring</w:t>
      </w:r>
      <w:r w:rsidR="0004668E">
        <w:t xml:space="preserve">. There are </w:t>
      </w:r>
      <w:r w:rsidR="000D11AF">
        <w:t>rare</w:t>
      </w:r>
      <w:r w:rsidR="0004668E">
        <w:t xml:space="preserve"> circumstances, however, </w:t>
      </w:r>
      <w:r w:rsidR="00966E55">
        <w:t xml:space="preserve">where </w:t>
      </w:r>
      <w:r w:rsidR="00096743">
        <w:t>someone</w:t>
      </w:r>
      <w:r w:rsidR="00966E55">
        <w:t xml:space="preserve"> with cTTP may </w:t>
      </w:r>
      <w:r w:rsidR="00096743">
        <w:t xml:space="preserve">be </w:t>
      </w:r>
      <w:r w:rsidR="00CE708B">
        <w:t>suitable for</w:t>
      </w:r>
      <w:r w:rsidR="00966E55">
        <w:t xml:space="preserve"> ADAMTS13 activity monitoring</w:t>
      </w:r>
      <w:r w:rsidR="00C3355D">
        <w:t>.</w:t>
      </w:r>
      <w:r w:rsidR="00966E55">
        <w:t xml:space="preserve"> </w:t>
      </w:r>
      <w:r w:rsidR="00C3355D">
        <w:t>Some individuals may</w:t>
      </w:r>
      <w:r w:rsidR="00160A46">
        <w:t xml:space="preserve"> produce </w:t>
      </w:r>
      <w:r w:rsidR="00606020">
        <w:t>ADAMTS13</w:t>
      </w:r>
      <w:r w:rsidR="00F30DD7">
        <w:t xml:space="preserve"> enzyme </w:t>
      </w:r>
      <w:r w:rsidR="00C3355D">
        <w:t>with</w:t>
      </w:r>
      <w:r w:rsidR="00160A46">
        <w:t xml:space="preserve"> </w:t>
      </w:r>
      <w:r w:rsidR="00470876">
        <w:t>a</w:t>
      </w:r>
      <w:r w:rsidR="00160A46">
        <w:t xml:space="preserve"> </w:t>
      </w:r>
      <w:r w:rsidR="00C3355D">
        <w:t xml:space="preserve">degree of </w:t>
      </w:r>
      <w:r w:rsidR="00160A46">
        <w:t xml:space="preserve">functionality </w:t>
      </w:r>
      <w:r w:rsidR="003572D5">
        <w:t xml:space="preserve">and </w:t>
      </w:r>
      <w:r w:rsidR="00C3355D">
        <w:t>may</w:t>
      </w:r>
      <w:r w:rsidR="001144D6">
        <w:t xml:space="preserve"> experience </w:t>
      </w:r>
      <w:r w:rsidR="00B64AB6">
        <w:t>fluctuat</w:t>
      </w:r>
      <w:r w:rsidR="001144D6">
        <w:t xml:space="preserve">ions in </w:t>
      </w:r>
      <w:r w:rsidR="00AF3726">
        <w:t xml:space="preserve">ADAMTS13 </w:t>
      </w:r>
      <w:r w:rsidR="005D6786">
        <w:t>activity levels</w:t>
      </w:r>
      <w:r w:rsidR="00C3355D">
        <w:t xml:space="preserve"> </w:t>
      </w:r>
      <w:r w:rsidR="00E1726A">
        <w:t>influenced by</w:t>
      </w:r>
      <w:r w:rsidR="00C3355D">
        <w:t xml:space="preserve"> </w:t>
      </w:r>
      <w:r w:rsidR="00A759F2">
        <w:t xml:space="preserve">external triggers </w:t>
      </w:r>
      <w:r w:rsidR="00C975BA">
        <w:t>(</w:t>
      </w:r>
      <w:r w:rsidR="00A759F2">
        <w:t>e.g.</w:t>
      </w:r>
      <w:r w:rsidR="00961D10">
        <w:t xml:space="preserve"> pregnancy</w:t>
      </w:r>
      <w:r w:rsidR="00B62336">
        <w:t xml:space="preserve">, </w:t>
      </w:r>
      <w:r w:rsidR="00C975BA">
        <w:t>viral infections)</w:t>
      </w:r>
      <w:r w:rsidR="007B780E">
        <w:t>.</w:t>
      </w:r>
      <w:r w:rsidR="00CF77EC">
        <w:t xml:space="preserve"> Therefore</w:t>
      </w:r>
      <w:r w:rsidR="00202380">
        <w:t>,</w:t>
      </w:r>
      <w:r w:rsidR="00CF77EC">
        <w:t xml:space="preserve"> the population for PICO Set 3 is not restricted to iTTP although it is expected that most utilisation will be in </w:t>
      </w:r>
      <w:r w:rsidR="005D379D">
        <w:t>the iTTP population.</w:t>
      </w:r>
    </w:p>
    <w:p w14:paraId="7B9B0FA9" w14:textId="6EF7B81F" w:rsidR="00AE022F" w:rsidRPr="005E483B" w:rsidRDefault="00F02EE2" w:rsidP="005E483B">
      <w:r>
        <w:rPr>
          <w:rFonts w:asciiTheme="minorHAnsi" w:hAnsiTheme="minorHAnsi" w:cstheme="minorHAnsi"/>
          <w:i/>
          <w:iCs/>
        </w:rPr>
        <w:t>PASC considered that the population for PICO Set 3 was appropriate.</w:t>
      </w:r>
    </w:p>
    <w:p w14:paraId="58DE49FB" w14:textId="77777777" w:rsidR="000A472A" w:rsidRDefault="000A472A" w:rsidP="000A472A">
      <w:pPr>
        <w:pStyle w:val="Heading4"/>
      </w:pPr>
      <w:r>
        <w:t>TMA therapies</w:t>
      </w:r>
    </w:p>
    <w:p w14:paraId="62C8F7C0" w14:textId="2AEFA76A" w:rsidR="000A472A" w:rsidRDefault="000A472A" w:rsidP="000A472A">
      <w:r>
        <w:t xml:space="preserve">Urgent first-line treatment for iTTP is PEX to remove </w:t>
      </w:r>
      <w:r w:rsidR="00644EB5">
        <w:t>anti-</w:t>
      </w:r>
      <w:r>
        <w:t>ADAMTS13 autoantibod</w:t>
      </w:r>
      <w:r w:rsidR="00AC63B5">
        <w:t>y</w:t>
      </w:r>
      <w:r>
        <w:t xml:space="preserve"> and replace ADAMTS13. As delays </w:t>
      </w:r>
      <w:r w:rsidR="00854A1D">
        <w:t xml:space="preserve">in PEX administration </w:t>
      </w:r>
      <w:r>
        <w:t xml:space="preserve">are associated with increased mortality, all adults presenting with TMA should receive urgent PEX as empiric therapy within 4 to 8 hours (Fox et al. 2018). It is undertaken daily until platelet count recovers (i.e. &gt;150 </w:t>
      </w:r>
      <w:r w:rsidR="004F4665">
        <w:t>x 10</w:t>
      </w:r>
      <w:r w:rsidR="004F4665" w:rsidRPr="7091EC2E">
        <w:rPr>
          <w:vertAlign w:val="superscript"/>
        </w:rPr>
        <w:t>9</w:t>
      </w:r>
      <w:r>
        <w:t xml:space="preserve">/L for at least </w:t>
      </w:r>
      <w:r w:rsidR="00D80ACC">
        <w:t>2</w:t>
      </w:r>
      <w:r>
        <w:t xml:space="preserve"> days), lactate dehydrogenase (LDH) decreases, and clinical status improves (or iTTP is excluded). </w:t>
      </w:r>
      <w:r w:rsidR="0060792F">
        <w:t>I</w:t>
      </w:r>
      <w:r w:rsidR="00A745B3">
        <w:t>n the past, a</w:t>
      </w:r>
      <w:r>
        <w:t xml:space="preserve">fter complete response, PEX </w:t>
      </w:r>
      <w:r w:rsidR="00BD387C">
        <w:t>was</w:t>
      </w:r>
      <w:r>
        <w:t xml:space="preserve"> gradually tapered over 3 weeks to prevent exacerbations of disease</w:t>
      </w:r>
      <w:r w:rsidR="00BD387C">
        <w:t>.</w:t>
      </w:r>
      <w:r>
        <w:t xml:space="preserve"> </w:t>
      </w:r>
      <w:r w:rsidR="00BD387C">
        <w:t>H</w:t>
      </w:r>
      <w:r>
        <w:t>owever</w:t>
      </w:r>
      <w:r w:rsidR="00A745B3">
        <w:t>,</w:t>
      </w:r>
      <w:r>
        <w:t xml:space="preserve"> due to the introduction of other therapies</w:t>
      </w:r>
      <w:r w:rsidR="009670C9">
        <w:t xml:space="preserve"> (e.g. rituximab and </w:t>
      </w:r>
      <w:r w:rsidR="003533BB">
        <w:t>caplaci</w:t>
      </w:r>
      <w:r w:rsidR="004F4DD9">
        <w:t>zumab)</w:t>
      </w:r>
      <w:r>
        <w:t xml:space="preserve">, it is now more commonly abruptly stopped (Picod et al. 2019). </w:t>
      </w:r>
      <w:r w:rsidR="00393A4E">
        <w:t xml:space="preserve">According to Australian </w:t>
      </w:r>
      <w:r w:rsidR="00EB2B14">
        <w:t>guidance</w:t>
      </w:r>
      <w:r w:rsidR="00EB3F1A">
        <w:t>, p</w:t>
      </w:r>
      <w:r>
        <w:t>atients with iTTP should be treated with high-dose steroids</w:t>
      </w:r>
      <w:r w:rsidR="00CE13F8">
        <w:t xml:space="preserve"> in addition to PEX</w:t>
      </w:r>
      <w:r w:rsidR="00CC4FBC">
        <w:t xml:space="preserve">, and </w:t>
      </w:r>
      <w:r w:rsidR="00CC4FBC" w:rsidRPr="00A81E76">
        <w:t>‘off-label’ use of rituximab for iTTP may be appropriate, ‘especially in severe or relapsing cases’</w:t>
      </w:r>
      <w:r>
        <w:t xml:space="preserve"> (Fox et al. 2018). </w:t>
      </w:r>
    </w:p>
    <w:p w14:paraId="3625A4AC" w14:textId="76C7442C" w:rsidR="005B3FCE" w:rsidRDefault="000A472A" w:rsidP="000A472A">
      <w:r>
        <w:t>Caplacizumab is a humani</w:t>
      </w:r>
      <w:r w:rsidR="000E5394">
        <w:t>s</w:t>
      </w:r>
      <w:r>
        <w:t xml:space="preserve">ed nanobody that inhibits the interaction between ultra-large VWF and platelets. It was assessed by the Pharmaceutical Benefits Advisory Committee (PBAC) in July 2020 and not recommended for listing for the treatment of iTTP. </w:t>
      </w:r>
      <w:r w:rsidR="007E4B34">
        <w:t>A</w:t>
      </w:r>
      <w:r w:rsidR="00E54BFE">
        <w:t xml:space="preserve">ccording to the </w:t>
      </w:r>
      <w:hyperlink r:id="rId9" w:tooltip="Link to Public Summary Document for Caplacixumab from the July 2020 PBAC meeting" w:history="1">
        <w:r w:rsidR="00990CA4">
          <w:rPr>
            <w:rStyle w:val="Hyperlink"/>
            <w:rFonts w:ascii="Calibri" w:hAnsi="Calibri"/>
          </w:rPr>
          <w:t>Public Summary Document</w:t>
        </w:r>
      </w:hyperlink>
      <w:r w:rsidR="00EF0528">
        <w:t xml:space="preserve"> </w:t>
      </w:r>
      <w:r w:rsidR="00F91C4D">
        <w:t>(</w:t>
      </w:r>
      <w:r w:rsidR="00E54BFE">
        <w:t>PSD</w:t>
      </w:r>
      <w:r w:rsidR="00F91C4D">
        <w:t>)</w:t>
      </w:r>
      <w:r w:rsidR="00751E9E">
        <w:t xml:space="preserve"> for caplac</w:t>
      </w:r>
      <w:r w:rsidR="00976B1C">
        <w:t>izumab</w:t>
      </w:r>
      <w:r w:rsidR="00E54BFE">
        <w:t xml:space="preserve">, </w:t>
      </w:r>
      <w:r w:rsidR="00976B1C">
        <w:t xml:space="preserve">the </w:t>
      </w:r>
      <w:r>
        <w:t>PBAC considered the clinical place of the therapy was uncertain and had low confidence in the trial data. In the</w:t>
      </w:r>
      <w:r w:rsidR="00137E63">
        <w:t xml:space="preserve"> c</w:t>
      </w:r>
      <w:r w:rsidR="00F836CA">
        <w:t>a</w:t>
      </w:r>
      <w:r w:rsidR="00137E63">
        <w:t>placizumab</w:t>
      </w:r>
      <w:r w:rsidR="00F836CA">
        <w:t xml:space="preserve"> PBAC</w:t>
      </w:r>
      <w:r>
        <w:t xml:space="preserve"> application, eligibility for ongoing treatment was dependent on ADAMTS13 activity testing results &lt;10%. </w:t>
      </w:r>
    </w:p>
    <w:p w14:paraId="52D56B39" w14:textId="774DF789" w:rsidR="000A472A" w:rsidRDefault="000A472A" w:rsidP="000A472A">
      <w:r>
        <w:t xml:space="preserve">Caplacizumab is recommended for treatment of iTTP in British Guidelines for TTP/TMA diagnosis and treatment (Scully et al. 2023) and has been reimbursed for iTTP in the UK (NICE, 2020) but not </w:t>
      </w:r>
      <w:r w:rsidR="00C17B42">
        <w:t xml:space="preserve">in </w:t>
      </w:r>
      <w:r>
        <w:t>Canada (CADTH, 2023). For patients with cTTP, recombinant ADAMTS13 phase 3 trial</w:t>
      </w:r>
      <w:r w:rsidR="00A06592">
        <w:t xml:space="preserve"> results have been published</w:t>
      </w:r>
      <w:r w:rsidR="00B4107B">
        <w:t>,</w:t>
      </w:r>
      <w:r w:rsidR="00FA409C">
        <w:t xml:space="preserve"> and this treatment</w:t>
      </w:r>
      <w:r>
        <w:t xml:space="preserve"> could replace plasma infusions for prophylaxis</w:t>
      </w:r>
      <w:r w:rsidR="00FA409C">
        <w:t xml:space="preserve"> </w:t>
      </w:r>
      <w:r w:rsidR="006570DA">
        <w:t xml:space="preserve">in the future </w:t>
      </w:r>
      <w:r w:rsidR="009E1B76">
        <w:t>(Scully et al. 2023)</w:t>
      </w:r>
      <w:r>
        <w:t xml:space="preserve">. </w:t>
      </w:r>
    </w:p>
    <w:p w14:paraId="607F47D1" w14:textId="339D56CE" w:rsidR="000A472A" w:rsidRDefault="000A472A" w:rsidP="003F0E9A">
      <w:pPr>
        <w:spacing w:after="120"/>
      </w:pPr>
      <w:r>
        <w:t>For patients where ADAMTS13 activity testing excludes TTP and they are ultimately diagnosed with aHUS, there are two PBS</w:t>
      </w:r>
      <w:r w:rsidR="009A5D9C">
        <w:t>-</w:t>
      </w:r>
      <w:r>
        <w:t>listed therapeutics; eculizumab and r</w:t>
      </w:r>
      <w:r w:rsidRPr="0006519D">
        <w:t>avulizumab</w:t>
      </w:r>
      <w:r>
        <w:t xml:space="preserve">. These are both complement 5 inhibitors and were approved by </w:t>
      </w:r>
      <w:r w:rsidR="00FB540C">
        <w:t xml:space="preserve">the </w:t>
      </w:r>
      <w:r>
        <w:t>PBAC in March 2014 and July 2023</w:t>
      </w:r>
      <w:r w:rsidR="009A5D9C">
        <w:t>,</w:t>
      </w:r>
      <w:r>
        <w:t xml:space="preserve"> respectively. Eligibility for both requires ADAMTS13 activity of greater than or equal to 10% on a blood sample taken prior to PEX or infusion. If a </w:t>
      </w:r>
      <w:r w:rsidR="004351A7">
        <w:t xml:space="preserve">blood </w:t>
      </w:r>
      <w:r>
        <w:t>sample for an ADAMTS13 activity test is not taken prior to PEX or infusion, then it must be taken 7-10 days after cessation of PEX or infusion for continued access. The PSD for ravulizumab (July 2023) makes the following observations with respect to the availability of ADAMTS13 testing:</w:t>
      </w:r>
    </w:p>
    <w:p w14:paraId="0DF2FC2A" w14:textId="77777777" w:rsidR="000A472A" w:rsidRPr="00206F8B" w:rsidRDefault="000A472A" w:rsidP="000A472A">
      <w:pPr>
        <w:ind w:left="720"/>
        <w:rPr>
          <w:rFonts w:asciiTheme="minorHAnsi" w:hAnsiTheme="minorHAnsi" w:cstheme="minorHAnsi"/>
        </w:rPr>
      </w:pPr>
      <w:r w:rsidRPr="00206F8B">
        <w:rPr>
          <w:rFonts w:asciiTheme="minorHAnsi" w:hAnsiTheme="minorHAnsi" w:cstheme="minorHAnsi"/>
        </w:rPr>
        <w:t>“Two key issues with respect to the listing and use of eculizumab have been the availability of ADAMTS-13 test results at the time of treatment initiation, and the duration of treatment.”</w:t>
      </w:r>
    </w:p>
    <w:p w14:paraId="3DC08590" w14:textId="77777777" w:rsidR="000A472A" w:rsidRPr="00206F8B" w:rsidRDefault="000A472A" w:rsidP="000A472A">
      <w:pPr>
        <w:ind w:left="720"/>
        <w:rPr>
          <w:rFonts w:asciiTheme="minorHAnsi" w:hAnsiTheme="minorHAnsi" w:cstheme="minorHAnsi"/>
        </w:rPr>
      </w:pPr>
      <w:r w:rsidRPr="00206F8B">
        <w:rPr>
          <w:rFonts w:asciiTheme="minorHAnsi" w:hAnsiTheme="minorHAnsi" w:cstheme="minorHAnsi"/>
        </w:rPr>
        <w:lastRenderedPageBreak/>
        <w:t>“The submission stated that, ‘[r]esults from the ADAMTS-13 assay are typically available within 24 hours in current practice (particularly in public metropolitan centres; there may be delays in regional or private settings). While this result is also contingent on sampling taking place prior to administration of plasma therapy (otherwise measurement of ADAMTS-13 activity will be delayed by 1-2 weeks following the last plasma therapy), obtaining a plasma sample prior to onset of empiric therapy is now considered standard practice.”</w:t>
      </w:r>
    </w:p>
    <w:p w14:paraId="37C18F18" w14:textId="1C96E25E" w:rsidR="00F313B9" w:rsidRPr="002D67C6" w:rsidRDefault="00F313B9" w:rsidP="00E538C4">
      <w:r>
        <w:t>These statements suggest availability of ADAMTS13 activity testing for patients wishing to access PBS-funded therapies</w:t>
      </w:r>
      <w:r w:rsidR="00E81D05">
        <w:t xml:space="preserve"> may be limited</w:t>
      </w:r>
      <w:r>
        <w:t>.</w:t>
      </w:r>
    </w:p>
    <w:p w14:paraId="1C937B34" w14:textId="0B644158" w:rsidR="007306C5" w:rsidRDefault="007306C5" w:rsidP="007306C5">
      <w:pPr>
        <w:pStyle w:val="Heading4"/>
      </w:pPr>
      <w:r>
        <w:t>Regulatory requirements</w:t>
      </w:r>
    </w:p>
    <w:p w14:paraId="14751414" w14:textId="3FB1E9AC" w:rsidR="007306C5" w:rsidRDefault="644EAF6D" w:rsidP="007306C5">
      <w:r>
        <w:t xml:space="preserve">According to the applicant, ADAMTS13 testing does not need to be included in the Australian Register of Therapeutic Goods (ARTG). An accredited laboratory that intends to provide ADAMTS13 activity testing can apply to the </w:t>
      </w:r>
      <w:r w:rsidRPr="00216074">
        <w:t>National Association of Testing Authorities</w:t>
      </w:r>
      <w:r>
        <w:t xml:space="preserve"> (NATA) for approval to start performing the test if the equipment is already in place.</w:t>
      </w:r>
      <w:r w:rsidR="007306C5">
        <w:rPr>
          <w:rStyle w:val="FootnoteReference"/>
        </w:rPr>
        <w:footnoteReference w:id="3"/>
      </w:r>
    </w:p>
    <w:p w14:paraId="69760D9C" w14:textId="5F441058" w:rsidR="003E56D6" w:rsidRDefault="003E56D6" w:rsidP="003E56D6">
      <w:pPr>
        <w:pStyle w:val="Heading4"/>
      </w:pPr>
      <w:r>
        <w:t>Expected size of the population to be tested</w:t>
      </w:r>
    </w:p>
    <w:p w14:paraId="00E2BA41" w14:textId="5A7F8E6D" w:rsidR="00DB20F4" w:rsidRDefault="00E82D54" w:rsidP="003E56D6">
      <w:r>
        <w:t xml:space="preserve">The incidence of </w:t>
      </w:r>
      <w:r w:rsidR="00D079F2">
        <w:t>TTP</w:t>
      </w:r>
      <w:r>
        <w:t xml:space="preserve"> is estimated at 2 to 6 people per million per year</w:t>
      </w:r>
      <w:r w:rsidR="006313BF">
        <w:t xml:space="preserve"> </w:t>
      </w:r>
      <w:r w:rsidR="0081557A">
        <w:t xml:space="preserve">with cTTP accounting for 2-10% of all </w:t>
      </w:r>
      <w:r w:rsidR="00F26733">
        <w:t xml:space="preserve">diagnosed </w:t>
      </w:r>
      <w:r w:rsidR="0081557A">
        <w:t>cases</w:t>
      </w:r>
      <w:r w:rsidR="5BD03BC8">
        <w:t xml:space="preserve"> of TTP</w:t>
      </w:r>
      <w:r w:rsidR="0081557A">
        <w:t xml:space="preserve"> </w:t>
      </w:r>
      <w:r w:rsidR="006313BF">
        <w:t>(Alwyn et al. 2019)</w:t>
      </w:r>
      <w:r>
        <w:t xml:space="preserve">. </w:t>
      </w:r>
      <w:r w:rsidR="0057516E">
        <w:t>The application projected</w:t>
      </w:r>
      <w:r w:rsidR="00BE65D2">
        <w:t xml:space="preserve">, based on </w:t>
      </w:r>
      <w:r w:rsidR="003C5FAD">
        <w:t>pathology data from a single service,</w:t>
      </w:r>
      <w:r w:rsidR="0057516E">
        <w:t xml:space="preserve"> that </w:t>
      </w:r>
      <w:r w:rsidR="002E7092">
        <w:t>ADAMTS13 activity testing would be undertaken in 2,</w:t>
      </w:r>
      <w:r w:rsidR="00EF4162">
        <w:t>562</w:t>
      </w:r>
      <w:r w:rsidR="002E7092">
        <w:t xml:space="preserve"> patients with suspected TTP in the first year of listing. Of these patients,</w:t>
      </w:r>
      <w:r w:rsidR="003354EE">
        <w:t xml:space="preserve"> </w:t>
      </w:r>
      <w:r w:rsidR="000E5E45">
        <w:t xml:space="preserve">141 would have ADAMTS13 </w:t>
      </w:r>
      <w:r w:rsidR="003973C2">
        <w:t>autoantibod</w:t>
      </w:r>
      <w:r w:rsidR="00AC63B5">
        <w:t>y</w:t>
      </w:r>
      <w:r w:rsidR="000E5E45">
        <w:t xml:space="preserve"> testing </w:t>
      </w:r>
      <w:r w:rsidR="006A7487">
        <w:t>due to ADAMTS13 activity levels</w:t>
      </w:r>
      <w:r w:rsidR="000E5E45">
        <w:t xml:space="preserve"> </w:t>
      </w:r>
      <w:r w:rsidR="002575B4" w:rsidRPr="7091EC2E">
        <w:rPr>
          <w:rFonts w:cs="Calibri"/>
        </w:rPr>
        <w:t>≤</w:t>
      </w:r>
      <w:r w:rsidR="002575B4">
        <w:t xml:space="preserve">10% </w:t>
      </w:r>
      <w:r w:rsidR="002751C1">
        <w:t>and 54 would go on</w:t>
      </w:r>
      <w:r w:rsidR="00C55C0F">
        <w:t xml:space="preserve"> </w:t>
      </w:r>
      <w:r w:rsidR="002751C1">
        <w:t xml:space="preserve">to </w:t>
      </w:r>
      <w:r w:rsidR="00E60093" w:rsidRPr="7091EC2E">
        <w:rPr>
          <w:i/>
          <w:iCs/>
        </w:rPr>
        <w:t xml:space="preserve">ADAMTS13 </w:t>
      </w:r>
      <w:r w:rsidR="002751C1">
        <w:t xml:space="preserve">genetic testing. </w:t>
      </w:r>
      <w:r w:rsidR="00984625">
        <w:t xml:space="preserve">No estimates </w:t>
      </w:r>
      <w:r w:rsidR="00C26B56">
        <w:t xml:space="preserve">of the number of </w:t>
      </w:r>
      <w:r w:rsidR="00E0762E">
        <w:t xml:space="preserve">biological </w:t>
      </w:r>
      <w:r w:rsidR="00BF5061">
        <w:t xml:space="preserve">siblings </w:t>
      </w:r>
      <w:r w:rsidR="00E0762E">
        <w:t xml:space="preserve">who would undertake cascade testing were provided. </w:t>
      </w:r>
      <w:r w:rsidR="00A05D6C">
        <w:t>Monitoring would occur in the</w:t>
      </w:r>
      <w:r w:rsidR="008C3457">
        <w:t xml:space="preserve"> estimated 141 </w:t>
      </w:r>
      <w:r w:rsidR="00F974FF">
        <w:t xml:space="preserve">patients with ADAMTS13 activity </w:t>
      </w:r>
      <w:r w:rsidR="00F974FF" w:rsidRPr="7091EC2E">
        <w:rPr>
          <w:rFonts w:cs="Calibri"/>
        </w:rPr>
        <w:t>≤</w:t>
      </w:r>
      <w:r w:rsidR="006A5ED2">
        <w:t>10</w:t>
      </w:r>
      <w:r w:rsidR="005F1F82">
        <w:t>%</w:t>
      </w:r>
      <w:r w:rsidR="00420B6D">
        <w:t>. It is proposed to be undertaken weekly for 1 month, every 3 months for the first year, and every 3-6 months after that</w:t>
      </w:r>
      <w:r w:rsidR="00DF7664">
        <w:t xml:space="preserve">, estimated at </w:t>
      </w:r>
      <w:r w:rsidR="00C84E09">
        <w:t>approximately 1,</w:t>
      </w:r>
      <w:r w:rsidR="0099370D">
        <w:t>048 tests per year</w:t>
      </w:r>
      <w:r w:rsidR="00DF7664">
        <w:t xml:space="preserve"> in the application</w:t>
      </w:r>
      <w:r w:rsidR="008F2F76">
        <w:t>.</w:t>
      </w:r>
      <w:r w:rsidR="002E7092">
        <w:t xml:space="preserve"> </w:t>
      </w:r>
    </w:p>
    <w:p w14:paraId="701150B4" w14:textId="6FD95A0C" w:rsidR="00527188" w:rsidRDefault="00527188" w:rsidP="003E56D6">
      <w:r>
        <w:rPr>
          <w:i/>
          <w:iCs/>
        </w:rPr>
        <w:t>PASC noted that the confirmed TTP population, at about 2 per million people in Australia, is small and even smaller for those with cTTP. PASC noted the population undergoing</w:t>
      </w:r>
      <w:r w:rsidRPr="00493039">
        <w:rPr>
          <w:i/>
          <w:iCs/>
        </w:rPr>
        <w:t xml:space="preserve"> </w:t>
      </w:r>
      <w:r w:rsidRPr="00E47EFE">
        <w:rPr>
          <w:i/>
          <w:iCs/>
        </w:rPr>
        <w:t>ADAMTS13 activity testing</w:t>
      </w:r>
      <w:r>
        <w:rPr>
          <w:i/>
          <w:iCs/>
        </w:rPr>
        <w:t xml:space="preserve"> would be larger than the confirmed TTP population as it would also include patients with alternative diagnoses such as aHUS.</w:t>
      </w:r>
    </w:p>
    <w:p w14:paraId="0E38780D" w14:textId="77777777" w:rsidR="007A66C8" w:rsidRDefault="007A66C8" w:rsidP="00713728">
      <w:pPr>
        <w:pStyle w:val="Heading3"/>
      </w:pPr>
      <w:r w:rsidRPr="008F1532">
        <w:t>Intervention</w:t>
      </w:r>
    </w:p>
    <w:p w14:paraId="22BF69FC" w14:textId="52F9060C" w:rsidR="00834257" w:rsidRPr="00A76093" w:rsidRDefault="00834257" w:rsidP="00834257">
      <w:r>
        <w:t>The intervention</w:t>
      </w:r>
      <w:r w:rsidR="00543B03">
        <w:t>s are</w:t>
      </w:r>
      <w:r w:rsidR="00A81C59" w:rsidDel="00932CDF">
        <w:t xml:space="preserve"> </w:t>
      </w:r>
      <w:r w:rsidR="00932CDF">
        <w:t xml:space="preserve">3 </w:t>
      </w:r>
      <w:r w:rsidR="00543B03">
        <w:t>investigative technologies</w:t>
      </w:r>
      <w:r w:rsidR="00F555C7">
        <w:t>; ADAMTS13 activity testing</w:t>
      </w:r>
      <w:r w:rsidR="00E351D3">
        <w:t xml:space="preserve"> (diagnostic and monitoring)</w:t>
      </w:r>
      <w:r w:rsidR="00F555C7">
        <w:t xml:space="preserve">, </w:t>
      </w:r>
      <w:r w:rsidR="00565060">
        <w:t>anti-</w:t>
      </w:r>
      <w:r w:rsidR="00F555C7">
        <w:t xml:space="preserve">ADAMTS13 </w:t>
      </w:r>
      <w:r w:rsidR="003973C2">
        <w:t>autoantibod</w:t>
      </w:r>
      <w:r w:rsidR="00AC63B5">
        <w:t>y</w:t>
      </w:r>
      <w:r w:rsidR="00F555C7">
        <w:t xml:space="preserve"> testing</w:t>
      </w:r>
      <w:r w:rsidR="00E351D3">
        <w:t xml:space="preserve"> (diagnostic)</w:t>
      </w:r>
      <w:r w:rsidR="00F555C7">
        <w:t xml:space="preserve"> and </w:t>
      </w:r>
      <w:r w:rsidR="00E81B49" w:rsidRPr="00C934C2">
        <w:rPr>
          <w:i/>
        </w:rPr>
        <w:t>ADAMTS13</w:t>
      </w:r>
      <w:r w:rsidR="00E81B49" w:rsidRPr="00C934C2">
        <w:rPr>
          <w:iCs/>
        </w:rPr>
        <w:t xml:space="preserve"> genetic testing</w:t>
      </w:r>
      <w:r w:rsidR="00E351D3">
        <w:rPr>
          <w:iCs/>
        </w:rPr>
        <w:t xml:space="preserve"> (</w:t>
      </w:r>
      <w:r w:rsidR="00E31F46">
        <w:rPr>
          <w:iCs/>
        </w:rPr>
        <w:t xml:space="preserve">diagnostic and </w:t>
      </w:r>
      <w:r w:rsidR="00E351D3">
        <w:rPr>
          <w:iCs/>
        </w:rPr>
        <w:t>cascade testing)</w:t>
      </w:r>
      <w:r w:rsidR="00E81B49">
        <w:rPr>
          <w:iCs/>
        </w:rPr>
        <w:t>.</w:t>
      </w:r>
    </w:p>
    <w:p w14:paraId="5CFD60DF" w14:textId="42B1C8F6" w:rsidR="009940B1" w:rsidRDefault="009940B1" w:rsidP="009940B1">
      <w:pPr>
        <w:pStyle w:val="Heading4"/>
      </w:pPr>
      <w:r>
        <w:t>ADAMTS13 activity test</w:t>
      </w:r>
      <w:r w:rsidR="00F15D78">
        <w:t>s</w:t>
      </w:r>
    </w:p>
    <w:p w14:paraId="5F89D4EB" w14:textId="4884085D" w:rsidR="00B13A50" w:rsidRDefault="00862689" w:rsidP="000836C3">
      <w:pPr>
        <w:spacing w:after="40"/>
      </w:pPr>
      <w:r>
        <w:t>Blood samples for testing ADAMTS13 activity ought to be taken prior to commencing empiric therapy</w:t>
      </w:r>
      <w:r w:rsidR="00847AC0">
        <w:t xml:space="preserve">. A </w:t>
      </w:r>
      <w:r w:rsidR="00966447">
        <w:t>number</w:t>
      </w:r>
      <w:r w:rsidR="00847AC0">
        <w:t xml:space="preserve"> of test</w:t>
      </w:r>
      <w:r w:rsidR="00966447">
        <w:t xml:space="preserve"> </w:t>
      </w:r>
      <w:r w:rsidR="00224C33">
        <w:t xml:space="preserve">methodologies </w:t>
      </w:r>
      <w:r w:rsidR="00966447">
        <w:t>have been developed, but i</w:t>
      </w:r>
      <w:r w:rsidR="00B13A50" w:rsidRPr="00D45772">
        <w:t xml:space="preserve">n </w:t>
      </w:r>
      <w:r w:rsidR="002930C8" w:rsidRPr="00D45772">
        <w:t>Australian laboratories</w:t>
      </w:r>
      <w:r w:rsidR="00B13A50">
        <w:t>, one of</w:t>
      </w:r>
      <w:r w:rsidR="00DB4AB0">
        <w:t xml:space="preserve"> the following</w:t>
      </w:r>
      <w:r w:rsidR="00B13A50">
        <w:t xml:space="preserve"> </w:t>
      </w:r>
      <w:r w:rsidR="001711C6">
        <w:t xml:space="preserve">3 </w:t>
      </w:r>
      <w:r w:rsidR="00B13A50">
        <w:t xml:space="preserve">tests </w:t>
      </w:r>
      <w:r w:rsidR="00C41BBC">
        <w:t>is</w:t>
      </w:r>
      <w:r w:rsidR="00B13A50">
        <w:t xml:space="preserve"> typically used:</w:t>
      </w:r>
    </w:p>
    <w:p w14:paraId="04ECA85C" w14:textId="5A362B60" w:rsidR="00626847" w:rsidRDefault="00870B76" w:rsidP="000836C3">
      <w:pPr>
        <w:pStyle w:val="ListParagraph"/>
        <w:numPr>
          <w:ilvl w:val="0"/>
          <w:numId w:val="23"/>
        </w:numPr>
        <w:spacing w:after="40"/>
        <w:ind w:left="714" w:hanging="357"/>
        <w:contextualSpacing w:val="0"/>
      </w:pPr>
      <w:r w:rsidRPr="0008042B">
        <w:t>enzyme-linked immunosorbent assay</w:t>
      </w:r>
      <w:r>
        <w:t xml:space="preserve"> (</w:t>
      </w:r>
      <w:r w:rsidRPr="00D45772">
        <w:t>ELISA</w:t>
      </w:r>
      <w:r>
        <w:t>)</w:t>
      </w:r>
    </w:p>
    <w:p w14:paraId="22DE56AD" w14:textId="35AF2802" w:rsidR="00626847" w:rsidRDefault="002930C8" w:rsidP="000836C3">
      <w:pPr>
        <w:pStyle w:val="ListParagraph"/>
        <w:numPr>
          <w:ilvl w:val="0"/>
          <w:numId w:val="23"/>
        </w:numPr>
        <w:spacing w:after="40"/>
        <w:ind w:left="714" w:hanging="357"/>
        <w:contextualSpacing w:val="0"/>
      </w:pPr>
      <w:r w:rsidRPr="00D45772">
        <w:t>fluorescence resonance energy transfer assay (FRETS-VWF73)</w:t>
      </w:r>
      <w:r w:rsidR="00783643">
        <w:t xml:space="preserve"> </w:t>
      </w:r>
    </w:p>
    <w:p w14:paraId="53F63775" w14:textId="76839CAC" w:rsidR="001A4934" w:rsidRDefault="002930C8" w:rsidP="000836C3">
      <w:pPr>
        <w:pStyle w:val="ListParagraph"/>
        <w:numPr>
          <w:ilvl w:val="0"/>
          <w:numId w:val="23"/>
        </w:numPr>
        <w:ind w:left="714" w:hanging="357"/>
        <w:contextualSpacing w:val="0"/>
      </w:pPr>
      <w:r w:rsidRPr="00D45772">
        <w:t>chemiluminescence immunoassay (CLIA)</w:t>
      </w:r>
      <w:r w:rsidR="00FE13D0">
        <w:t>.</w:t>
      </w:r>
    </w:p>
    <w:p w14:paraId="58896AFE" w14:textId="52B95F2E" w:rsidR="002F2F76" w:rsidRDefault="00B13A50" w:rsidP="0008097D">
      <w:r>
        <w:lastRenderedPageBreak/>
        <w:t xml:space="preserve">Each test </w:t>
      </w:r>
      <w:r w:rsidR="00D816C3">
        <w:t xml:space="preserve">quantifies ADAMTS13 enzymatic activity by </w:t>
      </w:r>
      <w:r>
        <w:t>detect</w:t>
      </w:r>
      <w:r w:rsidR="00D816C3">
        <w:t>ing</w:t>
      </w:r>
      <w:r w:rsidR="00033573">
        <w:t xml:space="preserve"> clea</w:t>
      </w:r>
      <w:r>
        <w:t>vage of a</w:t>
      </w:r>
      <w:r w:rsidR="00A918CB">
        <w:t xml:space="preserve"> substrate </w:t>
      </w:r>
      <w:r w:rsidR="00DD24A8">
        <w:t>– either VWF multimers</w:t>
      </w:r>
      <w:r w:rsidR="00F62923">
        <w:t xml:space="preserve"> (ELISA</w:t>
      </w:r>
      <w:r w:rsidR="00484BDD">
        <w:t>)</w:t>
      </w:r>
      <w:r w:rsidR="00DD24A8">
        <w:t xml:space="preserve"> or </w:t>
      </w:r>
      <w:r w:rsidR="00A37A14">
        <w:t xml:space="preserve">a </w:t>
      </w:r>
      <w:r w:rsidR="00D902F2">
        <w:t>VWF-based</w:t>
      </w:r>
      <w:r w:rsidR="00484BDD">
        <w:t>, 7</w:t>
      </w:r>
      <w:r w:rsidR="00E26034">
        <w:t>3 amino acid,</w:t>
      </w:r>
      <w:r w:rsidR="00D902F2">
        <w:t xml:space="preserve"> </w:t>
      </w:r>
      <w:r w:rsidR="00B67A33">
        <w:t>synthetic peptide</w:t>
      </w:r>
      <w:r w:rsidR="00484BDD">
        <w:t xml:space="preserve"> (</w:t>
      </w:r>
      <w:r w:rsidR="00484BDD" w:rsidRPr="00D45772">
        <w:t>FRETS-VWF73</w:t>
      </w:r>
      <w:r w:rsidR="00E26034">
        <w:t xml:space="preserve">, </w:t>
      </w:r>
      <w:r w:rsidR="00FD459E">
        <w:t>CLIA</w:t>
      </w:r>
      <w:r w:rsidR="00E26034">
        <w:t>)</w:t>
      </w:r>
      <w:r w:rsidR="003F1D7E">
        <w:t>.</w:t>
      </w:r>
      <w:r w:rsidR="00F6599A">
        <w:t xml:space="preserve"> </w:t>
      </w:r>
      <w:r w:rsidR="006E498E">
        <w:t xml:space="preserve">The CLIA test is </w:t>
      </w:r>
      <w:r w:rsidR="00532DBE">
        <w:t xml:space="preserve">typically performed with HemosIL </w:t>
      </w:r>
      <w:r w:rsidR="00911984">
        <w:t xml:space="preserve">AcuStar </w:t>
      </w:r>
      <w:r w:rsidR="009C35CF">
        <w:t>instrumentation</w:t>
      </w:r>
      <w:r w:rsidR="007F7A46">
        <w:rPr>
          <w:rStyle w:val="FootnoteReference"/>
        </w:rPr>
        <w:footnoteReference w:id="4"/>
      </w:r>
      <w:r w:rsidR="009C35CF">
        <w:t xml:space="preserve"> and is </w:t>
      </w:r>
      <w:r w:rsidR="006E498E">
        <w:t>supplied as</w:t>
      </w:r>
      <w:r w:rsidR="006E498E" w:rsidRPr="00D45772">
        <w:t xml:space="preserve"> a </w:t>
      </w:r>
      <w:r w:rsidR="004428A7">
        <w:t>fully</w:t>
      </w:r>
      <w:r w:rsidR="007F4D47">
        <w:t xml:space="preserve"> </w:t>
      </w:r>
      <w:r w:rsidR="004428A7">
        <w:t>automated</w:t>
      </w:r>
      <w:r w:rsidR="006E498E" w:rsidRPr="00D45772">
        <w:t xml:space="preserve"> commercial kit</w:t>
      </w:r>
      <w:r w:rsidR="008B0249">
        <w:t>.</w:t>
      </w:r>
      <w:r w:rsidR="00336707">
        <w:t xml:space="preserve"> </w:t>
      </w:r>
      <w:r w:rsidR="006F62D2">
        <w:t xml:space="preserve">CLIA testing of ADAMTS13 activity </w:t>
      </w:r>
      <w:r w:rsidR="007738B6">
        <w:t xml:space="preserve">with </w:t>
      </w:r>
      <w:r w:rsidR="00AC7B55">
        <w:t>AcuStar</w:t>
      </w:r>
      <w:r w:rsidR="004647F2">
        <w:t xml:space="preserve"> </w:t>
      </w:r>
      <w:r w:rsidR="00853F8F">
        <w:t xml:space="preserve">typically </w:t>
      </w:r>
      <w:r w:rsidR="008B0249">
        <w:t>has a more rapid</w:t>
      </w:r>
      <w:r w:rsidR="006E498E">
        <w:t xml:space="preserve"> </w:t>
      </w:r>
      <w:r w:rsidR="00E061DC">
        <w:t>turn-around time</w:t>
      </w:r>
      <w:r w:rsidR="008B0249">
        <w:t xml:space="preserve"> </w:t>
      </w:r>
      <w:r w:rsidR="00466FB6">
        <w:t xml:space="preserve">compared to </w:t>
      </w:r>
      <w:r w:rsidR="008B0249">
        <w:t>the</w:t>
      </w:r>
      <w:r w:rsidR="00E061DC">
        <w:t xml:space="preserve"> </w:t>
      </w:r>
      <w:r w:rsidR="00F6599A">
        <w:t xml:space="preserve">ELISA </w:t>
      </w:r>
      <w:r w:rsidR="008B0249">
        <w:t>or</w:t>
      </w:r>
      <w:r w:rsidR="00F6599A">
        <w:t xml:space="preserve"> </w:t>
      </w:r>
      <w:r w:rsidR="00F6599A" w:rsidRPr="00D45772">
        <w:t>FRETS-VWF73</w:t>
      </w:r>
      <w:r w:rsidR="00F6599A">
        <w:t xml:space="preserve"> test</w:t>
      </w:r>
      <w:r w:rsidR="00DF4BB0">
        <w:t>s</w:t>
      </w:r>
      <w:r w:rsidR="0058720F">
        <w:t xml:space="preserve">, which are </w:t>
      </w:r>
      <w:r w:rsidR="0078469A">
        <w:t xml:space="preserve">likely to </w:t>
      </w:r>
      <w:r w:rsidR="005E7D5B">
        <w:t>involve</w:t>
      </w:r>
      <w:r w:rsidR="0078469A">
        <w:t xml:space="preserve"> batch</w:t>
      </w:r>
      <w:r w:rsidR="005E7D5B">
        <w:t xml:space="preserve"> runs</w:t>
      </w:r>
      <w:r w:rsidR="0078469A">
        <w:t xml:space="preserve"> with other </w:t>
      </w:r>
      <w:r w:rsidR="005E7D5B">
        <w:t>tests</w:t>
      </w:r>
      <w:r w:rsidR="00072138">
        <w:t xml:space="preserve"> in</w:t>
      </w:r>
      <w:r w:rsidR="0058720F">
        <w:t xml:space="preserve"> pathology </w:t>
      </w:r>
      <w:r w:rsidR="0078469A">
        <w:t>laboratories</w:t>
      </w:r>
      <w:r w:rsidR="004647F2">
        <w:t xml:space="preserve"> (</w:t>
      </w:r>
      <w:r w:rsidR="00CA012C">
        <w:t>Sin</w:t>
      </w:r>
      <w:r w:rsidR="00DF30CC">
        <w:t>gh et al.</w:t>
      </w:r>
      <w:r w:rsidR="00EC1F7F">
        <w:t xml:space="preserve"> 2023</w:t>
      </w:r>
      <w:r w:rsidR="00475633">
        <w:t xml:space="preserve">; </w:t>
      </w:r>
      <w:r w:rsidR="00475633" w:rsidRPr="00070B6E">
        <w:t>Favaloro</w:t>
      </w:r>
      <w:r w:rsidR="00475633">
        <w:t xml:space="preserve"> et al.</w:t>
      </w:r>
      <w:r w:rsidR="00D11983">
        <w:t xml:space="preserve"> 2023</w:t>
      </w:r>
      <w:r w:rsidR="004647F2">
        <w:t>). According to the applicant’s clinical expert</w:t>
      </w:r>
      <w:r w:rsidR="00075708">
        <w:t xml:space="preserve">, </w:t>
      </w:r>
      <w:r w:rsidR="00045826">
        <w:t>same</w:t>
      </w:r>
      <w:r w:rsidR="00B865EE">
        <w:t>-</w:t>
      </w:r>
      <w:r w:rsidR="00045826">
        <w:t>day results</w:t>
      </w:r>
      <w:r w:rsidR="00075708">
        <w:t xml:space="preserve"> </w:t>
      </w:r>
      <w:r w:rsidR="00FE6E65">
        <w:t xml:space="preserve">are possible </w:t>
      </w:r>
      <w:r w:rsidR="004647F2">
        <w:t>where</w:t>
      </w:r>
      <w:r w:rsidR="00075708">
        <w:t xml:space="preserve"> the </w:t>
      </w:r>
      <w:r w:rsidR="004971A5">
        <w:t xml:space="preserve">automated </w:t>
      </w:r>
      <w:r w:rsidR="0005312E">
        <w:t xml:space="preserve">AcuStar </w:t>
      </w:r>
      <w:r w:rsidR="00075708">
        <w:t>instrumentation is available on site</w:t>
      </w:r>
      <w:r w:rsidR="00015DB8">
        <w:t>.</w:t>
      </w:r>
      <w:bookmarkStart w:id="7" w:name="_Ref192674877"/>
      <w:r w:rsidR="000E4880">
        <w:rPr>
          <w:rStyle w:val="FootnoteReference"/>
        </w:rPr>
        <w:footnoteReference w:id="5"/>
      </w:r>
      <w:bookmarkEnd w:id="7"/>
      <w:r w:rsidR="00015DB8">
        <w:t xml:space="preserve"> </w:t>
      </w:r>
      <w:r w:rsidR="004D19EE">
        <w:t xml:space="preserve">This may not always translate to same-day results where the </w:t>
      </w:r>
      <w:r w:rsidR="00F912DC">
        <w:t xml:space="preserve">sample </w:t>
      </w:r>
      <w:r w:rsidR="002D5713">
        <w:t xml:space="preserve">is sent off site, </w:t>
      </w:r>
      <w:r w:rsidR="007A1AED">
        <w:t>and</w:t>
      </w:r>
      <w:r w:rsidR="002D5713">
        <w:t xml:space="preserve"> potentially interstate. </w:t>
      </w:r>
      <w:r w:rsidR="00750EDD">
        <w:t>Although t</w:t>
      </w:r>
      <w:r w:rsidR="0008097D">
        <w:t xml:space="preserve">he application </w:t>
      </w:r>
      <w:r w:rsidR="0006704A">
        <w:t xml:space="preserve">states </w:t>
      </w:r>
      <w:r w:rsidR="002D5713">
        <w:t xml:space="preserve">that </w:t>
      </w:r>
      <w:r w:rsidR="0008097D">
        <w:t xml:space="preserve">AcuStar </w:t>
      </w:r>
      <w:r w:rsidR="00823B2C">
        <w:t xml:space="preserve">is used </w:t>
      </w:r>
      <w:r w:rsidR="0008097D">
        <w:t>to triage patients at presentation</w:t>
      </w:r>
      <w:r w:rsidR="00823B2C">
        <w:t xml:space="preserve"> in some Australian laboratories</w:t>
      </w:r>
      <w:r w:rsidR="00750EDD">
        <w:t xml:space="preserve">, </w:t>
      </w:r>
      <w:r w:rsidR="00924AAF">
        <w:t xml:space="preserve">the applicant’s clinical expert advised </w:t>
      </w:r>
      <w:r w:rsidR="00FC5459">
        <w:t>that</w:t>
      </w:r>
      <w:r w:rsidR="00F62386">
        <w:t>,</w:t>
      </w:r>
      <w:r w:rsidR="00FC5459">
        <w:t xml:space="preserve"> </w:t>
      </w:r>
      <w:r w:rsidR="009E7D4C">
        <w:t xml:space="preserve">in Australia, </w:t>
      </w:r>
      <w:r w:rsidR="002A089B">
        <w:t>ADAMTS13 activity</w:t>
      </w:r>
      <w:r w:rsidR="612ABC90">
        <w:t xml:space="preserve"> is almost exclusively tested using AcuStar</w:t>
      </w:r>
      <w:r w:rsidR="002A089B">
        <w:t>.</w:t>
      </w:r>
      <w:r w:rsidR="006371E7">
        <w:t xml:space="preserve"> </w:t>
      </w:r>
      <w:r w:rsidR="008657B8">
        <w:t xml:space="preserve">The application does not request MBS funding for a specific type of ADAMTS13 activity test and it is anticipated that there will be ongoing development of commercial assays. </w:t>
      </w:r>
    </w:p>
    <w:p w14:paraId="440BAA09" w14:textId="4911C65C" w:rsidR="003E7818" w:rsidRDefault="00FD2002" w:rsidP="00C4370F">
      <w:r>
        <w:t xml:space="preserve">The </w:t>
      </w:r>
      <w:r w:rsidR="001D632A">
        <w:t>Therapeutic Goods Administration (</w:t>
      </w:r>
      <w:r>
        <w:t>TGA</w:t>
      </w:r>
      <w:r w:rsidR="001D632A">
        <w:t>)</w:t>
      </w:r>
      <w:r>
        <w:t xml:space="preserve"> issued notification</w:t>
      </w:r>
      <w:r w:rsidR="00463F31">
        <w:t>s</w:t>
      </w:r>
      <w:r>
        <w:t xml:space="preserve"> for </w:t>
      </w:r>
      <w:r w:rsidR="00CB2694">
        <w:t xml:space="preserve">HemosIL </w:t>
      </w:r>
      <w:r>
        <w:t>AcuStar</w:t>
      </w:r>
      <w:r w:rsidR="006B3DED">
        <w:t xml:space="preserve"> </w:t>
      </w:r>
      <w:r w:rsidR="00E20127">
        <w:t>ADAMTS13</w:t>
      </w:r>
      <w:r w:rsidR="002F6F2B">
        <w:t xml:space="preserve"> activity testing</w:t>
      </w:r>
      <w:r>
        <w:t xml:space="preserve"> in </w:t>
      </w:r>
      <w:r w:rsidR="000D0F10">
        <w:t xml:space="preserve">February </w:t>
      </w:r>
      <w:r w:rsidR="003A1D2A">
        <w:t xml:space="preserve">2022 and again in </w:t>
      </w:r>
      <w:r>
        <w:t>August 2024,</w:t>
      </w:r>
      <w:r w:rsidR="00093E9E">
        <w:rPr>
          <w:rStyle w:val="FootnoteReference"/>
        </w:rPr>
        <w:footnoteReference w:id="6"/>
      </w:r>
      <w:r>
        <w:t xml:space="preserve"> </w:t>
      </w:r>
      <w:r w:rsidR="00587266">
        <w:t xml:space="preserve">following </w:t>
      </w:r>
      <w:r w:rsidR="00D6407C">
        <w:t>findings that</w:t>
      </w:r>
      <w:r w:rsidR="00587266">
        <w:t xml:space="preserve"> AcuStar </w:t>
      </w:r>
      <w:r w:rsidR="00FB4A98">
        <w:t xml:space="preserve">ADAMTS13 activity testing </w:t>
      </w:r>
      <w:r w:rsidR="00587266">
        <w:t xml:space="preserve">produced a relatively high rate of false positives </w:t>
      </w:r>
      <w:r w:rsidR="001A7E06">
        <w:t xml:space="preserve">around the diagnostic threshold </w:t>
      </w:r>
      <w:r w:rsidR="00587266">
        <w:t xml:space="preserve">compared to the </w:t>
      </w:r>
      <w:r w:rsidR="00587266" w:rsidRPr="00D45772">
        <w:t>FRETS-VWF73</w:t>
      </w:r>
      <w:r w:rsidR="00587266">
        <w:t xml:space="preserve"> test (i.e. returning values &lt;10% when other tests found &gt;10%)</w:t>
      </w:r>
      <w:r w:rsidR="00D6407C">
        <w:t xml:space="preserve"> </w:t>
      </w:r>
      <w:r w:rsidR="00E94142">
        <w:t xml:space="preserve">(Singh </w:t>
      </w:r>
      <w:r w:rsidR="00CF1DF5">
        <w:t>et al.</w:t>
      </w:r>
      <w:r w:rsidR="00E94142">
        <w:t xml:space="preserve"> 2023)</w:t>
      </w:r>
      <w:r w:rsidR="00587266">
        <w:t xml:space="preserve">. </w:t>
      </w:r>
    </w:p>
    <w:p w14:paraId="05C9034D" w14:textId="782BD15C" w:rsidR="004F1604" w:rsidRDefault="00E820FC" w:rsidP="00213F7E">
      <w:pPr>
        <w:spacing w:after="80"/>
      </w:pPr>
      <w:r>
        <w:t xml:space="preserve">The TGA </w:t>
      </w:r>
      <w:r w:rsidR="00FD2002">
        <w:t>stat</w:t>
      </w:r>
      <w:r>
        <w:t>ed</w:t>
      </w:r>
      <w:r w:rsidR="00DC010F">
        <w:t xml:space="preserve"> that:</w:t>
      </w:r>
    </w:p>
    <w:p w14:paraId="7D6D70DD" w14:textId="3E3443D1" w:rsidR="002A45BC" w:rsidRDefault="00FD2002" w:rsidP="004F1604">
      <w:pPr>
        <w:pStyle w:val="ListParagraph"/>
        <w:numPr>
          <w:ilvl w:val="0"/>
          <w:numId w:val="42"/>
        </w:numPr>
      </w:pPr>
      <w:r>
        <w:t xml:space="preserve">results should be interpreted in conjunction with other clinical and laboratory findings </w:t>
      </w:r>
    </w:p>
    <w:p w14:paraId="2C839C62" w14:textId="269A6BA7" w:rsidR="002A45BC" w:rsidRDefault="002A45BC" w:rsidP="004F1604">
      <w:pPr>
        <w:pStyle w:val="ListParagraph"/>
        <w:numPr>
          <w:ilvl w:val="0"/>
          <w:numId w:val="42"/>
        </w:numPr>
      </w:pPr>
      <w:r>
        <w:t>the use of the assay to guide patient therapy plan (e.g. plasma exchange, rituximab and caplacizumab) has not been evaluated</w:t>
      </w:r>
    </w:p>
    <w:p w14:paraId="02C5B3F8" w14:textId="7836735D" w:rsidR="003546C4" w:rsidRDefault="002A45BC" w:rsidP="004F1604">
      <w:pPr>
        <w:pStyle w:val="ListParagraph"/>
        <w:numPr>
          <w:ilvl w:val="0"/>
          <w:numId w:val="42"/>
        </w:numPr>
      </w:pPr>
      <w:r>
        <w:t>the assay has not been validated for use in the paediatric population and claims in the I</w:t>
      </w:r>
      <w:r w:rsidR="00A779D2">
        <w:t xml:space="preserve">nstructions </w:t>
      </w:r>
      <w:r>
        <w:t>F</w:t>
      </w:r>
      <w:r w:rsidR="00E47100">
        <w:t xml:space="preserve">or </w:t>
      </w:r>
      <w:r>
        <w:t>U</w:t>
      </w:r>
      <w:r w:rsidR="00E47100">
        <w:t>se</w:t>
      </w:r>
      <w:r>
        <w:t xml:space="preserve"> are not applicable to this population</w:t>
      </w:r>
    </w:p>
    <w:p w14:paraId="417EC868" w14:textId="5AE7761F" w:rsidR="003C4ECC" w:rsidRDefault="00FD2002" w:rsidP="0059393C">
      <w:pPr>
        <w:pStyle w:val="ListParagraph"/>
        <w:numPr>
          <w:ilvl w:val="0"/>
          <w:numId w:val="42"/>
        </w:numPr>
      </w:pPr>
      <w:r>
        <w:t>the test has not been validated for evaluating TTP relapse or recurrence.</w:t>
      </w:r>
    </w:p>
    <w:p w14:paraId="02D4E07C" w14:textId="7C930587" w:rsidR="00B54C5A" w:rsidRDefault="000F0E75" w:rsidP="009C3A96">
      <w:r>
        <w:t>In an acute episode when a patient is being diagnosed, the</w:t>
      </w:r>
      <w:r w:rsidR="0008097D">
        <w:t xml:space="preserve"> risk of false positives means some patients </w:t>
      </w:r>
      <w:r w:rsidR="00572F6D">
        <w:t>continue</w:t>
      </w:r>
      <w:r w:rsidR="0008097D">
        <w:t xml:space="preserve"> PEX when they do not have TTP</w:t>
      </w:r>
      <w:r w:rsidR="00572F6D">
        <w:t xml:space="preserve">. </w:t>
      </w:r>
      <w:r w:rsidR="00891F1F">
        <w:t xml:space="preserve">However, the advantage of a </w:t>
      </w:r>
      <w:r w:rsidR="00870B64">
        <w:t xml:space="preserve">rapid test, with </w:t>
      </w:r>
      <w:r w:rsidR="00891F1F">
        <w:t>potentially</w:t>
      </w:r>
      <w:r w:rsidR="00572F6D">
        <w:t xml:space="preserve"> </w:t>
      </w:r>
      <w:r w:rsidR="00870B64">
        <w:t xml:space="preserve">a </w:t>
      </w:r>
      <w:r w:rsidR="00076B0C">
        <w:t xml:space="preserve">same day </w:t>
      </w:r>
      <w:r w:rsidR="00870B64">
        <w:t>result,</w:t>
      </w:r>
      <w:r w:rsidR="00076B0C">
        <w:t xml:space="preserve"> is that some patients </w:t>
      </w:r>
      <w:r w:rsidR="00870B64">
        <w:t xml:space="preserve">without </w:t>
      </w:r>
      <w:r w:rsidR="00D079F2">
        <w:t>TTP</w:t>
      </w:r>
      <w:r w:rsidR="00870B64">
        <w:t xml:space="preserve"> </w:t>
      </w:r>
      <w:r w:rsidR="00076B0C">
        <w:t xml:space="preserve">may avoid </w:t>
      </w:r>
      <w:r w:rsidR="00870B64">
        <w:t xml:space="preserve">initiating </w:t>
      </w:r>
      <w:r w:rsidR="00076B0C">
        <w:t>PEX a</w:t>
      </w:r>
      <w:r w:rsidR="00870B64">
        <w:t>ltogether.</w:t>
      </w:r>
      <w:r w:rsidR="00572F6D">
        <w:t xml:space="preserve"> </w:t>
      </w:r>
    </w:p>
    <w:p w14:paraId="3E986AEF" w14:textId="18BD564A" w:rsidR="009C3A96" w:rsidRDefault="00B54C5A" w:rsidP="009C3A96">
      <w:r>
        <w:t xml:space="preserve">The </w:t>
      </w:r>
      <w:r w:rsidR="00B74603">
        <w:t xml:space="preserve">application states that </w:t>
      </w:r>
      <w:r w:rsidR="0003550C">
        <w:t xml:space="preserve">where AcuStar </w:t>
      </w:r>
      <w:r w:rsidR="00597584">
        <w:t>is used to triage patients</w:t>
      </w:r>
      <w:r w:rsidR="00677989">
        <w:t xml:space="preserve"> </w:t>
      </w:r>
      <w:r w:rsidR="00AB2109">
        <w:t xml:space="preserve">with the intention of </w:t>
      </w:r>
      <w:r w:rsidR="00C34196">
        <w:t xml:space="preserve">identifying patients with normal ADAMTS13 activity levels </w:t>
      </w:r>
      <w:r w:rsidR="00DB28C7">
        <w:t>who can safely</w:t>
      </w:r>
      <w:r w:rsidR="00C34196">
        <w:t xml:space="preserve"> </w:t>
      </w:r>
      <w:r w:rsidR="00DF5ED1">
        <w:t xml:space="preserve">avoid PEX, </w:t>
      </w:r>
      <w:r w:rsidR="00CD5A4A">
        <w:t>subsequent confirmatory testing</w:t>
      </w:r>
      <w:r w:rsidR="00043DE6">
        <w:t xml:space="preserve"> by ELISA is performed on samples with </w:t>
      </w:r>
      <w:r w:rsidR="000F4B35">
        <w:t xml:space="preserve">low </w:t>
      </w:r>
      <w:r w:rsidR="005D5DB3">
        <w:t xml:space="preserve">ADAMTS13 </w:t>
      </w:r>
      <w:r w:rsidR="00DE21D1">
        <w:t>level</w:t>
      </w:r>
      <w:r w:rsidR="00043DE6">
        <w:t>s (</w:t>
      </w:r>
      <w:r w:rsidR="009B317D">
        <w:t>Application 1796</w:t>
      </w:r>
      <w:r w:rsidR="00994C1D">
        <w:t>, p5)</w:t>
      </w:r>
      <w:r w:rsidR="00311CCD">
        <w:t>.</w:t>
      </w:r>
      <w:r w:rsidR="004A4648">
        <w:t xml:space="preserve"> However, t</w:t>
      </w:r>
      <w:r w:rsidR="009C3A96">
        <w:t xml:space="preserve">he applicant’s clinical expert advised that </w:t>
      </w:r>
      <w:r w:rsidR="00D21BF8">
        <w:t xml:space="preserve">such confirmatory testing </w:t>
      </w:r>
      <w:r w:rsidR="00494B2D">
        <w:t>is highly unusual</w:t>
      </w:r>
      <w:r w:rsidR="00021665">
        <w:t xml:space="preserve">, and decisions </w:t>
      </w:r>
      <w:r w:rsidR="007A7441">
        <w:t xml:space="preserve">not </w:t>
      </w:r>
      <w:r w:rsidR="00021665">
        <w:t xml:space="preserve">to </w:t>
      </w:r>
      <w:r w:rsidR="00C70BA4">
        <w:t xml:space="preserve">initiate </w:t>
      </w:r>
      <w:r w:rsidR="00AD191A">
        <w:t xml:space="preserve">or continue </w:t>
      </w:r>
      <w:r w:rsidR="00C70BA4">
        <w:t xml:space="preserve">PEX rely on </w:t>
      </w:r>
      <w:r w:rsidR="00FE0656">
        <w:t xml:space="preserve">results </w:t>
      </w:r>
      <w:r w:rsidR="00AA7D83">
        <w:t xml:space="preserve">well </w:t>
      </w:r>
      <w:r w:rsidR="009542FF">
        <w:t xml:space="preserve">below </w:t>
      </w:r>
      <w:r w:rsidR="00AA7D83">
        <w:t xml:space="preserve">the diagnostic threshold where </w:t>
      </w:r>
      <w:r w:rsidR="00845C50">
        <w:t xml:space="preserve">AcuStar has </w:t>
      </w:r>
      <w:r w:rsidR="0071456E">
        <w:t xml:space="preserve">less </w:t>
      </w:r>
      <w:r w:rsidR="00270D97">
        <w:t xml:space="preserve">specificity. </w:t>
      </w:r>
      <w:r w:rsidR="008414FA">
        <w:t xml:space="preserve">It was also noted that </w:t>
      </w:r>
      <w:r w:rsidR="009C3A96">
        <w:t>it is unusual for patients experiencing an acute episode of TTP to have ADAMTS13 activity levels as high as 10% (more likely to be around 1%)</w:t>
      </w:r>
      <w:r w:rsidR="008414FA">
        <w:t xml:space="preserve">, </w:t>
      </w:r>
      <w:r w:rsidR="00250A48">
        <w:t xml:space="preserve">which </w:t>
      </w:r>
      <w:r w:rsidR="00DE38B1">
        <w:t xml:space="preserve">again is </w:t>
      </w:r>
      <w:r w:rsidR="00E25FF4">
        <w:t xml:space="preserve">not </w:t>
      </w:r>
      <w:r w:rsidR="007C52F5">
        <w:t>close to</w:t>
      </w:r>
      <w:r w:rsidR="00B31F99">
        <w:t xml:space="preserve"> the diagnostic threshold of </w:t>
      </w:r>
      <w:r w:rsidR="0063352B">
        <w:t>10%</w:t>
      </w:r>
      <w:r w:rsidR="00EF4307">
        <w:t>.</w:t>
      </w:r>
      <w:r w:rsidR="00B35624" w:rsidRPr="00B35624">
        <w:rPr>
          <w:vertAlign w:val="superscript"/>
        </w:rPr>
        <w:fldChar w:fldCharType="begin"/>
      </w:r>
      <w:r w:rsidR="00B35624" w:rsidRPr="00B35624">
        <w:rPr>
          <w:vertAlign w:val="superscript"/>
        </w:rPr>
        <w:instrText xml:space="preserve"> NOTEREF _Ref192674877 \h </w:instrText>
      </w:r>
      <w:r w:rsidR="00B35624">
        <w:rPr>
          <w:vertAlign w:val="superscript"/>
        </w:rPr>
        <w:instrText xml:space="preserve"> \* MERGEFORMAT </w:instrText>
      </w:r>
      <w:r w:rsidR="00B35624" w:rsidRPr="00B35624">
        <w:rPr>
          <w:vertAlign w:val="superscript"/>
        </w:rPr>
      </w:r>
      <w:r w:rsidR="00B35624" w:rsidRPr="00B35624">
        <w:rPr>
          <w:vertAlign w:val="superscript"/>
        </w:rPr>
        <w:fldChar w:fldCharType="separate"/>
      </w:r>
      <w:r w:rsidR="00AE1C62">
        <w:rPr>
          <w:vertAlign w:val="superscript"/>
        </w:rPr>
        <w:t>4</w:t>
      </w:r>
      <w:r w:rsidR="00B35624" w:rsidRPr="00B35624">
        <w:rPr>
          <w:vertAlign w:val="superscript"/>
        </w:rPr>
        <w:fldChar w:fldCharType="end"/>
      </w:r>
      <w:r w:rsidR="009C3A96">
        <w:t xml:space="preserve"> </w:t>
      </w:r>
    </w:p>
    <w:p w14:paraId="15266A75" w14:textId="04F0FD3F" w:rsidR="00EB54DE" w:rsidRDefault="002806C0" w:rsidP="00EB54DE">
      <w:r>
        <w:t>The applicant’s clinical expert</w:t>
      </w:r>
      <w:r w:rsidR="00024FE3">
        <w:t xml:space="preserve"> </w:t>
      </w:r>
      <w:r>
        <w:t>advised that AcuStar is also used in Australia for monitoring</w:t>
      </w:r>
      <w:r w:rsidR="009B0622">
        <w:t xml:space="preserve"> ADAMTS13 activity</w:t>
      </w:r>
      <w:r>
        <w:t xml:space="preserve">, noting that monitoring </w:t>
      </w:r>
      <w:r w:rsidR="00830C2A">
        <w:t xml:space="preserve">relies on observation of a trend </w:t>
      </w:r>
      <w:r w:rsidR="004251AC">
        <w:t>and that the treatment threshold is higher than the 10% diagnostic threshold</w:t>
      </w:r>
      <w:r w:rsidR="00FD786C">
        <w:t>,</w:t>
      </w:r>
      <w:r w:rsidR="004251AC">
        <w:t xml:space="preserve"> where AcuStar </w:t>
      </w:r>
      <w:r w:rsidR="008F790B">
        <w:t>was found to misclassify some patients</w:t>
      </w:r>
      <w:r w:rsidR="00F50DD2">
        <w:t>.</w:t>
      </w:r>
      <w:r w:rsidR="009E555A">
        <w:rPr>
          <w:rStyle w:val="FootnoteReference"/>
        </w:rPr>
        <w:footnoteReference w:id="7"/>
      </w:r>
      <w:r w:rsidR="00F50DD2">
        <w:t xml:space="preserve"> </w:t>
      </w:r>
      <w:r w:rsidR="00F05178">
        <w:t xml:space="preserve">The application </w:t>
      </w:r>
      <w:r w:rsidR="00F05178">
        <w:lastRenderedPageBreak/>
        <w:t>proposes monitoring weekly for 1 month after achieving clinical response, every 3 months for the first year, and every 3-6 months after that.</w:t>
      </w:r>
    </w:p>
    <w:p w14:paraId="3035B1C8" w14:textId="77777777" w:rsidR="004B1F58" w:rsidRDefault="004B1F58" w:rsidP="004B1F5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the CLIA </w:t>
      </w:r>
      <w:r w:rsidRPr="00105948">
        <w:rPr>
          <w:rFonts w:asciiTheme="minorHAnsi" w:hAnsiTheme="minorHAnsi" w:cstheme="minorHAnsi"/>
          <w:i/>
          <w:iCs/>
        </w:rPr>
        <w:t>assay</w:t>
      </w:r>
      <w:r>
        <w:rPr>
          <w:rFonts w:asciiTheme="minorHAnsi" w:hAnsiTheme="minorHAnsi" w:cstheme="minorHAnsi"/>
          <w:i/>
          <w:iCs/>
        </w:rPr>
        <w:t xml:space="preserve"> for </w:t>
      </w:r>
      <w:r w:rsidRPr="00C70FDA">
        <w:rPr>
          <w:rFonts w:asciiTheme="minorHAnsi" w:hAnsiTheme="minorHAnsi" w:cstheme="minorHAnsi"/>
          <w:i/>
          <w:iCs/>
        </w:rPr>
        <w:t>ADAMTS13 activity</w:t>
      </w:r>
      <w:r>
        <w:rPr>
          <w:rFonts w:asciiTheme="minorHAnsi" w:hAnsiTheme="minorHAnsi" w:cstheme="minorHAnsi"/>
          <w:i/>
          <w:iCs/>
        </w:rPr>
        <w:t xml:space="preserve"> is the test most commonly used in practice (PICO Set 1, test 1 and PICO Set 3) and that it can be confirmed with FRETS-</w:t>
      </w:r>
      <w:r>
        <w:t xml:space="preserve"> </w:t>
      </w:r>
      <w:r w:rsidRPr="00CC1F55">
        <w:rPr>
          <w:rFonts w:asciiTheme="minorHAnsi" w:hAnsiTheme="minorHAnsi" w:cstheme="minorHAnsi"/>
          <w:i/>
          <w:iCs/>
        </w:rPr>
        <w:t>VWF73</w:t>
      </w:r>
      <w:r>
        <w:rPr>
          <w:rFonts w:asciiTheme="minorHAnsi" w:hAnsiTheme="minorHAnsi" w:cstheme="minorHAnsi"/>
          <w:i/>
          <w:iCs/>
        </w:rPr>
        <w:t xml:space="preserve"> or ELISA. PASC noted the pre-PASC response </w:t>
      </w:r>
      <w:r w:rsidRPr="00FC63B2">
        <w:rPr>
          <w:rFonts w:asciiTheme="minorHAnsi" w:hAnsiTheme="minorHAnsi" w:cstheme="minorHAnsi"/>
          <w:i/>
          <w:iCs/>
        </w:rPr>
        <w:t>acknowledge</w:t>
      </w:r>
      <w:r>
        <w:rPr>
          <w:rFonts w:asciiTheme="minorHAnsi" w:hAnsiTheme="minorHAnsi" w:cstheme="minorHAnsi"/>
          <w:i/>
          <w:iCs/>
        </w:rPr>
        <w:t>d</w:t>
      </w:r>
      <w:r w:rsidRPr="00FC63B2">
        <w:rPr>
          <w:rFonts w:asciiTheme="minorHAnsi" w:hAnsiTheme="minorHAnsi" w:cstheme="minorHAnsi"/>
          <w:i/>
          <w:iCs/>
        </w:rPr>
        <w:t xml:space="preserve"> that the choice of activity assay var</w:t>
      </w:r>
      <w:r>
        <w:rPr>
          <w:rFonts w:asciiTheme="minorHAnsi" w:hAnsiTheme="minorHAnsi" w:cstheme="minorHAnsi"/>
          <w:i/>
          <w:iCs/>
        </w:rPr>
        <w:t>ies</w:t>
      </w:r>
      <w:r w:rsidRPr="00FC63B2">
        <w:rPr>
          <w:rFonts w:asciiTheme="minorHAnsi" w:hAnsiTheme="minorHAnsi" w:cstheme="minorHAnsi"/>
          <w:i/>
          <w:iCs/>
        </w:rPr>
        <w:t xml:space="preserve"> </w:t>
      </w:r>
      <w:r>
        <w:rPr>
          <w:rFonts w:asciiTheme="minorHAnsi" w:hAnsiTheme="minorHAnsi" w:cstheme="minorHAnsi"/>
          <w:i/>
          <w:iCs/>
        </w:rPr>
        <w:t>among</w:t>
      </w:r>
      <w:r w:rsidRPr="00FC63B2">
        <w:rPr>
          <w:rFonts w:asciiTheme="minorHAnsi" w:hAnsiTheme="minorHAnsi" w:cstheme="minorHAnsi"/>
          <w:i/>
          <w:iCs/>
        </w:rPr>
        <w:t xml:space="preserve"> states and laboratories</w:t>
      </w:r>
      <w:r>
        <w:rPr>
          <w:rFonts w:asciiTheme="minorHAnsi" w:hAnsiTheme="minorHAnsi" w:cstheme="minorHAnsi"/>
          <w:i/>
          <w:iCs/>
        </w:rPr>
        <w:t xml:space="preserve">. The applicant informed that </w:t>
      </w:r>
      <w:r w:rsidRPr="007854FC">
        <w:rPr>
          <w:rFonts w:asciiTheme="minorHAnsi" w:hAnsiTheme="minorHAnsi" w:cstheme="minorHAnsi"/>
          <w:i/>
          <w:iCs/>
        </w:rPr>
        <w:t xml:space="preserve">all assays correlate well at severely deficient levels (i.e., ADAMTS13 activity </w:t>
      </w:r>
      <w:r>
        <w:rPr>
          <w:rFonts w:asciiTheme="minorHAnsi" w:hAnsiTheme="minorHAnsi" w:cstheme="minorHAnsi"/>
          <w:i/>
          <w:iCs/>
        </w:rPr>
        <w:t>&lt;</w:t>
      </w:r>
      <w:r w:rsidRPr="007854FC">
        <w:rPr>
          <w:rFonts w:asciiTheme="minorHAnsi" w:hAnsiTheme="minorHAnsi" w:cstheme="minorHAnsi"/>
          <w:i/>
          <w:iCs/>
        </w:rPr>
        <w:t>5%)</w:t>
      </w:r>
      <w:r>
        <w:rPr>
          <w:rFonts w:asciiTheme="minorHAnsi" w:hAnsiTheme="minorHAnsi" w:cstheme="minorHAnsi"/>
          <w:i/>
          <w:iCs/>
        </w:rPr>
        <w:t xml:space="preserve"> and that</w:t>
      </w:r>
      <w:r w:rsidRPr="007854FC">
        <w:rPr>
          <w:rFonts w:asciiTheme="minorHAnsi" w:hAnsiTheme="minorHAnsi" w:cstheme="minorHAnsi"/>
          <w:i/>
          <w:iCs/>
        </w:rPr>
        <w:t xml:space="preserve"> diagnostic uncertainties tend to arise closer to the 10% threshold. In practice, most severely deficient patients present with activity levels closer to 1% than 10%.</w:t>
      </w:r>
    </w:p>
    <w:p w14:paraId="16F203A0" w14:textId="5D8EA0CA" w:rsidR="004B1F58" w:rsidRDefault="004B1F58" w:rsidP="004B1F5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a lack of established validity for this test in the paediatric population. The applicant stated that testing in paediatric patients is extremely rare and estimated one </w:t>
      </w:r>
      <w:r w:rsidR="008B7FD4">
        <w:rPr>
          <w:rFonts w:asciiTheme="minorHAnsi" w:hAnsiTheme="minorHAnsi" w:cstheme="minorHAnsi"/>
          <w:i/>
          <w:iCs/>
        </w:rPr>
        <w:t xml:space="preserve">paediatric </w:t>
      </w:r>
      <w:r>
        <w:rPr>
          <w:rFonts w:asciiTheme="minorHAnsi" w:hAnsiTheme="minorHAnsi" w:cstheme="minorHAnsi"/>
          <w:i/>
          <w:iCs/>
        </w:rPr>
        <w:t>patient every 4-5 years in NSW.</w:t>
      </w:r>
    </w:p>
    <w:p w14:paraId="35B2F4E2" w14:textId="5D81CCEB" w:rsidR="004B1F58" w:rsidRDefault="004B1F58" w:rsidP="004B1F58">
      <w:r>
        <w:rPr>
          <w:rFonts w:asciiTheme="minorHAnsi" w:hAnsiTheme="minorHAnsi" w:cstheme="minorHAnsi"/>
          <w:i/>
          <w:iCs/>
        </w:rPr>
        <w:t>PASC noted that the frequency of monitoring (PICO Set 3) is not well described in the PICO and that this may present challenges for the assessment, particularly for the cost analysis. The applicant stated that although there is good evidence for monitoring, evidence supporting the frequency is lacking and that the application relies on the British Guidelines (Scully et al. 2023). In practice, the frequency of monitoring is individualised.</w:t>
      </w:r>
    </w:p>
    <w:p w14:paraId="7F23822B" w14:textId="793313BE" w:rsidR="009940B1" w:rsidRDefault="00076F4A" w:rsidP="009940B1">
      <w:pPr>
        <w:pStyle w:val="Heading4"/>
      </w:pPr>
      <w:r>
        <w:t>Anti-</w:t>
      </w:r>
      <w:r w:rsidR="009940B1">
        <w:t xml:space="preserve">ADAMTS13 </w:t>
      </w:r>
      <w:r w:rsidR="009E1793">
        <w:t>autoantibody</w:t>
      </w:r>
      <w:r w:rsidR="009940B1">
        <w:t xml:space="preserve"> test</w:t>
      </w:r>
      <w:r w:rsidR="00F15D78">
        <w:t>s</w:t>
      </w:r>
    </w:p>
    <w:p w14:paraId="186EC27A" w14:textId="066A09B8" w:rsidR="006926E0" w:rsidRDefault="00076F4A" w:rsidP="00514A88">
      <w:r>
        <w:t>Anti-</w:t>
      </w:r>
      <w:r w:rsidR="00C611F4">
        <w:t xml:space="preserve">ADAMTS13 </w:t>
      </w:r>
      <w:r w:rsidR="00E44206">
        <w:t xml:space="preserve">autoantibodies </w:t>
      </w:r>
      <w:r w:rsidR="00C611F4">
        <w:t>are</w:t>
      </w:r>
      <w:r w:rsidR="00171BAE">
        <w:t xml:space="preserve"> typically </w:t>
      </w:r>
      <w:r w:rsidR="00C611F4">
        <w:t>detected</w:t>
      </w:r>
      <w:r w:rsidR="00171BAE">
        <w:t xml:space="preserve"> </w:t>
      </w:r>
      <w:r w:rsidR="002D53C7">
        <w:t>using</w:t>
      </w:r>
      <w:r w:rsidR="005713FF">
        <w:t xml:space="preserve"> </w:t>
      </w:r>
      <w:r w:rsidR="002D53C7">
        <w:t>a</w:t>
      </w:r>
      <w:r w:rsidR="0011492F">
        <w:t xml:space="preserve"> </w:t>
      </w:r>
      <w:r w:rsidR="00F522E4" w:rsidRPr="00F522E4">
        <w:t>Bethesda</w:t>
      </w:r>
      <w:r w:rsidR="00E45EB7">
        <w:t>-like</w:t>
      </w:r>
      <w:r w:rsidR="00F522E4" w:rsidRPr="00F522E4">
        <w:t xml:space="preserve"> assay</w:t>
      </w:r>
      <w:r w:rsidR="00757D10">
        <w:t xml:space="preserve">, </w:t>
      </w:r>
      <w:r w:rsidR="006556BA">
        <w:t xml:space="preserve">adapted from </w:t>
      </w:r>
      <w:r w:rsidR="00E26B15">
        <w:t>the Bethesda assay</w:t>
      </w:r>
      <w:r w:rsidR="00F522E4" w:rsidRPr="00F522E4">
        <w:t xml:space="preserve"> used to identify FVIII inhibitors</w:t>
      </w:r>
      <w:r w:rsidR="00193ED2">
        <w:t>.</w:t>
      </w:r>
      <w:r w:rsidR="00757D10">
        <w:t xml:space="preserve"> This </w:t>
      </w:r>
      <w:r w:rsidR="00781221">
        <w:t>is a functional</w:t>
      </w:r>
      <w:r w:rsidR="00757D10">
        <w:t xml:space="preserve"> test </w:t>
      </w:r>
      <w:r w:rsidR="00781221">
        <w:t>that</w:t>
      </w:r>
      <w:r w:rsidR="00757D10">
        <w:t xml:space="preserve"> </w:t>
      </w:r>
      <w:r w:rsidR="00523D03">
        <w:t>measures</w:t>
      </w:r>
      <w:r w:rsidR="00C35358">
        <w:t xml:space="preserve"> the level of</w:t>
      </w:r>
      <w:r w:rsidR="00116421">
        <w:t xml:space="preserve"> </w:t>
      </w:r>
      <w:r w:rsidR="0069447D">
        <w:t xml:space="preserve">inhibitory activity of </w:t>
      </w:r>
      <w:r w:rsidR="00E14348">
        <w:t>anti-</w:t>
      </w:r>
      <w:r w:rsidR="001720D2">
        <w:t>ADAMTS13 neutralising antibodies</w:t>
      </w:r>
      <w:r w:rsidR="00781221">
        <w:t xml:space="preserve">. </w:t>
      </w:r>
      <w:r w:rsidR="00C848B4">
        <w:t>However, t</w:t>
      </w:r>
      <w:r w:rsidR="00613C2B">
        <w:t xml:space="preserve">his test does not </w:t>
      </w:r>
      <w:r w:rsidR="00040D6C">
        <w:t>detect</w:t>
      </w:r>
      <w:r w:rsidR="00613C2B">
        <w:t xml:space="preserve"> </w:t>
      </w:r>
      <w:r w:rsidR="00FC2915">
        <w:t>anti-</w:t>
      </w:r>
      <w:r w:rsidR="00D7408A">
        <w:t>ADAMTS13 autoantibodies that</w:t>
      </w:r>
      <w:r w:rsidR="00B21510">
        <w:t xml:space="preserve"> do not impede </w:t>
      </w:r>
      <w:r w:rsidR="00770B46">
        <w:t xml:space="preserve">ADAMTS13 activity, </w:t>
      </w:r>
      <w:r w:rsidR="00B41734">
        <w:t xml:space="preserve">although </w:t>
      </w:r>
      <w:r w:rsidR="003E3FEC">
        <w:t xml:space="preserve">in vivo </w:t>
      </w:r>
      <w:r w:rsidR="00B41734">
        <w:t xml:space="preserve">these antibodies will reduce </w:t>
      </w:r>
      <w:r w:rsidR="007B7BA4">
        <w:t xml:space="preserve">the amount of circulating </w:t>
      </w:r>
      <w:r w:rsidR="00E264C0">
        <w:t>enzyme.</w:t>
      </w:r>
      <w:r w:rsidR="002C028E">
        <w:t xml:space="preserve"> </w:t>
      </w:r>
      <w:r w:rsidR="004C4CA6">
        <w:t xml:space="preserve">An </w:t>
      </w:r>
      <w:r w:rsidR="00171BAE">
        <w:t>ELISA</w:t>
      </w:r>
      <w:r w:rsidR="004C4CA6">
        <w:t xml:space="preserve"> assay </w:t>
      </w:r>
      <w:r w:rsidR="00BE598E">
        <w:t>measures</w:t>
      </w:r>
      <w:r w:rsidR="00D935FA">
        <w:t xml:space="preserve"> </w:t>
      </w:r>
      <w:r w:rsidR="004C4CA6">
        <w:t xml:space="preserve">both </w:t>
      </w:r>
      <w:r w:rsidR="00A719B5">
        <w:t xml:space="preserve">inhibitory and non-inhibitory </w:t>
      </w:r>
      <w:r w:rsidR="00B76CFE">
        <w:t>anti-</w:t>
      </w:r>
      <w:r w:rsidR="008A48D7">
        <w:t>ADAMTS13 auto</w:t>
      </w:r>
      <w:r w:rsidR="00CA2A8F">
        <w:t>antibodies</w:t>
      </w:r>
      <w:r w:rsidR="009F1E79">
        <w:t xml:space="preserve"> (anti-ADAMTS13 IgG levels)</w:t>
      </w:r>
      <w:r w:rsidR="006200C4">
        <w:t xml:space="preserve">. </w:t>
      </w:r>
      <w:r w:rsidR="007321C9">
        <w:t xml:space="preserve">If patients </w:t>
      </w:r>
      <w:r w:rsidR="008709B3">
        <w:t xml:space="preserve">have general </w:t>
      </w:r>
      <w:r w:rsidR="005E2BEE">
        <w:t>auto-immune conditions</w:t>
      </w:r>
      <w:r w:rsidR="00055614">
        <w:t xml:space="preserve">, </w:t>
      </w:r>
      <w:r w:rsidR="00F26EF7">
        <w:t>however,</w:t>
      </w:r>
      <w:r w:rsidR="00061A6A">
        <w:t xml:space="preserve"> </w:t>
      </w:r>
      <w:r w:rsidR="008078BF">
        <w:t>the</w:t>
      </w:r>
      <w:r w:rsidR="000239AE">
        <w:t xml:space="preserve">re is a risk </w:t>
      </w:r>
      <w:r w:rsidR="008078BF">
        <w:t>the ELISA</w:t>
      </w:r>
      <w:r w:rsidR="00061A6A">
        <w:t xml:space="preserve"> </w:t>
      </w:r>
      <w:r w:rsidR="000239AE">
        <w:t>will</w:t>
      </w:r>
      <w:r w:rsidR="00061A6A">
        <w:t xml:space="preserve"> </w:t>
      </w:r>
      <w:r w:rsidR="00704327">
        <w:t xml:space="preserve">detect </w:t>
      </w:r>
      <w:r w:rsidR="00543FBE">
        <w:t>non-</w:t>
      </w:r>
      <w:r w:rsidR="00D63CA7">
        <w:t>anti-</w:t>
      </w:r>
      <w:r w:rsidR="00543FBE">
        <w:t xml:space="preserve">ADAMTS13 </w:t>
      </w:r>
      <w:r w:rsidR="000E1192">
        <w:t>auto</w:t>
      </w:r>
      <w:r w:rsidR="00543FBE">
        <w:t>antibodies</w:t>
      </w:r>
      <w:r w:rsidR="00D76444">
        <w:t xml:space="preserve"> (i.e. false positiv</w:t>
      </w:r>
      <w:r w:rsidR="004A5A5A">
        <w:t>e</w:t>
      </w:r>
      <w:r w:rsidR="0074400D">
        <w:t>s</w:t>
      </w:r>
      <w:r w:rsidR="004A5A5A">
        <w:t>)</w:t>
      </w:r>
      <w:r w:rsidR="00713EA9">
        <w:t xml:space="preserve">, especially where </w:t>
      </w:r>
      <w:r w:rsidR="004A5A5A">
        <w:t>antibody levels are high</w:t>
      </w:r>
      <w:r w:rsidR="00726A08">
        <w:t xml:space="preserve"> (</w:t>
      </w:r>
      <w:r w:rsidR="00726A08" w:rsidRPr="00726A08">
        <w:t>Favaloro</w:t>
      </w:r>
      <w:r w:rsidR="00726A08">
        <w:t xml:space="preserve"> </w:t>
      </w:r>
      <w:r w:rsidR="00CF1DF5">
        <w:t>et al.</w:t>
      </w:r>
      <w:r w:rsidR="00726A08">
        <w:t xml:space="preserve"> </w:t>
      </w:r>
      <w:r w:rsidR="006C5C60">
        <w:t>2021)</w:t>
      </w:r>
      <w:r w:rsidR="00484E85">
        <w:t>.</w:t>
      </w:r>
      <w:r w:rsidR="00AB4C50">
        <w:t xml:space="preserve"> </w:t>
      </w:r>
      <w:r w:rsidR="00D63CA7">
        <w:t>Anti-</w:t>
      </w:r>
      <w:r w:rsidR="000A6CFC">
        <w:t xml:space="preserve">ADAMTS13 autoantibody testing </w:t>
      </w:r>
      <w:r w:rsidR="00AB4C50">
        <w:t>occur</w:t>
      </w:r>
      <w:r w:rsidR="000A6CFC">
        <w:t>s</w:t>
      </w:r>
      <w:r w:rsidR="00AB4C50">
        <w:t xml:space="preserve"> infrequently in Australia (16% of patients) (Fox et al. 2018)</w:t>
      </w:r>
      <w:r w:rsidR="00EC31FB">
        <w:t>.</w:t>
      </w:r>
    </w:p>
    <w:p w14:paraId="66ED42FB" w14:textId="0E4D14EF" w:rsidR="00EC76FB" w:rsidRDefault="00EC76FB" w:rsidP="00514A88">
      <w:r>
        <w:t xml:space="preserve">The application does not request MBS funding for a specific type of </w:t>
      </w:r>
      <w:r w:rsidR="00AC14D9">
        <w:t>anti-</w:t>
      </w:r>
      <w:r>
        <w:t>ADAMTS13 autoantibody test</w:t>
      </w:r>
      <w:r w:rsidR="00753304">
        <w:t xml:space="preserve"> and therefore </w:t>
      </w:r>
      <w:r w:rsidR="008D50B9">
        <w:t>the intervention includes all available assays</w:t>
      </w:r>
      <w:r>
        <w:t>.</w:t>
      </w:r>
    </w:p>
    <w:p w14:paraId="21E35E08" w14:textId="4C5F783A" w:rsidR="002F6DEE" w:rsidRDefault="002F6DEE" w:rsidP="00514A88">
      <w:r>
        <w:rPr>
          <w:rFonts w:asciiTheme="minorHAnsi" w:hAnsiTheme="minorHAnsi" w:cstheme="minorHAnsi"/>
          <w:i/>
          <w:iCs/>
        </w:rPr>
        <w:t xml:space="preserve">PASC considered the intervention of </w:t>
      </w:r>
      <w:r w:rsidRPr="00766D5C">
        <w:rPr>
          <w:rFonts w:asciiTheme="minorHAnsi" w:hAnsiTheme="minorHAnsi" w:cstheme="minorHAnsi"/>
          <w:i/>
          <w:iCs/>
        </w:rPr>
        <w:t>the Bethesda-like assay</w:t>
      </w:r>
      <w:r>
        <w:rPr>
          <w:rFonts w:asciiTheme="minorHAnsi" w:hAnsiTheme="minorHAnsi" w:cstheme="minorHAnsi"/>
          <w:i/>
          <w:iCs/>
        </w:rPr>
        <w:t xml:space="preserve"> for anti-ADAMTS13 autoantibody testing (PICO Set 1, test 2) to be appropriate.</w:t>
      </w:r>
    </w:p>
    <w:p w14:paraId="55940B57" w14:textId="3977602E" w:rsidR="00C06B18" w:rsidRDefault="009940B1" w:rsidP="009940B1">
      <w:pPr>
        <w:pStyle w:val="Heading4"/>
      </w:pPr>
      <w:r w:rsidRPr="00C934C2">
        <w:t>ADAMTS13 genetic test</w:t>
      </w:r>
      <w:r w:rsidR="00F15D78">
        <w:t>s</w:t>
      </w:r>
    </w:p>
    <w:p w14:paraId="63882296" w14:textId="2D228BB3" w:rsidR="00A707C4" w:rsidRDefault="002B5019" w:rsidP="001D11E5">
      <w:pPr>
        <w:rPr>
          <w:iCs/>
        </w:rPr>
      </w:pPr>
      <w:r>
        <w:rPr>
          <w:iCs/>
        </w:rPr>
        <w:t>All p</w:t>
      </w:r>
      <w:r w:rsidR="003B65EC" w:rsidRPr="003B65EC">
        <w:rPr>
          <w:iCs/>
        </w:rPr>
        <w:t>athogenic</w:t>
      </w:r>
      <w:r w:rsidR="003B65EC">
        <w:rPr>
          <w:i/>
        </w:rPr>
        <w:t xml:space="preserve"> </w:t>
      </w:r>
      <w:r w:rsidR="003B65EC" w:rsidRPr="00C934C2">
        <w:rPr>
          <w:i/>
        </w:rPr>
        <w:t>ADAMTS13</w:t>
      </w:r>
      <w:r w:rsidR="003B65EC" w:rsidRPr="00C934C2">
        <w:rPr>
          <w:iCs/>
        </w:rPr>
        <w:t xml:space="preserve"> </w:t>
      </w:r>
      <w:r w:rsidR="00ED2A41">
        <w:rPr>
          <w:iCs/>
        </w:rPr>
        <w:t>variants</w:t>
      </w:r>
      <w:r w:rsidR="003B65EC">
        <w:rPr>
          <w:iCs/>
        </w:rPr>
        <w:t xml:space="preserve"> are autosomal recessive, </w:t>
      </w:r>
      <w:r w:rsidR="00674F93">
        <w:rPr>
          <w:iCs/>
        </w:rPr>
        <w:t xml:space="preserve">meaning </w:t>
      </w:r>
      <w:r w:rsidR="003B65EC">
        <w:rPr>
          <w:iCs/>
        </w:rPr>
        <w:t xml:space="preserve">patients with cTTP carry </w:t>
      </w:r>
      <w:r w:rsidR="00B037D6">
        <w:rPr>
          <w:iCs/>
        </w:rPr>
        <w:t>pathogenic variants</w:t>
      </w:r>
      <w:r w:rsidR="00E81386">
        <w:rPr>
          <w:iCs/>
        </w:rPr>
        <w:t xml:space="preserve"> on both alleles</w:t>
      </w:r>
      <w:r w:rsidR="00442B25">
        <w:rPr>
          <w:iCs/>
        </w:rPr>
        <w:t xml:space="preserve">, either </w:t>
      </w:r>
      <w:r w:rsidR="00573599">
        <w:rPr>
          <w:iCs/>
        </w:rPr>
        <w:t>homozygous for the one variant or heterozygous for two variants (compound heterozygous)</w:t>
      </w:r>
      <w:r w:rsidR="0020302A">
        <w:rPr>
          <w:iCs/>
        </w:rPr>
        <w:t xml:space="preserve">. </w:t>
      </w:r>
      <w:r w:rsidR="00717579">
        <w:rPr>
          <w:iCs/>
        </w:rPr>
        <w:t>The latter is more common, with 64% of a</w:t>
      </w:r>
      <w:r w:rsidR="00902366">
        <w:rPr>
          <w:iCs/>
        </w:rPr>
        <w:t xml:space="preserve"> UK cohort of 73 cases of cTTP </w:t>
      </w:r>
      <w:r w:rsidR="002E2D37">
        <w:rPr>
          <w:iCs/>
        </w:rPr>
        <w:t>found</w:t>
      </w:r>
      <w:r w:rsidR="00902366">
        <w:rPr>
          <w:iCs/>
        </w:rPr>
        <w:t xml:space="preserve"> to </w:t>
      </w:r>
      <w:r w:rsidR="00717579">
        <w:rPr>
          <w:iCs/>
        </w:rPr>
        <w:t>be compound heterozygous</w:t>
      </w:r>
      <w:r w:rsidR="003335A3">
        <w:rPr>
          <w:iCs/>
        </w:rPr>
        <w:t xml:space="preserve"> (Alwyn </w:t>
      </w:r>
      <w:r w:rsidR="00CF1DF5">
        <w:rPr>
          <w:iCs/>
        </w:rPr>
        <w:t>et al.</w:t>
      </w:r>
      <w:r w:rsidR="003335A3">
        <w:rPr>
          <w:iCs/>
        </w:rPr>
        <w:t xml:space="preserve"> 2019)</w:t>
      </w:r>
      <w:r w:rsidR="00AA5C69">
        <w:rPr>
          <w:iCs/>
        </w:rPr>
        <w:t>.</w:t>
      </w:r>
      <w:r w:rsidR="009B29F5">
        <w:rPr>
          <w:iCs/>
        </w:rPr>
        <w:t xml:space="preserve"> </w:t>
      </w:r>
      <w:r w:rsidR="00496026">
        <w:rPr>
          <w:iCs/>
        </w:rPr>
        <w:t>Pathogenic</w:t>
      </w:r>
      <w:r w:rsidR="00E83038">
        <w:rPr>
          <w:iCs/>
        </w:rPr>
        <w:t xml:space="preserve"> mutations</w:t>
      </w:r>
      <w:r w:rsidR="00496026">
        <w:rPr>
          <w:iCs/>
        </w:rPr>
        <w:t xml:space="preserve"> occur throughout the </w:t>
      </w:r>
      <w:r w:rsidR="00496026" w:rsidRPr="00496026">
        <w:rPr>
          <w:i/>
          <w:iCs/>
        </w:rPr>
        <w:t>ADAMTS13</w:t>
      </w:r>
      <w:r w:rsidR="00496026" w:rsidRPr="00496026">
        <w:rPr>
          <w:iCs/>
        </w:rPr>
        <w:t xml:space="preserve"> gene</w:t>
      </w:r>
      <w:r w:rsidR="00E13B43">
        <w:rPr>
          <w:iCs/>
        </w:rPr>
        <w:t xml:space="preserve"> and</w:t>
      </w:r>
      <w:r w:rsidR="00496026">
        <w:rPr>
          <w:iCs/>
        </w:rPr>
        <w:t xml:space="preserve"> </w:t>
      </w:r>
      <w:r w:rsidR="00FE7CED">
        <w:rPr>
          <w:iCs/>
        </w:rPr>
        <w:t xml:space="preserve">are </w:t>
      </w:r>
      <w:r w:rsidR="00E13B43">
        <w:rPr>
          <w:iCs/>
        </w:rPr>
        <w:t xml:space="preserve">mostly </w:t>
      </w:r>
      <w:r w:rsidR="00E75209" w:rsidRPr="00C86087">
        <w:rPr>
          <w:iCs/>
        </w:rPr>
        <w:t>missense (55%) or</w:t>
      </w:r>
      <w:r w:rsidR="00E75209">
        <w:rPr>
          <w:iCs/>
        </w:rPr>
        <w:t xml:space="preserve"> </w:t>
      </w:r>
      <w:r w:rsidR="00E13B43">
        <w:rPr>
          <w:iCs/>
        </w:rPr>
        <w:t xml:space="preserve">frameshift </w:t>
      </w:r>
      <w:r w:rsidR="00E75209" w:rsidRPr="00C86087">
        <w:rPr>
          <w:iCs/>
        </w:rPr>
        <w:t>(28%)</w:t>
      </w:r>
      <w:r w:rsidR="00E75209">
        <w:rPr>
          <w:iCs/>
        </w:rPr>
        <w:t xml:space="preserve"> </w:t>
      </w:r>
      <w:r w:rsidR="00E13B43">
        <w:rPr>
          <w:iCs/>
        </w:rPr>
        <w:t xml:space="preserve">mutations (Scully </w:t>
      </w:r>
      <w:r w:rsidR="00CF1DF5">
        <w:rPr>
          <w:iCs/>
        </w:rPr>
        <w:t>et al.</w:t>
      </w:r>
      <w:r w:rsidR="00E13B43">
        <w:rPr>
          <w:iCs/>
        </w:rPr>
        <w:t xml:space="preserve"> 2023)</w:t>
      </w:r>
      <w:r w:rsidR="00E75209">
        <w:rPr>
          <w:iCs/>
        </w:rPr>
        <w:t xml:space="preserve">. </w:t>
      </w:r>
      <w:r w:rsidR="004F76BA">
        <w:rPr>
          <w:iCs/>
        </w:rPr>
        <w:t>Over</w:t>
      </w:r>
      <w:r w:rsidR="00027F69">
        <w:rPr>
          <w:iCs/>
        </w:rPr>
        <w:t xml:space="preserve"> </w:t>
      </w:r>
      <w:r w:rsidR="00A700C1">
        <w:rPr>
          <w:iCs/>
        </w:rPr>
        <w:t>200</w:t>
      </w:r>
      <w:r w:rsidR="00027F69" w:rsidDel="00365690">
        <w:rPr>
          <w:iCs/>
        </w:rPr>
        <w:t xml:space="preserve"> </w:t>
      </w:r>
      <w:r w:rsidR="003050F4">
        <w:rPr>
          <w:iCs/>
        </w:rPr>
        <w:t>patho</w:t>
      </w:r>
      <w:r w:rsidR="003A5ADC">
        <w:rPr>
          <w:iCs/>
        </w:rPr>
        <w:t>genic</w:t>
      </w:r>
      <w:r w:rsidR="00365690">
        <w:rPr>
          <w:iCs/>
        </w:rPr>
        <w:t xml:space="preserve"> variants </w:t>
      </w:r>
      <w:r w:rsidR="00027F69">
        <w:rPr>
          <w:iCs/>
        </w:rPr>
        <w:t>have been described</w:t>
      </w:r>
      <w:r w:rsidR="008B297B">
        <w:rPr>
          <w:iCs/>
        </w:rPr>
        <w:t xml:space="preserve"> (</w:t>
      </w:r>
      <w:r w:rsidR="00C60672">
        <w:rPr>
          <w:iCs/>
        </w:rPr>
        <w:t>Sukumar et al. 2021)</w:t>
      </w:r>
      <w:r w:rsidR="00D63C4B">
        <w:rPr>
          <w:iCs/>
        </w:rPr>
        <w:t xml:space="preserve">, </w:t>
      </w:r>
      <w:r w:rsidR="00FF41EC">
        <w:rPr>
          <w:iCs/>
        </w:rPr>
        <w:t>and</w:t>
      </w:r>
      <w:r w:rsidR="00A17692">
        <w:rPr>
          <w:iCs/>
        </w:rPr>
        <w:t xml:space="preserve"> </w:t>
      </w:r>
      <w:r w:rsidR="00A707C4" w:rsidRPr="001D11E5">
        <w:rPr>
          <w:iCs/>
        </w:rPr>
        <w:t xml:space="preserve">the gene variant can determine the level </w:t>
      </w:r>
      <w:r w:rsidR="00A707C4">
        <w:rPr>
          <w:iCs/>
        </w:rPr>
        <w:t xml:space="preserve">of </w:t>
      </w:r>
      <w:r w:rsidR="00A707C4" w:rsidRPr="00165C7A">
        <w:rPr>
          <w:iCs/>
        </w:rPr>
        <w:t>ADAMTS13</w:t>
      </w:r>
      <w:r w:rsidR="00A707C4">
        <w:rPr>
          <w:iCs/>
        </w:rPr>
        <w:t xml:space="preserve"> activity</w:t>
      </w:r>
      <w:r w:rsidR="00B07630">
        <w:rPr>
          <w:iCs/>
        </w:rPr>
        <w:t>,</w:t>
      </w:r>
      <w:r w:rsidR="00A707C4">
        <w:rPr>
          <w:iCs/>
        </w:rPr>
        <w:t xml:space="preserve"> </w:t>
      </w:r>
      <w:r w:rsidR="006E2FAD">
        <w:rPr>
          <w:iCs/>
        </w:rPr>
        <w:t>or</w:t>
      </w:r>
      <w:r w:rsidR="006E2FAD" w:rsidRPr="001D11E5">
        <w:rPr>
          <w:iCs/>
        </w:rPr>
        <w:t xml:space="preserve"> </w:t>
      </w:r>
      <w:r w:rsidR="00A707C4" w:rsidRPr="001D11E5">
        <w:rPr>
          <w:iCs/>
        </w:rPr>
        <w:t>the conformation</w:t>
      </w:r>
      <w:r w:rsidR="00A707C4">
        <w:rPr>
          <w:iCs/>
        </w:rPr>
        <w:t xml:space="preserve">, and therefore functionality, </w:t>
      </w:r>
      <w:r w:rsidR="00A707C4" w:rsidRPr="001D11E5">
        <w:rPr>
          <w:iCs/>
        </w:rPr>
        <w:t xml:space="preserve">of </w:t>
      </w:r>
      <w:r w:rsidR="00A707C4">
        <w:rPr>
          <w:iCs/>
        </w:rPr>
        <w:t xml:space="preserve">the </w:t>
      </w:r>
      <w:r w:rsidR="00A707C4" w:rsidRPr="001D11E5">
        <w:rPr>
          <w:iCs/>
        </w:rPr>
        <w:t>ADAMTS13</w:t>
      </w:r>
      <w:r w:rsidR="00A707C4">
        <w:rPr>
          <w:iCs/>
        </w:rPr>
        <w:t xml:space="preserve"> enzyme (Scully </w:t>
      </w:r>
      <w:r w:rsidR="00CF1DF5">
        <w:rPr>
          <w:iCs/>
        </w:rPr>
        <w:t>et al.</w:t>
      </w:r>
      <w:r w:rsidR="00A707C4">
        <w:rPr>
          <w:iCs/>
        </w:rPr>
        <w:t xml:space="preserve"> 2023)</w:t>
      </w:r>
      <w:r w:rsidR="00215B5D">
        <w:rPr>
          <w:iCs/>
        </w:rPr>
        <w:t xml:space="preserve">. However, a correlation between most genotypes and cTTP phenotypes </w:t>
      </w:r>
      <w:r w:rsidR="00EA2104">
        <w:rPr>
          <w:iCs/>
        </w:rPr>
        <w:t>has</w:t>
      </w:r>
      <w:r w:rsidR="00215B5D">
        <w:rPr>
          <w:iCs/>
        </w:rPr>
        <w:t xml:space="preserve"> not </w:t>
      </w:r>
      <w:r w:rsidR="00EA2104">
        <w:rPr>
          <w:iCs/>
        </w:rPr>
        <w:t>been established</w:t>
      </w:r>
      <w:r w:rsidR="00215B5D">
        <w:rPr>
          <w:iCs/>
        </w:rPr>
        <w:t xml:space="preserve"> (Alwyn </w:t>
      </w:r>
      <w:r w:rsidR="00CF1DF5">
        <w:rPr>
          <w:iCs/>
        </w:rPr>
        <w:t>et al.</w:t>
      </w:r>
      <w:r w:rsidR="00215B5D">
        <w:rPr>
          <w:iCs/>
        </w:rPr>
        <w:t xml:space="preserve"> 2019</w:t>
      </w:r>
      <w:r w:rsidR="00A707C4">
        <w:rPr>
          <w:iCs/>
        </w:rPr>
        <w:t>)</w:t>
      </w:r>
      <w:r w:rsidR="004A1379">
        <w:rPr>
          <w:iCs/>
        </w:rPr>
        <w:t>.</w:t>
      </w:r>
    </w:p>
    <w:p w14:paraId="65B24F11" w14:textId="77777777" w:rsidR="007C736B" w:rsidRDefault="00C70AD9" w:rsidP="004A1D22">
      <w:pPr>
        <w:rPr>
          <w:iCs/>
        </w:rPr>
      </w:pPr>
      <w:r>
        <w:rPr>
          <w:iCs/>
        </w:rPr>
        <w:lastRenderedPageBreak/>
        <w:t xml:space="preserve">The </w:t>
      </w:r>
      <w:r w:rsidR="001D3D2C">
        <w:rPr>
          <w:iCs/>
        </w:rPr>
        <w:t xml:space="preserve">application </w:t>
      </w:r>
      <w:r w:rsidR="00952258">
        <w:rPr>
          <w:iCs/>
        </w:rPr>
        <w:t xml:space="preserve">states that </w:t>
      </w:r>
      <w:r w:rsidR="00FF79E1" w:rsidRPr="00E66967">
        <w:rPr>
          <w:i/>
        </w:rPr>
        <w:t>ADAMTS13</w:t>
      </w:r>
      <w:r w:rsidR="00FF79E1" w:rsidRPr="00FF79E1">
        <w:rPr>
          <w:iCs/>
        </w:rPr>
        <w:t xml:space="preserve"> gene</w:t>
      </w:r>
      <w:r w:rsidR="00FF79E1">
        <w:rPr>
          <w:iCs/>
        </w:rPr>
        <w:t xml:space="preserve"> testing </w:t>
      </w:r>
      <w:r w:rsidR="00FF79E1" w:rsidRPr="00FF79E1">
        <w:rPr>
          <w:iCs/>
        </w:rPr>
        <w:t xml:space="preserve">would normally be included in a panel for other TMAs </w:t>
      </w:r>
      <w:r w:rsidR="001D44CD">
        <w:rPr>
          <w:iCs/>
        </w:rPr>
        <w:t>of</w:t>
      </w:r>
      <w:r w:rsidR="00FF79E1" w:rsidRPr="00FF79E1">
        <w:rPr>
          <w:iCs/>
        </w:rPr>
        <w:t xml:space="preserve"> genetic origin</w:t>
      </w:r>
      <w:r w:rsidR="00FF0D1E">
        <w:rPr>
          <w:iCs/>
        </w:rPr>
        <w:t>, but n</w:t>
      </w:r>
      <w:r w:rsidR="00545290">
        <w:rPr>
          <w:iCs/>
        </w:rPr>
        <w:t>o further information is provided</w:t>
      </w:r>
      <w:r w:rsidR="00FF0D1E">
        <w:rPr>
          <w:iCs/>
        </w:rPr>
        <w:t xml:space="preserve">. </w:t>
      </w:r>
      <w:r w:rsidR="00AF01B2">
        <w:rPr>
          <w:iCs/>
        </w:rPr>
        <w:t xml:space="preserve">Genetic disorders of </w:t>
      </w:r>
      <w:r w:rsidR="00984961">
        <w:rPr>
          <w:iCs/>
        </w:rPr>
        <w:t>complement regulation</w:t>
      </w:r>
      <w:r w:rsidR="00221FB9">
        <w:rPr>
          <w:iCs/>
        </w:rPr>
        <w:t xml:space="preserve"> </w:t>
      </w:r>
      <w:r w:rsidR="00D234C5">
        <w:rPr>
          <w:iCs/>
        </w:rPr>
        <w:t>can be a cause of aHUS</w:t>
      </w:r>
      <w:r w:rsidR="00AE0728">
        <w:rPr>
          <w:iCs/>
        </w:rPr>
        <w:t xml:space="preserve">, and </w:t>
      </w:r>
      <w:r w:rsidR="00ED1691" w:rsidRPr="0006443F">
        <w:rPr>
          <w:iCs/>
        </w:rPr>
        <w:t>the Australia and New Zealand Renal Gene Panels (ANZRGP)</w:t>
      </w:r>
      <w:r w:rsidR="00895545">
        <w:rPr>
          <w:iCs/>
        </w:rPr>
        <w:t xml:space="preserve"> service performs</w:t>
      </w:r>
      <w:r w:rsidR="00ED1691">
        <w:rPr>
          <w:iCs/>
        </w:rPr>
        <w:t xml:space="preserve"> </w:t>
      </w:r>
      <w:r w:rsidR="00895545" w:rsidRPr="0006443F">
        <w:rPr>
          <w:iCs/>
        </w:rPr>
        <w:t xml:space="preserve">targeted </w:t>
      </w:r>
      <w:r w:rsidR="00895545" w:rsidRPr="00AC3617">
        <w:rPr>
          <w:iCs/>
        </w:rPr>
        <w:t>exome</w:t>
      </w:r>
      <w:r w:rsidR="00895545" w:rsidRPr="0006443F">
        <w:rPr>
          <w:iCs/>
        </w:rPr>
        <w:t xml:space="preserve"> sequencing for multigene panels</w:t>
      </w:r>
      <w:r w:rsidR="00895545">
        <w:rPr>
          <w:iCs/>
        </w:rPr>
        <w:t xml:space="preserve"> </w:t>
      </w:r>
      <w:r w:rsidR="00BE34DC">
        <w:rPr>
          <w:iCs/>
        </w:rPr>
        <w:t>(</w:t>
      </w:r>
      <w:r w:rsidR="00BE34DC" w:rsidRPr="0006443F">
        <w:rPr>
          <w:iCs/>
        </w:rPr>
        <w:t>over</w:t>
      </w:r>
      <w:r w:rsidR="00BE34DC">
        <w:rPr>
          <w:iCs/>
        </w:rPr>
        <w:t xml:space="preserve"> </w:t>
      </w:r>
      <w:r w:rsidR="00BE34DC" w:rsidRPr="0006443F">
        <w:rPr>
          <w:iCs/>
        </w:rPr>
        <w:t>230 genes</w:t>
      </w:r>
      <w:r w:rsidR="007D3B01">
        <w:rPr>
          <w:iCs/>
        </w:rPr>
        <w:t>, including aHUS</w:t>
      </w:r>
      <w:r w:rsidR="00BE34DC">
        <w:rPr>
          <w:iCs/>
        </w:rPr>
        <w:t xml:space="preserve">) </w:t>
      </w:r>
      <w:r w:rsidR="00895545" w:rsidRPr="0006443F">
        <w:rPr>
          <w:iCs/>
        </w:rPr>
        <w:t xml:space="preserve">associated with more than 22 kidney disease categories </w:t>
      </w:r>
      <w:r w:rsidR="00895545">
        <w:rPr>
          <w:iCs/>
        </w:rPr>
        <w:t>(</w:t>
      </w:r>
      <w:r w:rsidR="00895545" w:rsidRPr="00926094">
        <w:rPr>
          <w:iCs/>
        </w:rPr>
        <w:t xml:space="preserve">Tanudisastro </w:t>
      </w:r>
      <w:r w:rsidR="00BE34DC">
        <w:rPr>
          <w:iCs/>
        </w:rPr>
        <w:t xml:space="preserve">et al. </w:t>
      </w:r>
      <w:r w:rsidR="00895545" w:rsidRPr="00926094">
        <w:rPr>
          <w:iCs/>
        </w:rPr>
        <w:t>2021)</w:t>
      </w:r>
      <w:r w:rsidR="00D56A82">
        <w:rPr>
          <w:iCs/>
        </w:rPr>
        <w:t xml:space="preserve">. </w:t>
      </w:r>
    </w:p>
    <w:p w14:paraId="02B1EB04" w14:textId="77777777" w:rsidR="00A06BF7" w:rsidRDefault="00D234C5" w:rsidP="001D1A26">
      <w:pPr>
        <w:rPr>
          <w:iCs/>
        </w:rPr>
      </w:pPr>
      <w:r>
        <w:rPr>
          <w:iCs/>
        </w:rPr>
        <w:t xml:space="preserve">However, </w:t>
      </w:r>
      <w:r w:rsidR="00D13501">
        <w:rPr>
          <w:iCs/>
        </w:rPr>
        <w:t>the application proposes that genetic testing</w:t>
      </w:r>
      <w:r w:rsidR="00600D00">
        <w:rPr>
          <w:iCs/>
        </w:rPr>
        <w:t xml:space="preserve"> </w:t>
      </w:r>
      <w:r w:rsidR="00D13501">
        <w:rPr>
          <w:iCs/>
        </w:rPr>
        <w:t>for</w:t>
      </w:r>
      <w:r w:rsidR="00600D00">
        <w:rPr>
          <w:iCs/>
        </w:rPr>
        <w:t xml:space="preserve"> suspected cTTP</w:t>
      </w:r>
      <w:r w:rsidR="00B51CDA">
        <w:rPr>
          <w:iCs/>
        </w:rPr>
        <w:t xml:space="preserve"> requires confirmation of</w:t>
      </w:r>
      <w:r w:rsidR="004A2569">
        <w:rPr>
          <w:iCs/>
        </w:rPr>
        <w:t xml:space="preserve"> </w:t>
      </w:r>
      <w:r w:rsidR="00F12538">
        <w:rPr>
          <w:iCs/>
        </w:rPr>
        <w:t>persistent</w:t>
      </w:r>
      <w:r w:rsidR="00B51CDA">
        <w:rPr>
          <w:iCs/>
        </w:rPr>
        <w:t>ly</w:t>
      </w:r>
      <w:r w:rsidR="00F12538">
        <w:rPr>
          <w:iCs/>
        </w:rPr>
        <w:t xml:space="preserve">, </w:t>
      </w:r>
      <w:r w:rsidR="0008295D">
        <w:rPr>
          <w:iCs/>
        </w:rPr>
        <w:t xml:space="preserve">severely low </w:t>
      </w:r>
      <w:r w:rsidR="00F12538">
        <w:rPr>
          <w:iCs/>
        </w:rPr>
        <w:t xml:space="preserve">levels of </w:t>
      </w:r>
      <w:r w:rsidR="00B67126" w:rsidRPr="00B67126">
        <w:rPr>
          <w:iCs/>
        </w:rPr>
        <w:t>ADAMTS13</w:t>
      </w:r>
      <w:r w:rsidR="00B67126">
        <w:rPr>
          <w:iCs/>
        </w:rPr>
        <w:t xml:space="preserve"> activity</w:t>
      </w:r>
      <w:r w:rsidR="0069633F">
        <w:rPr>
          <w:iCs/>
        </w:rPr>
        <w:t xml:space="preserve"> </w:t>
      </w:r>
      <w:r w:rsidR="00DA1177">
        <w:rPr>
          <w:iCs/>
        </w:rPr>
        <w:t>in the post</w:t>
      </w:r>
      <w:r w:rsidR="00523E0B">
        <w:rPr>
          <w:iCs/>
        </w:rPr>
        <w:t>-</w:t>
      </w:r>
      <w:r w:rsidR="00DA1177">
        <w:rPr>
          <w:iCs/>
        </w:rPr>
        <w:t>acute phase</w:t>
      </w:r>
      <w:r w:rsidR="004A2569">
        <w:rPr>
          <w:iCs/>
        </w:rPr>
        <w:t xml:space="preserve">. </w:t>
      </w:r>
      <w:r w:rsidR="00575841">
        <w:rPr>
          <w:iCs/>
        </w:rPr>
        <w:t>By this stage,</w:t>
      </w:r>
      <w:r w:rsidR="00C63C20">
        <w:rPr>
          <w:iCs/>
        </w:rPr>
        <w:t xml:space="preserve"> aHUS </w:t>
      </w:r>
      <w:r w:rsidR="00FD17D5">
        <w:rPr>
          <w:iCs/>
        </w:rPr>
        <w:t xml:space="preserve">would </w:t>
      </w:r>
      <w:r w:rsidR="00DA1177">
        <w:rPr>
          <w:iCs/>
        </w:rPr>
        <w:t xml:space="preserve">have </w:t>
      </w:r>
      <w:r w:rsidR="00934307">
        <w:rPr>
          <w:iCs/>
        </w:rPr>
        <w:t>be</w:t>
      </w:r>
      <w:r w:rsidR="00DA1177">
        <w:rPr>
          <w:iCs/>
        </w:rPr>
        <w:t>en</w:t>
      </w:r>
      <w:r w:rsidR="00FD17D5">
        <w:rPr>
          <w:iCs/>
        </w:rPr>
        <w:t xml:space="preserve"> excluded as a diagnosis</w:t>
      </w:r>
      <w:r w:rsidR="00B23618">
        <w:rPr>
          <w:iCs/>
        </w:rPr>
        <w:t>, so</w:t>
      </w:r>
      <w:r w:rsidR="00113EC7">
        <w:rPr>
          <w:iCs/>
        </w:rPr>
        <w:t xml:space="preserve"> it would not be appropriate to test for </w:t>
      </w:r>
      <w:r w:rsidR="00EA6176">
        <w:rPr>
          <w:iCs/>
        </w:rPr>
        <w:t>variants in both</w:t>
      </w:r>
      <w:r w:rsidR="00D82A5C">
        <w:rPr>
          <w:iCs/>
        </w:rPr>
        <w:t xml:space="preserve"> the</w:t>
      </w:r>
      <w:r w:rsidR="00EA6176">
        <w:rPr>
          <w:iCs/>
        </w:rPr>
        <w:t xml:space="preserve"> </w:t>
      </w:r>
      <w:r w:rsidR="00151930" w:rsidRPr="00151930">
        <w:rPr>
          <w:i/>
          <w:iCs/>
        </w:rPr>
        <w:t>ADAMTS13</w:t>
      </w:r>
      <w:r w:rsidR="00151930" w:rsidRPr="00151930">
        <w:rPr>
          <w:iCs/>
        </w:rPr>
        <w:t xml:space="preserve"> </w:t>
      </w:r>
      <w:r w:rsidR="00D82A5C">
        <w:rPr>
          <w:iCs/>
        </w:rPr>
        <w:t xml:space="preserve">gene </w:t>
      </w:r>
      <w:r w:rsidR="00151930">
        <w:rPr>
          <w:iCs/>
        </w:rPr>
        <w:t xml:space="preserve">and </w:t>
      </w:r>
      <w:r w:rsidR="007B2A27">
        <w:rPr>
          <w:iCs/>
        </w:rPr>
        <w:t>complement regulatory genes.</w:t>
      </w:r>
      <w:r w:rsidR="00C806FC">
        <w:rPr>
          <w:iCs/>
        </w:rPr>
        <w:t xml:space="preserve"> Furthermore, </w:t>
      </w:r>
      <w:r w:rsidR="00FE2804">
        <w:rPr>
          <w:iCs/>
        </w:rPr>
        <w:t xml:space="preserve">it is not necessary to test for variants in any other genes to confirm cTTP, as no other mechanism of reduced </w:t>
      </w:r>
      <w:r w:rsidR="00FE2804" w:rsidRPr="00D21042">
        <w:rPr>
          <w:iCs/>
        </w:rPr>
        <w:t>ADAMTS13 activity</w:t>
      </w:r>
      <w:r w:rsidR="00FE2804">
        <w:rPr>
          <w:iCs/>
        </w:rPr>
        <w:t xml:space="preserve"> has been described other than</w:t>
      </w:r>
      <w:r w:rsidR="00826737">
        <w:rPr>
          <w:iCs/>
        </w:rPr>
        <w:t xml:space="preserve"> </w:t>
      </w:r>
      <w:r w:rsidR="00667F4B">
        <w:rPr>
          <w:iCs/>
        </w:rPr>
        <w:t xml:space="preserve">inhibition </w:t>
      </w:r>
      <w:r w:rsidR="00E50A33">
        <w:rPr>
          <w:iCs/>
        </w:rPr>
        <w:t>by autoantibodies</w:t>
      </w:r>
      <w:r w:rsidR="00FE2804">
        <w:rPr>
          <w:iCs/>
        </w:rPr>
        <w:t xml:space="preserve"> </w:t>
      </w:r>
      <w:r w:rsidR="00E50A33">
        <w:rPr>
          <w:iCs/>
        </w:rPr>
        <w:t xml:space="preserve">(i.e. </w:t>
      </w:r>
      <w:r w:rsidR="00FE2804">
        <w:rPr>
          <w:iCs/>
        </w:rPr>
        <w:t>iTTP</w:t>
      </w:r>
      <w:r w:rsidR="00334F4C">
        <w:rPr>
          <w:iCs/>
        </w:rPr>
        <w:t xml:space="preserve">). </w:t>
      </w:r>
    </w:p>
    <w:p w14:paraId="3B343E7C" w14:textId="5D26DD87" w:rsidR="00A617E7" w:rsidRDefault="00476E54" w:rsidP="005B5290">
      <w:pPr>
        <w:autoSpaceDE w:val="0"/>
        <w:autoSpaceDN w:val="0"/>
        <w:adjustRightInd w:val="0"/>
        <w:rPr>
          <w:rFonts w:asciiTheme="minorHAnsi" w:hAnsiTheme="minorHAnsi" w:cstheme="minorHAnsi"/>
          <w:i/>
          <w:iCs/>
        </w:rPr>
      </w:pPr>
      <w:r>
        <w:rPr>
          <w:iCs/>
        </w:rPr>
        <w:t>Most patho</w:t>
      </w:r>
      <w:r w:rsidR="00E236B1">
        <w:rPr>
          <w:iCs/>
        </w:rPr>
        <w:t>genic</w:t>
      </w:r>
      <w:r w:rsidRPr="00AA0FF8">
        <w:rPr>
          <w:iCs/>
        </w:rPr>
        <w:t xml:space="preserve"> </w:t>
      </w:r>
      <w:r w:rsidRPr="00D52891">
        <w:rPr>
          <w:i/>
        </w:rPr>
        <w:t>ADAMTS13</w:t>
      </w:r>
      <w:r w:rsidRPr="00AA0FF8">
        <w:rPr>
          <w:iCs/>
        </w:rPr>
        <w:t xml:space="preserve"> </w:t>
      </w:r>
      <w:r>
        <w:rPr>
          <w:iCs/>
        </w:rPr>
        <w:t>gene variants</w:t>
      </w:r>
      <w:r w:rsidRPr="00AA0FF8">
        <w:rPr>
          <w:iCs/>
        </w:rPr>
        <w:t xml:space="preserve"> are </w:t>
      </w:r>
      <w:r w:rsidR="0062579C">
        <w:rPr>
          <w:iCs/>
        </w:rPr>
        <w:t xml:space="preserve">private </w:t>
      </w:r>
      <w:r w:rsidR="002478FE">
        <w:rPr>
          <w:iCs/>
        </w:rPr>
        <w:t xml:space="preserve">and </w:t>
      </w:r>
      <w:r w:rsidRPr="00AA0FF8">
        <w:rPr>
          <w:iCs/>
        </w:rPr>
        <w:t>confined to single families</w:t>
      </w:r>
      <w:r>
        <w:rPr>
          <w:iCs/>
        </w:rPr>
        <w:t xml:space="preserve"> (Sukumar et al. 2021), so </w:t>
      </w:r>
      <w:r w:rsidR="00EA7676">
        <w:rPr>
          <w:iCs/>
        </w:rPr>
        <w:t xml:space="preserve">testing for specific variants in </w:t>
      </w:r>
      <w:r w:rsidR="00FD73CB">
        <w:rPr>
          <w:iCs/>
        </w:rPr>
        <w:t xml:space="preserve">index patients is not appropriate. Variants in the introns of the </w:t>
      </w:r>
      <w:r w:rsidR="00FD73CB" w:rsidRPr="00364B2F">
        <w:rPr>
          <w:i/>
          <w:iCs/>
        </w:rPr>
        <w:t>ADAMTS13</w:t>
      </w:r>
      <w:r w:rsidR="00FD73CB" w:rsidRPr="00364B2F">
        <w:rPr>
          <w:iCs/>
        </w:rPr>
        <w:t xml:space="preserve"> gene</w:t>
      </w:r>
      <w:r w:rsidR="00FD73CB">
        <w:rPr>
          <w:iCs/>
        </w:rPr>
        <w:t xml:space="preserve"> have been shown to cause aberrant mRNA splicing, and have been implicated in the pathology of cTTP (Lv et al. 2020; </w:t>
      </w:r>
      <w:r w:rsidR="00FD73CB" w:rsidRPr="00636B04">
        <w:t>Kimchi-Sarfaty</w:t>
      </w:r>
      <w:r w:rsidR="00FD73CB">
        <w:t xml:space="preserve"> et al. 2008</w:t>
      </w:r>
      <w:r w:rsidR="00FD73CB">
        <w:rPr>
          <w:iCs/>
        </w:rPr>
        <w:t>). For these reasons</w:t>
      </w:r>
      <w:r w:rsidR="009538BF">
        <w:rPr>
          <w:iCs/>
        </w:rPr>
        <w:t xml:space="preserve">, </w:t>
      </w:r>
      <w:r w:rsidR="00F97B8C">
        <w:rPr>
          <w:iCs/>
        </w:rPr>
        <w:t>whole gene sequencing</w:t>
      </w:r>
      <w:r w:rsidR="006A1643">
        <w:rPr>
          <w:iCs/>
        </w:rPr>
        <w:t xml:space="preserve"> (i.e. including introns)</w:t>
      </w:r>
      <w:r w:rsidR="00F97B8C">
        <w:rPr>
          <w:iCs/>
        </w:rPr>
        <w:t xml:space="preserve"> </w:t>
      </w:r>
      <w:r w:rsidR="0031412C">
        <w:rPr>
          <w:iCs/>
        </w:rPr>
        <w:t xml:space="preserve">would appear to be </w:t>
      </w:r>
      <w:r w:rsidR="00F97B8C">
        <w:rPr>
          <w:iCs/>
        </w:rPr>
        <w:t>the appropriate test for index patients</w:t>
      </w:r>
      <w:r w:rsidR="009538BF">
        <w:rPr>
          <w:iCs/>
        </w:rPr>
        <w:t xml:space="preserve"> suspected of cTTP</w:t>
      </w:r>
      <w:r w:rsidR="00F97B8C">
        <w:rPr>
          <w:iCs/>
        </w:rPr>
        <w:t>.</w:t>
      </w:r>
      <w:r w:rsidR="007F1870">
        <w:rPr>
          <w:iCs/>
        </w:rPr>
        <w:t xml:space="preserve"> </w:t>
      </w:r>
      <w:r w:rsidR="00A617E7">
        <w:rPr>
          <w:rFonts w:asciiTheme="minorHAnsi" w:hAnsiTheme="minorHAnsi" w:cstheme="minorHAnsi"/>
          <w:i/>
          <w:iCs/>
        </w:rPr>
        <w:t xml:space="preserve">PASC discussed the intervention of </w:t>
      </w:r>
      <w:r w:rsidR="00A617E7" w:rsidRPr="004A3398">
        <w:rPr>
          <w:rFonts w:asciiTheme="minorHAnsi" w:hAnsiTheme="minorHAnsi" w:cstheme="minorHAnsi"/>
        </w:rPr>
        <w:t>ADAMTS13</w:t>
      </w:r>
      <w:r w:rsidR="00A617E7">
        <w:rPr>
          <w:rFonts w:asciiTheme="minorHAnsi" w:hAnsiTheme="minorHAnsi" w:cstheme="minorHAnsi"/>
          <w:i/>
          <w:iCs/>
        </w:rPr>
        <w:t xml:space="preserve"> gene sequencing (PICO Set 1, test 3), noting a lack of clarity regarding this test; in particular, which type of sequencing test is appropriate and whether it should be performed as part of a panel. </w:t>
      </w:r>
      <w:r w:rsidR="00F052B3">
        <w:rPr>
          <w:rFonts w:asciiTheme="minorHAnsi" w:hAnsiTheme="minorHAnsi" w:cstheme="minorHAnsi"/>
          <w:i/>
          <w:iCs/>
        </w:rPr>
        <w:t>PASC noted</w:t>
      </w:r>
      <w:r w:rsidR="00BE755E">
        <w:rPr>
          <w:rFonts w:asciiTheme="minorHAnsi" w:hAnsiTheme="minorHAnsi" w:cstheme="minorHAnsi"/>
          <w:i/>
          <w:iCs/>
        </w:rPr>
        <w:t xml:space="preserve"> the cited literature </w:t>
      </w:r>
      <w:r w:rsidR="00BE755E" w:rsidRPr="00B975BD">
        <w:rPr>
          <w:rFonts w:asciiTheme="minorHAnsi" w:hAnsiTheme="minorHAnsi" w:cstheme="minorHAnsi"/>
          <w:i/>
          <w:iCs/>
        </w:rPr>
        <w:t>(</w:t>
      </w:r>
      <w:r w:rsidR="00BE755E" w:rsidRPr="008029F7">
        <w:rPr>
          <w:i/>
          <w:iCs/>
        </w:rPr>
        <w:t>Sukumar et al. 2021)</w:t>
      </w:r>
      <w:r w:rsidR="00BE755E">
        <w:rPr>
          <w:i/>
          <w:iCs/>
        </w:rPr>
        <w:t xml:space="preserve"> </w:t>
      </w:r>
      <w:r w:rsidR="005B5290">
        <w:rPr>
          <w:i/>
          <w:iCs/>
        </w:rPr>
        <w:t xml:space="preserve">reported </w:t>
      </w:r>
      <w:r w:rsidR="00617100">
        <w:rPr>
          <w:i/>
          <w:iCs/>
        </w:rPr>
        <w:t>that m</w:t>
      </w:r>
      <w:r w:rsidR="005B5290" w:rsidRPr="005B5290">
        <w:rPr>
          <w:i/>
          <w:iCs/>
        </w:rPr>
        <w:t>issense mutations</w:t>
      </w:r>
      <w:r w:rsidR="005B5290">
        <w:rPr>
          <w:i/>
          <w:iCs/>
        </w:rPr>
        <w:t xml:space="preserve"> </w:t>
      </w:r>
      <w:r w:rsidR="005B5290" w:rsidRPr="005B5290">
        <w:rPr>
          <w:i/>
          <w:iCs/>
        </w:rPr>
        <w:t>are most common (59%), followed by nonsense mutations (13%), deletions (13%), splice</w:t>
      </w:r>
      <w:r w:rsidR="005B5290">
        <w:rPr>
          <w:i/>
          <w:iCs/>
        </w:rPr>
        <w:t xml:space="preserve"> </w:t>
      </w:r>
      <w:r w:rsidR="005B5290" w:rsidRPr="005B5290">
        <w:rPr>
          <w:i/>
          <w:iCs/>
        </w:rPr>
        <w:t>site mutations (9%), and insertions (6%)</w:t>
      </w:r>
      <w:r w:rsidR="00617100">
        <w:rPr>
          <w:i/>
          <w:iCs/>
        </w:rPr>
        <w:t xml:space="preserve">. </w:t>
      </w:r>
      <w:r w:rsidR="006F0A90">
        <w:rPr>
          <w:i/>
          <w:iCs/>
        </w:rPr>
        <w:t xml:space="preserve">PASC </w:t>
      </w:r>
      <w:r w:rsidR="00204C72">
        <w:rPr>
          <w:i/>
          <w:iCs/>
        </w:rPr>
        <w:t xml:space="preserve">noted that splice site variants are detected by standard Sanger sequencing or NGS targeted sequencing that cover intron-exon boundaries and therefore, </w:t>
      </w:r>
      <w:r w:rsidR="008C33CE">
        <w:rPr>
          <w:i/>
          <w:iCs/>
        </w:rPr>
        <w:t xml:space="preserve">considered that </w:t>
      </w:r>
      <w:r w:rsidR="00736D69">
        <w:rPr>
          <w:i/>
          <w:iCs/>
        </w:rPr>
        <w:t>whole gene sequencing</w:t>
      </w:r>
      <w:r w:rsidR="00BA52A7">
        <w:rPr>
          <w:i/>
          <w:iCs/>
        </w:rPr>
        <w:t xml:space="preserve"> including full intronic sequencing </w:t>
      </w:r>
      <w:r w:rsidR="004F7060">
        <w:rPr>
          <w:i/>
          <w:iCs/>
        </w:rPr>
        <w:t>is not necessary</w:t>
      </w:r>
      <w:r w:rsidR="00204C72">
        <w:rPr>
          <w:i/>
          <w:iCs/>
        </w:rPr>
        <w:t xml:space="preserve">. </w:t>
      </w:r>
      <w:r w:rsidR="00996706">
        <w:rPr>
          <w:i/>
          <w:iCs/>
        </w:rPr>
        <w:t xml:space="preserve">PASC </w:t>
      </w:r>
      <w:r w:rsidR="00077EB7">
        <w:rPr>
          <w:i/>
          <w:iCs/>
        </w:rPr>
        <w:t xml:space="preserve">noted </w:t>
      </w:r>
      <w:r w:rsidR="00D01557">
        <w:rPr>
          <w:i/>
          <w:iCs/>
        </w:rPr>
        <w:t xml:space="preserve">wide </w:t>
      </w:r>
      <w:r w:rsidR="00077EB7">
        <w:rPr>
          <w:i/>
          <w:iCs/>
        </w:rPr>
        <w:t xml:space="preserve">variation in </w:t>
      </w:r>
      <w:r w:rsidR="00D01557">
        <w:rPr>
          <w:i/>
          <w:iCs/>
        </w:rPr>
        <w:t xml:space="preserve">the </w:t>
      </w:r>
      <w:r w:rsidR="00077EB7">
        <w:rPr>
          <w:i/>
          <w:iCs/>
        </w:rPr>
        <w:t xml:space="preserve">cost </w:t>
      </w:r>
      <w:r w:rsidR="00BA52A7">
        <w:rPr>
          <w:i/>
          <w:iCs/>
        </w:rPr>
        <w:t>that is charged for</w:t>
      </w:r>
      <w:r w:rsidR="00232839">
        <w:rPr>
          <w:i/>
          <w:iCs/>
        </w:rPr>
        <w:t xml:space="preserve"> </w:t>
      </w:r>
      <w:r w:rsidR="00077EB7">
        <w:rPr>
          <w:i/>
          <w:iCs/>
        </w:rPr>
        <w:t>testing</w:t>
      </w:r>
      <w:r w:rsidR="006C2946">
        <w:rPr>
          <w:i/>
          <w:iCs/>
        </w:rPr>
        <w:t xml:space="preserve"> </w:t>
      </w:r>
      <w:r w:rsidR="00A414B6">
        <w:rPr>
          <w:i/>
          <w:iCs/>
        </w:rPr>
        <w:t>($</w:t>
      </w:r>
      <w:r w:rsidR="000C5B66">
        <w:rPr>
          <w:i/>
          <w:iCs/>
        </w:rPr>
        <w:t xml:space="preserve">780-$1,800) </w:t>
      </w:r>
      <w:r w:rsidR="006C2946">
        <w:rPr>
          <w:i/>
          <w:iCs/>
        </w:rPr>
        <w:t>and turnaround time</w:t>
      </w:r>
      <w:r w:rsidR="000C5B66">
        <w:rPr>
          <w:i/>
          <w:iCs/>
        </w:rPr>
        <w:t xml:space="preserve"> (4 weeks to 4 months)</w:t>
      </w:r>
      <w:r w:rsidR="000B2736">
        <w:rPr>
          <w:i/>
          <w:iCs/>
        </w:rPr>
        <w:t xml:space="preserve">, </w:t>
      </w:r>
      <w:r w:rsidR="00BA52A7">
        <w:rPr>
          <w:i/>
          <w:iCs/>
        </w:rPr>
        <w:t xml:space="preserve">due to </w:t>
      </w:r>
      <w:r w:rsidR="00F40CD4">
        <w:rPr>
          <w:i/>
          <w:iCs/>
        </w:rPr>
        <w:t xml:space="preserve">public molecular </w:t>
      </w:r>
      <w:r w:rsidR="00BA52A7">
        <w:rPr>
          <w:i/>
          <w:iCs/>
        </w:rPr>
        <w:t>laboratories increasing</w:t>
      </w:r>
      <w:r w:rsidR="00D15212">
        <w:rPr>
          <w:i/>
          <w:iCs/>
        </w:rPr>
        <w:t>ly</w:t>
      </w:r>
      <w:r w:rsidR="00BA52A7">
        <w:rPr>
          <w:i/>
          <w:iCs/>
        </w:rPr>
        <w:t xml:space="preserve"> only offering </w:t>
      </w:r>
      <w:r w:rsidR="000422FF">
        <w:rPr>
          <w:i/>
          <w:iCs/>
        </w:rPr>
        <w:t>sequencing</w:t>
      </w:r>
      <w:r w:rsidR="00BA52A7">
        <w:rPr>
          <w:i/>
          <w:iCs/>
        </w:rPr>
        <w:t xml:space="preserve"> through a</w:t>
      </w:r>
      <w:r w:rsidR="00766DF9">
        <w:rPr>
          <w:i/>
          <w:iCs/>
        </w:rPr>
        <w:t>n</w:t>
      </w:r>
      <w:r w:rsidR="00BA52A7">
        <w:rPr>
          <w:i/>
          <w:iCs/>
        </w:rPr>
        <w:t xml:space="preserve"> exome capture</w:t>
      </w:r>
      <w:r w:rsidR="006C2946">
        <w:rPr>
          <w:i/>
          <w:iCs/>
        </w:rPr>
        <w:t>.</w:t>
      </w:r>
    </w:p>
    <w:p w14:paraId="321C09A5" w14:textId="6E22115F" w:rsidR="0069214F" w:rsidRDefault="00C61C4B" w:rsidP="001D1A26">
      <w:pPr>
        <w:rPr>
          <w:iCs/>
        </w:rPr>
      </w:pPr>
      <w:r>
        <w:rPr>
          <w:iCs/>
        </w:rPr>
        <w:t>Variant</w:t>
      </w:r>
      <w:r w:rsidR="003D1910">
        <w:rPr>
          <w:iCs/>
        </w:rPr>
        <w:t xml:space="preserve">-specific testing </w:t>
      </w:r>
      <w:r w:rsidR="00694A85">
        <w:rPr>
          <w:iCs/>
        </w:rPr>
        <w:t xml:space="preserve">is sufficient for </w:t>
      </w:r>
      <w:r w:rsidR="00B96ADB">
        <w:rPr>
          <w:iCs/>
        </w:rPr>
        <w:t xml:space="preserve">cascade testing of </w:t>
      </w:r>
      <w:r w:rsidR="006947F3">
        <w:rPr>
          <w:iCs/>
        </w:rPr>
        <w:t xml:space="preserve">first-degree </w:t>
      </w:r>
      <w:r w:rsidR="003859AB">
        <w:rPr>
          <w:iCs/>
        </w:rPr>
        <w:t xml:space="preserve">biological </w:t>
      </w:r>
      <w:r w:rsidR="006947F3">
        <w:rPr>
          <w:iCs/>
        </w:rPr>
        <w:t xml:space="preserve">siblings </w:t>
      </w:r>
      <w:r w:rsidR="00ED2BD3">
        <w:rPr>
          <w:iCs/>
        </w:rPr>
        <w:t xml:space="preserve">of </w:t>
      </w:r>
      <w:r>
        <w:rPr>
          <w:iCs/>
        </w:rPr>
        <w:t>identified</w:t>
      </w:r>
      <w:r w:rsidR="00ED2BD3">
        <w:rPr>
          <w:iCs/>
        </w:rPr>
        <w:t xml:space="preserve"> </w:t>
      </w:r>
      <w:r w:rsidR="00292227">
        <w:rPr>
          <w:iCs/>
        </w:rPr>
        <w:t>index cases</w:t>
      </w:r>
      <w:r w:rsidR="00913F21">
        <w:rPr>
          <w:iCs/>
        </w:rPr>
        <w:t>.</w:t>
      </w:r>
    </w:p>
    <w:p w14:paraId="32D40D63" w14:textId="64AF4F66" w:rsidR="00A71D98" w:rsidRDefault="00811CB0" w:rsidP="00E71275">
      <w:pPr>
        <w:autoSpaceDE w:val="0"/>
        <w:autoSpaceDN w:val="0"/>
        <w:adjustRightInd w:val="0"/>
        <w:rPr>
          <w:rFonts w:asciiTheme="minorHAnsi" w:hAnsiTheme="minorHAnsi" w:cstheme="minorHAnsi"/>
          <w:i/>
          <w:iCs/>
        </w:rPr>
      </w:pPr>
      <w:r>
        <w:rPr>
          <w:rFonts w:asciiTheme="minorHAnsi" w:hAnsiTheme="minorHAnsi" w:cstheme="minorHAnsi"/>
          <w:i/>
          <w:iCs/>
        </w:rPr>
        <w:t xml:space="preserve">PASC discussed whether the MBS item descriptor for proband testing would need to include the costs of </w:t>
      </w:r>
      <w:r w:rsidR="00766DF9">
        <w:rPr>
          <w:rFonts w:asciiTheme="minorHAnsi" w:hAnsiTheme="minorHAnsi" w:cstheme="minorHAnsi"/>
          <w:i/>
          <w:iCs/>
        </w:rPr>
        <w:t xml:space="preserve">cascade </w:t>
      </w:r>
      <w:r>
        <w:rPr>
          <w:rFonts w:asciiTheme="minorHAnsi" w:hAnsiTheme="minorHAnsi" w:cstheme="minorHAnsi"/>
          <w:i/>
          <w:iCs/>
        </w:rPr>
        <w:t>testing the biological parents</w:t>
      </w:r>
      <w:r w:rsidDel="00660DBF">
        <w:rPr>
          <w:rFonts w:asciiTheme="minorHAnsi" w:hAnsiTheme="minorHAnsi" w:cstheme="minorHAnsi"/>
          <w:i/>
          <w:iCs/>
        </w:rPr>
        <w:t xml:space="preserve"> </w:t>
      </w:r>
      <w:r>
        <w:rPr>
          <w:rFonts w:asciiTheme="minorHAnsi" w:hAnsiTheme="minorHAnsi" w:cstheme="minorHAnsi"/>
          <w:i/>
          <w:iCs/>
        </w:rPr>
        <w:t xml:space="preserve">for the purpose of </w:t>
      </w:r>
      <w:r w:rsidR="00766DF9">
        <w:rPr>
          <w:rFonts w:asciiTheme="minorHAnsi" w:hAnsiTheme="minorHAnsi" w:cstheme="minorHAnsi"/>
          <w:i/>
          <w:iCs/>
        </w:rPr>
        <w:t xml:space="preserve">variant </w:t>
      </w:r>
      <w:r>
        <w:rPr>
          <w:rFonts w:asciiTheme="minorHAnsi" w:hAnsiTheme="minorHAnsi" w:cstheme="minorHAnsi"/>
          <w:i/>
          <w:iCs/>
        </w:rPr>
        <w:t xml:space="preserve">phasing. </w:t>
      </w:r>
      <w:r w:rsidR="00684EBD">
        <w:rPr>
          <w:rFonts w:asciiTheme="minorHAnsi" w:hAnsiTheme="minorHAnsi" w:cstheme="minorHAnsi"/>
          <w:i/>
          <w:iCs/>
        </w:rPr>
        <w:t>PASC advised that t</w:t>
      </w:r>
      <w:r>
        <w:rPr>
          <w:rFonts w:asciiTheme="minorHAnsi" w:hAnsiTheme="minorHAnsi" w:cstheme="minorHAnsi"/>
          <w:i/>
          <w:iCs/>
        </w:rPr>
        <w:t xml:space="preserve">he appropriate type of genetic testing will need to be described </w:t>
      </w:r>
      <w:r w:rsidR="000E7EEA">
        <w:rPr>
          <w:rFonts w:asciiTheme="minorHAnsi" w:hAnsiTheme="minorHAnsi" w:cstheme="minorHAnsi"/>
          <w:i/>
          <w:iCs/>
        </w:rPr>
        <w:t>with the proposed fee</w:t>
      </w:r>
      <w:r>
        <w:rPr>
          <w:rFonts w:asciiTheme="minorHAnsi" w:hAnsiTheme="minorHAnsi" w:cstheme="minorHAnsi"/>
          <w:i/>
          <w:iCs/>
        </w:rPr>
        <w:t xml:space="preserve"> justified</w:t>
      </w:r>
      <w:r w:rsidR="000E7EEA">
        <w:rPr>
          <w:rFonts w:asciiTheme="minorHAnsi" w:hAnsiTheme="minorHAnsi" w:cstheme="minorHAnsi"/>
          <w:i/>
          <w:iCs/>
        </w:rPr>
        <w:t xml:space="preserve"> in the assessment report</w:t>
      </w:r>
      <w:r>
        <w:rPr>
          <w:rFonts w:asciiTheme="minorHAnsi" w:hAnsiTheme="minorHAnsi" w:cstheme="minorHAnsi"/>
          <w:i/>
          <w:iCs/>
        </w:rPr>
        <w:t xml:space="preserve">. </w:t>
      </w:r>
    </w:p>
    <w:p w14:paraId="0D866E24" w14:textId="48AEC4D5" w:rsidR="00811CB0" w:rsidRDefault="000E7EEA" w:rsidP="00811CB0">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noted t</w:t>
      </w:r>
      <w:r w:rsidR="00811CB0">
        <w:rPr>
          <w:rFonts w:asciiTheme="minorHAnsi" w:hAnsiTheme="minorHAnsi" w:cstheme="minorHAnsi"/>
          <w:i/>
          <w:iCs/>
        </w:rPr>
        <w:t>he consumer representative stressed the importance of</w:t>
      </w:r>
      <w:r w:rsidR="00F23A18">
        <w:rPr>
          <w:rFonts w:asciiTheme="minorHAnsi" w:hAnsiTheme="minorHAnsi" w:cstheme="minorHAnsi"/>
          <w:i/>
          <w:iCs/>
        </w:rPr>
        <w:t xml:space="preserve"> oversight by a clinical genetic service</w:t>
      </w:r>
      <w:r w:rsidR="00811CB0">
        <w:rPr>
          <w:rFonts w:asciiTheme="minorHAnsi" w:hAnsiTheme="minorHAnsi" w:cstheme="minorHAnsi"/>
          <w:i/>
          <w:iCs/>
        </w:rPr>
        <w:t xml:space="preserve"> for PICO Set 2.</w:t>
      </w:r>
    </w:p>
    <w:p w14:paraId="13C77B7A" w14:textId="0C1AF5F8" w:rsidR="00811CB0" w:rsidRPr="002F6DEE" w:rsidRDefault="000C3B60" w:rsidP="002F6DEE">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considered the intervention of </w:t>
      </w:r>
      <w:r w:rsidRPr="00766D5C">
        <w:rPr>
          <w:rFonts w:asciiTheme="minorHAnsi" w:hAnsiTheme="minorHAnsi" w:cstheme="minorHAnsi"/>
          <w:i/>
          <w:iCs/>
        </w:rPr>
        <w:t xml:space="preserve">the </w:t>
      </w:r>
      <w:r>
        <w:rPr>
          <w:rFonts w:asciiTheme="minorHAnsi" w:hAnsiTheme="minorHAnsi" w:cstheme="minorHAnsi"/>
          <w:i/>
          <w:iCs/>
        </w:rPr>
        <w:t xml:space="preserve">variant-specific </w:t>
      </w:r>
      <w:r w:rsidR="00766DF9">
        <w:rPr>
          <w:rFonts w:asciiTheme="minorHAnsi" w:hAnsiTheme="minorHAnsi" w:cstheme="minorHAnsi"/>
          <w:i/>
          <w:iCs/>
        </w:rPr>
        <w:t xml:space="preserve">cascade </w:t>
      </w:r>
      <w:r>
        <w:rPr>
          <w:rFonts w:asciiTheme="minorHAnsi" w:hAnsiTheme="minorHAnsi" w:cstheme="minorHAnsi"/>
          <w:i/>
          <w:iCs/>
        </w:rPr>
        <w:t>genetic testing (PICO Set 2) to be appropriate.</w:t>
      </w:r>
    </w:p>
    <w:p w14:paraId="665B0675" w14:textId="5FDFCB88" w:rsidR="007A66C8" w:rsidRPr="008F1532" w:rsidRDefault="007A66C8" w:rsidP="00713728">
      <w:pPr>
        <w:pStyle w:val="Heading3"/>
      </w:pPr>
      <w:r w:rsidRPr="008F1532">
        <w:t>Comparator</w:t>
      </w:r>
      <w:r w:rsidR="007D6B83">
        <w:t>(</w:t>
      </w:r>
      <w:r w:rsidR="008F1532">
        <w:t>s</w:t>
      </w:r>
      <w:r w:rsidR="007D6B83">
        <w:t>)</w:t>
      </w:r>
    </w:p>
    <w:p w14:paraId="442FD8DF" w14:textId="752120E7" w:rsidR="00392046" w:rsidRDefault="00443EE4" w:rsidP="00443EE4">
      <w:r>
        <w:t xml:space="preserve">In all PICO Sets, the comparator is no </w:t>
      </w:r>
      <w:r w:rsidR="00D93479">
        <w:t xml:space="preserve">ADAMTS13 </w:t>
      </w:r>
      <w:r>
        <w:t xml:space="preserve">testing and standard </w:t>
      </w:r>
      <w:r w:rsidR="00AA74F1">
        <w:t xml:space="preserve">investigative and </w:t>
      </w:r>
      <w:r>
        <w:t>medical management. None of the</w:t>
      </w:r>
      <w:r w:rsidR="0001290E">
        <w:t xml:space="preserve"> three</w:t>
      </w:r>
      <w:r>
        <w:t xml:space="preserve"> tests </w:t>
      </w:r>
      <w:r w:rsidR="0039110D">
        <w:t>in the interventions</w:t>
      </w:r>
      <w:r>
        <w:t xml:space="preserve"> are proposed as replacements to currently available investigative technology and therefore they are additional tests in the clinical management of TTP.</w:t>
      </w:r>
    </w:p>
    <w:p w14:paraId="4CAE1130" w14:textId="025BD394" w:rsidR="003846DC" w:rsidRDefault="00392046" w:rsidP="00443EE4">
      <w:r>
        <w:lastRenderedPageBreak/>
        <w:t>Currently there are many tests that should be conducted when a patient presents with suspected TTP</w:t>
      </w:r>
      <w:r w:rsidR="00FB4EA2">
        <w:t xml:space="preserve"> (prior tests in PICO </w:t>
      </w:r>
      <w:r w:rsidR="008647FC">
        <w:t>S</w:t>
      </w:r>
      <w:r w:rsidR="00FB4EA2">
        <w:t>et 1</w:t>
      </w:r>
      <w:r w:rsidR="0020002E">
        <w:t xml:space="preserve">, summarised </w:t>
      </w:r>
      <w:r w:rsidR="007C52C9">
        <w:t xml:space="preserve">alongside the clinical management algorithms </w:t>
      </w:r>
      <w:r w:rsidR="0020002E">
        <w:t xml:space="preserve">in </w:t>
      </w:r>
      <w:r w:rsidR="0020002E">
        <w:fldChar w:fldCharType="begin"/>
      </w:r>
      <w:r w:rsidR="0020002E">
        <w:instrText xml:space="preserve"> REF _Ref192507101 \h </w:instrText>
      </w:r>
      <w:r w:rsidR="0020002E">
        <w:fldChar w:fldCharType="separate"/>
      </w:r>
      <w:r w:rsidR="00AE1C62">
        <w:t xml:space="preserve">Table </w:t>
      </w:r>
      <w:r w:rsidR="00AE1C62">
        <w:rPr>
          <w:noProof/>
        </w:rPr>
        <w:t>8</w:t>
      </w:r>
      <w:r w:rsidR="0020002E">
        <w:fldChar w:fldCharType="end"/>
      </w:r>
      <w:r w:rsidR="0020002E">
        <w:t>)</w:t>
      </w:r>
      <w:r>
        <w:t>, however the applica</w:t>
      </w:r>
      <w:r w:rsidR="00E872D1">
        <w:t>tion</w:t>
      </w:r>
      <w:r>
        <w:t xml:space="preserve"> states that while these are </w:t>
      </w:r>
      <w:r w:rsidR="006775AB">
        <w:t>necessary</w:t>
      </w:r>
      <w:r w:rsidR="002A6A23">
        <w:t>,</w:t>
      </w:r>
      <w:r w:rsidR="00443EE4">
        <w:t xml:space="preserve"> </w:t>
      </w:r>
      <w:r w:rsidR="002D6D96">
        <w:t>the</w:t>
      </w:r>
      <w:r w:rsidR="00FB4EA2">
        <w:t>y</w:t>
      </w:r>
      <w:r w:rsidR="002D6D96">
        <w:t xml:space="preserve"> are not sufficient for a diagnosis of TTP.</w:t>
      </w:r>
    </w:p>
    <w:p w14:paraId="375E2AB8" w14:textId="77777777" w:rsidR="00BB509B" w:rsidRDefault="00BB509B" w:rsidP="00BB509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PASC confirmed that the comparator for all PICOs is no ADAMTS13 testing and standard investigations. PASC noted that during the acute phase, standard tests (e.g. low platelets, markers of haemolysis etc.) would be routinely done in public hospitals where there is suspicion of TTP.</w:t>
      </w:r>
    </w:p>
    <w:p w14:paraId="32999894" w14:textId="77777777" w:rsidR="00BB509B" w:rsidRDefault="00BB509B" w:rsidP="00BB509B">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PASC noted that testing of first-degree relatives is not currently offered but that clinical assessment may be used if symptoms are present. </w:t>
      </w:r>
    </w:p>
    <w:p w14:paraId="0420898F" w14:textId="497F4766" w:rsidR="00BB509B" w:rsidRPr="006428B8" w:rsidRDefault="00BB509B" w:rsidP="00BB509B">
      <w:r>
        <w:rPr>
          <w:rFonts w:asciiTheme="minorHAnsi" w:hAnsiTheme="minorHAnsi" w:cstheme="minorHAnsi"/>
          <w:i/>
          <w:iCs/>
        </w:rPr>
        <w:t>PASC noted that monitoring is currently undertaken using clinical history and laboratory testing to identify acute flares.</w:t>
      </w:r>
    </w:p>
    <w:p w14:paraId="15863BAA" w14:textId="586C0367" w:rsidR="00677AE3" w:rsidRPr="008F1532" w:rsidRDefault="00677AE3" w:rsidP="00713728">
      <w:pPr>
        <w:pStyle w:val="Heading3"/>
      </w:pPr>
      <w:r w:rsidRPr="008F1532">
        <w:t xml:space="preserve">Reference standard </w:t>
      </w:r>
    </w:p>
    <w:p w14:paraId="62F510D0" w14:textId="551E4352" w:rsidR="005F227C" w:rsidRDefault="005F227C" w:rsidP="005F227C">
      <w:pPr>
        <w:pStyle w:val="Heading4"/>
      </w:pPr>
      <w:r>
        <w:t>PICO Set 1</w:t>
      </w:r>
    </w:p>
    <w:p w14:paraId="603E89A3" w14:textId="74535983" w:rsidR="007F7F4C" w:rsidRDefault="00F7040F" w:rsidP="00F7040F">
      <w:r>
        <w:t>The application propose</w:t>
      </w:r>
      <w:r w:rsidR="005C46CF">
        <w:t>s</w:t>
      </w:r>
      <w:r>
        <w:t xml:space="preserve"> a </w:t>
      </w:r>
      <w:r w:rsidR="00BA66F3">
        <w:t xml:space="preserve">testing strategy to </w:t>
      </w:r>
      <w:r w:rsidR="00645AEE">
        <w:t xml:space="preserve">differentially diagnose </w:t>
      </w:r>
      <w:r w:rsidR="00D37C65">
        <w:t xml:space="preserve">iTTP </w:t>
      </w:r>
      <w:r w:rsidR="007F617E">
        <w:t>and</w:t>
      </w:r>
      <w:r w:rsidR="00D37C65">
        <w:t xml:space="preserve"> cTTP in patients presenting with </w:t>
      </w:r>
      <w:r w:rsidR="00111ACC">
        <w:t>acute</w:t>
      </w:r>
      <w:r w:rsidR="00D37C65">
        <w:t xml:space="preserve"> </w:t>
      </w:r>
      <w:r w:rsidR="5C76CEBB">
        <w:t>symptoms and signs</w:t>
      </w:r>
      <w:r w:rsidR="00EB69D6">
        <w:t xml:space="preserve"> suggestive of TMA. </w:t>
      </w:r>
      <w:r w:rsidR="00D20CDF">
        <w:t>As</w:t>
      </w:r>
      <w:r w:rsidR="003A22D0">
        <w:t xml:space="preserve"> the diagnosis of</w:t>
      </w:r>
      <w:r w:rsidR="00D20CDF">
        <w:t xml:space="preserve"> iTTP and cTTP are defined by the </w:t>
      </w:r>
      <w:r w:rsidR="003A22D0">
        <w:t xml:space="preserve">outcomes of </w:t>
      </w:r>
      <w:r w:rsidR="00216CE0">
        <w:t>ADAMTS13 testing</w:t>
      </w:r>
      <w:r w:rsidR="003A22D0">
        <w:t>, the</w:t>
      </w:r>
      <w:r w:rsidR="00957AF8">
        <w:t xml:space="preserve"> </w:t>
      </w:r>
      <w:r w:rsidR="00A47A96">
        <w:t xml:space="preserve">intervention </w:t>
      </w:r>
      <w:r w:rsidR="00957AF8">
        <w:t>test</w:t>
      </w:r>
      <w:r w:rsidR="00063E22">
        <w:t>s</w:t>
      </w:r>
      <w:r w:rsidR="0032553F">
        <w:t>,</w:t>
      </w:r>
      <w:r w:rsidR="00063E22">
        <w:t xml:space="preserve"> in combination with </w:t>
      </w:r>
      <w:r w:rsidR="00A47A96">
        <w:t>a</w:t>
      </w:r>
      <w:r w:rsidR="00063E22">
        <w:t xml:space="preserve"> </w:t>
      </w:r>
      <w:r w:rsidR="003536D5">
        <w:t xml:space="preserve">full clinical workup </w:t>
      </w:r>
      <w:r w:rsidR="0032553F">
        <w:t>and consensus diagnosis based on all available information, are the reference standard.</w:t>
      </w:r>
    </w:p>
    <w:p w14:paraId="48520A10" w14:textId="4BF66909" w:rsidR="00960025" w:rsidRDefault="00960025" w:rsidP="00414C78">
      <w:r>
        <w:t>As the test</w:t>
      </w:r>
      <w:r w:rsidR="00400884">
        <w:t>s</w:t>
      </w:r>
      <w:r>
        <w:t xml:space="preserve"> </w:t>
      </w:r>
      <w:r w:rsidR="00400884">
        <w:t>are</w:t>
      </w:r>
      <w:r>
        <w:t xml:space="preserve"> part of the reference standard, </w:t>
      </w:r>
      <w:r w:rsidR="005A48DD">
        <w:t xml:space="preserve">the MSAC </w:t>
      </w:r>
      <w:r w:rsidR="00F65B75">
        <w:t>guidelines</w:t>
      </w:r>
      <w:r w:rsidR="005A48DD">
        <w:t xml:space="preserve"> note that </w:t>
      </w:r>
      <w:r w:rsidR="00414C78">
        <w:t>‘the accuracy of the proposed test itself will need to be demonstrated by direct from test to health outcomes evidence showing a health benefit resulting from use of the test, or by comparison against a suitable clinical utility standard.</w:t>
      </w:r>
      <w:r w:rsidR="005F227C">
        <w:t>’</w:t>
      </w:r>
    </w:p>
    <w:p w14:paraId="2660F18B" w14:textId="77245C7E" w:rsidR="004D1D4E" w:rsidRDefault="004D1D4E" w:rsidP="00414C78">
      <w:r>
        <w:t xml:space="preserve">No reference standard is </w:t>
      </w:r>
      <w:r w:rsidR="00C61DEC">
        <w:t xml:space="preserve">necessary for the assessment of the </w:t>
      </w:r>
      <w:r w:rsidR="00C61DEC">
        <w:rPr>
          <w:i/>
          <w:iCs/>
        </w:rPr>
        <w:t>ADAMTS13</w:t>
      </w:r>
      <w:r w:rsidR="00C61DEC">
        <w:t xml:space="preserve"> genetic test in patients with an absence of </w:t>
      </w:r>
      <w:r w:rsidR="005F778E">
        <w:t>anti-</w:t>
      </w:r>
      <w:r w:rsidR="00C61DEC">
        <w:t>ADAMTS13 antibodies.</w:t>
      </w:r>
    </w:p>
    <w:p w14:paraId="6E4EE762" w14:textId="591269AE" w:rsidR="009D7A3E" w:rsidRDefault="009D7A3E" w:rsidP="009D7A3E">
      <w:pPr>
        <w:pStyle w:val="Heading4"/>
      </w:pPr>
      <w:r>
        <w:t xml:space="preserve">PICO Set </w:t>
      </w:r>
      <w:r w:rsidR="004A3740">
        <w:t>2</w:t>
      </w:r>
    </w:p>
    <w:p w14:paraId="31C9B7C7" w14:textId="5CB022C3" w:rsidR="009D7A3E" w:rsidRDefault="009D7A3E" w:rsidP="009D7A3E">
      <w:r>
        <w:t xml:space="preserve">No reference standard is necessary for the assessment of the </w:t>
      </w:r>
      <w:r>
        <w:rPr>
          <w:i/>
          <w:iCs/>
        </w:rPr>
        <w:t>ADAMTS13</w:t>
      </w:r>
      <w:r>
        <w:t xml:space="preserve"> genetic test</w:t>
      </w:r>
      <w:r w:rsidR="008A20C2">
        <w:t xml:space="preserve"> in</w:t>
      </w:r>
      <w:r>
        <w:t xml:space="preserve"> first-degree </w:t>
      </w:r>
      <w:r w:rsidR="00276BF9">
        <w:t xml:space="preserve">siblings </w:t>
      </w:r>
      <w:r>
        <w:t xml:space="preserve">of </w:t>
      </w:r>
      <w:r w:rsidR="00E96F90">
        <w:t xml:space="preserve">an individual with </w:t>
      </w:r>
      <w:r w:rsidR="00E40A90">
        <w:t xml:space="preserve">a pathogenic </w:t>
      </w:r>
      <w:r w:rsidR="00E40A90">
        <w:rPr>
          <w:i/>
          <w:iCs/>
        </w:rPr>
        <w:t>ADAMTS13</w:t>
      </w:r>
      <w:r w:rsidR="00E40A90">
        <w:t xml:space="preserve"> gene variant</w:t>
      </w:r>
      <w:r>
        <w:t>.</w:t>
      </w:r>
    </w:p>
    <w:p w14:paraId="5028D268" w14:textId="7678BDA7" w:rsidR="009D7A3E" w:rsidRPr="009D7A3E" w:rsidRDefault="00E40A90" w:rsidP="00E40A90">
      <w:pPr>
        <w:pStyle w:val="Heading4"/>
      </w:pPr>
      <w:r>
        <w:t>PICO Set 3</w:t>
      </w:r>
    </w:p>
    <w:p w14:paraId="7BA1A03D" w14:textId="02796A19" w:rsidR="00E40A90" w:rsidRDefault="00505328" w:rsidP="00E40A90">
      <w:r>
        <w:t>M</w:t>
      </w:r>
      <w:r w:rsidR="00A13DD2">
        <w:t xml:space="preserve">onitoring is used to predict </w:t>
      </w:r>
      <w:r w:rsidR="007D7CAD">
        <w:t>exacerbations and</w:t>
      </w:r>
      <w:r w:rsidR="00A13DD2">
        <w:t xml:space="preserve"> recurrence</w:t>
      </w:r>
      <w:r w:rsidR="00DC4A8C">
        <w:t>;</w:t>
      </w:r>
      <w:r w:rsidR="00A13DD2">
        <w:t xml:space="preserve"> </w:t>
      </w:r>
      <w:r w:rsidR="00404EF8">
        <w:t>the</w:t>
      </w:r>
      <w:r w:rsidR="009D6887">
        <w:t>refore</w:t>
      </w:r>
      <w:r w:rsidR="00247A78">
        <w:t>,</w:t>
      </w:r>
      <w:r w:rsidR="00A13DD2">
        <w:t xml:space="preserve"> </w:t>
      </w:r>
      <w:r w:rsidR="00B63080">
        <w:t xml:space="preserve">longitudinal accuracy </w:t>
      </w:r>
      <w:r w:rsidR="009D6887">
        <w:t xml:space="preserve">will be </w:t>
      </w:r>
      <w:r w:rsidR="000A4304">
        <w:t>sought,</w:t>
      </w:r>
      <w:r w:rsidR="009D6887">
        <w:t xml:space="preserve"> and </w:t>
      </w:r>
      <w:r w:rsidR="00A13DD2">
        <w:t xml:space="preserve">the reference standard </w:t>
      </w:r>
      <w:r w:rsidR="008D233B">
        <w:t xml:space="preserve">is </w:t>
      </w:r>
      <w:r w:rsidR="00D34798">
        <w:t>the clinical outcome</w:t>
      </w:r>
      <w:r w:rsidR="008E2E55">
        <w:t xml:space="preserve"> (</w:t>
      </w:r>
      <w:r w:rsidR="00F939CF">
        <w:t>ability to predict exacerbation of TTP, ability to predict recurrence of TTP)</w:t>
      </w:r>
      <w:r w:rsidR="0083196B">
        <w:t>.</w:t>
      </w:r>
    </w:p>
    <w:p w14:paraId="35E4518C" w14:textId="5CF81259" w:rsidR="00615A05" w:rsidRPr="00E40A90" w:rsidRDefault="00615A05" w:rsidP="00E40A90">
      <w:r>
        <w:rPr>
          <w:rFonts w:asciiTheme="minorHAnsi" w:hAnsiTheme="minorHAnsi" w:cstheme="minorHAnsi"/>
          <w:i/>
          <w:iCs/>
        </w:rPr>
        <w:t>PASC stated that longitudinal accuracy with reference to clinical outcomes was appropriate for monitoring.</w:t>
      </w:r>
    </w:p>
    <w:p w14:paraId="3BC68763" w14:textId="42CB6CEC" w:rsidR="00CE1B13" w:rsidRPr="008F1532" w:rsidRDefault="00CE1B13" w:rsidP="00713728">
      <w:pPr>
        <w:pStyle w:val="Heading3"/>
      </w:pPr>
      <w:r w:rsidRPr="008F1532">
        <w:t xml:space="preserve">Clinical utility standard </w:t>
      </w:r>
    </w:p>
    <w:p w14:paraId="6E582B55" w14:textId="468EED26" w:rsidR="00AA1D54" w:rsidRPr="00AA1D54" w:rsidRDefault="00AA1D54" w:rsidP="00AA1D54">
      <w:r>
        <w:t xml:space="preserve">Although the </w:t>
      </w:r>
      <w:r w:rsidR="00CF7C99">
        <w:t>application is not a codependent</w:t>
      </w:r>
      <w:r w:rsidR="009213F6">
        <w:t xml:space="preserve"> </w:t>
      </w:r>
      <w:r w:rsidR="00365ADC">
        <w:t xml:space="preserve">assessment, there are trials of treatments for </w:t>
      </w:r>
      <w:r w:rsidR="001F5D9D">
        <w:t xml:space="preserve">aHUS and </w:t>
      </w:r>
      <w:r w:rsidR="00365ADC">
        <w:t>TTP and given that the</w:t>
      </w:r>
      <w:r w:rsidR="009F51F4">
        <w:t xml:space="preserve"> </w:t>
      </w:r>
      <w:r w:rsidR="0016332B">
        <w:t xml:space="preserve">proposed tests are </w:t>
      </w:r>
      <w:r w:rsidR="00A1103E">
        <w:t>the reference standard, additional consideration of a clinical utility standard is appropriate.</w:t>
      </w:r>
      <w:r w:rsidR="005E61BA">
        <w:t xml:space="preserve"> This is not applicable to genetic testing.</w:t>
      </w:r>
    </w:p>
    <w:p w14:paraId="468A60D5" w14:textId="0220C7E9" w:rsidR="002A75E3" w:rsidRDefault="002A75E3" w:rsidP="002A75E3">
      <w:pPr>
        <w:pStyle w:val="Heading4"/>
      </w:pPr>
      <w:r>
        <w:t>PICO Set 1</w:t>
      </w:r>
    </w:p>
    <w:p w14:paraId="01A165BF" w14:textId="7420DFE6" w:rsidR="00DA6CA3" w:rsidRDefault="00C61DEC" w:rsidP="00C61DEC">
      <w:r>
        <w:t>The reference standard for the diagnosis of TTP due to ADAMTS13 deficiency is described in the literature as in-house ELISA using full-length VWF or FRETS-VWF73, ideally calibrated against the World Health Organisation International Standard ADAMTS13 plasma (</w:t>
      </w:r>
      <w:r w:rsidRPr="000372FA">
        <w:t>Roose and Joly, 2020</w:t>
      </w:r>
      <w:r>
        <w:t xml:space="preserve">). </w:t>
      </w:r>
      <w:r w:rsidR="00236101">
        <w:t xml:space="preserve">In Australian practice, the </w:t>
      </w:r>
      <w:r w:rsidR="009427EB" w:rsidRPr="006359B9">
        <w:lastRenderedPageBreak/>
        <w:t>chemiluminescence immunoassay (CLIA</w:t>
      </w:r>
      <w:r w:rsidR="009427EB">
        <w:t>)</w:t>
      </w:r>
      <w:r w:rsidR="00355E82">
        <w:t>,</w:t>
      </w:r>
      <w:r w:rsidR="009427EB">
        <w:t xml:space="preserve"> </w:t>
      </w:r>
      <w:r w:rsidR="009427EB" w:rsidRPr="006359B9">
        <w:t>a two-step immunoassay</w:t>
      </w:r>
      <w:r w:rsidR="009427EB">
        <w:t xml:space="preserve"> that</w:t>
      </w:r>
      <w:r w:rsidR="009427EB" w:rsidRPr="006359B9">
        <w:t xml:space="preserve"> quantif</w:t>
      </w:r>
      <w:r w:rsidR="009427EB">
        <w:t>ies plasma</w:t>
      </w:r>
      <w:r w:rsidR="009427EB" w:rsidRPr="006359B9">
        <w:t xml:space="preserve"> ADAMTS13 activity using magnetic particles as solid phase and a chemiluminescent detection system</w:t>
      </w:r>
      <w:r w:rsidR="009427EB">
        <w:t xml:space="preserve"> that requires specific instrumentation (</w:t>
      </w:r>
      <w:r w:rsidR="009427EB" w:rsidRPr="0090695B">
        <w:t>AcuStar</w:t>
      </w:r>
      <w:r w:rsidR="009427EB">
        <w:t>)</w:t>
      </w:r>
      <w:r w:rsidR="00497812">
        <w:t>,</w:t>
      </w:r>
      <w:r w:rsidR="00DA6CA3">
        <w:t xml:space="preserve"> is commonly used due to the ability to rapidly obtain results.</w:t>
      </w:r>
    </w:p>
    <w:p w14:paraId="014374E8" w14:textId="0047972F" w:rsidR="00211915" w:rsidRPr="006428B8" w:rsidRDefault="00DA6CA3" w:rsidP="00AB3E05">
      <w:r>
        <w:t xml:space="preserve">Clinical trials of treatments for aHUS and TTP have </w:t>
      </w:r>
      <w:r w:rsidR="004855B8">
        <w:t xml:space="preserve">not all </w:t>
      </w:r>
      <w:r w:rsidR="00210A3E">
        <w:t xml:space="preserve">required ADAMTS13 activity testing </w:t>
      </w:r>
      <w:r w:rsidR="00133B68">
        <w:t xml:space="preserve">as an inclusion </w:t>
      </w:r>
      <w:r w:rsidR="00FD02CD">
        <w:t>criterion</w:t>
      </w:r>
      <w:r w:rsidR="00133B68">
        <w:t xml:space="preserve"> and have </w:t>
      </w:r>
      <w:r w:rsidR="0020047F">
        <w:t>rarely</w:t>
      </w:r>
      <w:r>
        <w:t xml:space="preserve"> reported the </w:t>
      </w:r>
      <w:r w:rsidR="0020047F">
        <w:t>assay</w:t>
      </w:r>
      <w:r>
        <w:t xml:space="preserve"> used for diagno</w:t>
      </w:r>
      <w:r w:rsidR="00D1214C">
        <w:t xml:space="preserve">sis of </w:t>
      </w:r>
      <w:r w:rsidR="009A2F56">
        <w:t>TTP</w:t>
      </w:r>
      <w:r w:rsidR="00AD3FE2">
        <w:t xml:space="preserve"> (</w:t>
      </w:r>
      <w:r w:rsidR="00AD3FE2">
        <w:fldChar w:fldCharType="begin"/>
      </w:r>
      <w:r w:rsidR="00AD3FE2">
        <w:instrText xml:space="preserve"> REF _Ref192162775 \h </w:instrText>
      </w:r>
      <w:r w:rsidR="00AD3FE2">
        <w:fldChar w:fldCharType="separate"/>
      </w:r>
      <w:r w:rsidR="00AE1C62">
        <w:t xml:space="preserve">Table </w:t>
      </w:r>
      <w:r w:rsidR="00AE1C62">
        <w:rPr>
          <w:noProof/>
        </w:rPr>
        <w:t>5</w:t>
      </w:r>
      <w:r w:rsidR="00AD3FE2">
        <w:fldChar w:fldCharType="end"/>
      </w:r>
      <w:r w:rsidR="007E07FD">
        <w:t>)</w:t>
      </w:r>
      <w:r w:rsidR="003136DC">
        <w:t>. F</w:t>
      </w:r>
      <w:r w:rsidR="00B84142">
        <w:t>or the TTP trials</w:t>
      </w:r>
      <w:r w:rsidR="00590CFC">
        <w:t xml:space="preserve">, although ADAMTS13 activity testing was not </w:t>
      </w:r>
      <w:r w:rsidR="009D6193">
        <w:t xml:space="preserve">part of the inclusion criteria it was </w:t>
      </w:r>
      <w:r w:rsidR="006970E9">
        <w:t xml:space="preserve">measured </w:t>
      </w:r>
      <w:r w:rsidR="0020047F">
        <w:t xml:space="preserve">at baseline and </w:t>
      </w:r>
      <w:r w:rsidR="00D32733">
        <w:t>during follow-up after PEX treatment</w:t>
      </w:r>
      <w:r w:rsidR="006601C7">
        <w:t>.</w:t>
      </w:r>
      <w:r w:rsidR="006970E9">
        <w:t xml:space="preserve"> </w:t>
      </w:r>
      <w:r w:rsidR="007B747D">
        <w:t>As many of these studies were conducted across multiple international sites (</w:t>
      </w:r>
      <w:r w:rsidR="00023628">
        <w:t xml:space="preserve">92 sites in Hercules and </w:t>
      </w:r>
      <w:r w:rsidR="00490D70">
        <w:t>56 sites in Titan</w:t>
      </w:r>
      <w:r w:rsidR="00023628">
        <w:t>)</w:t>
      </w:r>
      <w:r w:rsidR="00590CFC">
        <w:t xml:space="preserve"> </w:t>
      </w:r>
      <w:r w:rsidR="008A35A5">
        <w:t xml:space="preserve">it may have been difficult to prescribe the assay used. </w:t>
      </w:r>
      <w:r w:rsidR="003238E1">
        <w:t>However,</w:t>
      </w:r>
      <w:r w:rsidR="007E07FD">
        <w:t xml:space="preserve"> given the MBS item is requested to be technology agnostic, the </w:t>
      </w:r>
      <w:r w:rsidR="003C2091">
        <w:t>FRETS</w:t>
      </w:r>
      <w:r w:rsidR="00A91C7D" w:rsidRPr="003B4BC1">
        <w:t>-VWF73</w:t>
      </w:r>
      <w:r w:rsidR="003C2091">
        <w:t xml:space="preserve"> or ELISA assays should be considered the clinical utility standard</w:t>
      </w:r>
      <w:r w:rsidR="008C6B7B">
        <w:t xml:space="preserve"> for reference to the more widely used CLIA </w:t>
      </w:r>
      <w:r w:rsidR="0076087F">
        <w:t xml:space="preserve">(AcuStar) </w:t>
      </w:r>
      <w:r w:rsidR="008C6B7B">
        <w:t>assay.</w:t>
      </w:r>
      <w:r>
        <w:t xml:space="preserve"> </w:t>
      </w:r>
    </w:p>
    <w:p w14:paraId="58822767" w14:textId="50037BBA" w:rsidR="00A91C7D" w:rsidRPr="006428B8" w:rsidRDefault="00A91C7D" w:rsidP="00C61DEC">
      <w:r>
        <w:t xml:space="preserve">No clinical utility standard is identified for anti-ADAMTS13 </w:t>
      </w:r>
      <w:r w:rsidR="003F55EE">
        <w:t xml:space="preserve">autoantibody </w:t>
      </w:r>
      <w:r w:rsidR="009A1845">
        <w:t>testing.</w:t>
      </w:r>
    </w:p>
    <w:p w14:paraId="58078472" w14:textId="75BBC30D" w:rsidR="00761283" w:rsidRDefault="00761283" w:rsidP="00761283">
      <w:pPr>
        <w:pStyle w:val="Caption"/>
      </w:pPr>
      <w:bookmarkStart w:id="8" w:name="_Ref192162775"/>
      <w:r>
        <w:t xml:space="preserve">Table </w:t>
      </w:r>
      <w:r>
        <w:fldChar w:fldCharType="begin"/>
      </w:r>
      <w:r>
        <w:instrText xml:space="preserve"> SEQ Table \* ARABIC </w:instrText>
      </w:r>
      <w:r>
        <w:fldChar w:fldCharType="separate"/>
      </w:r>
      <w:r w:rsidR="00AE1C62">
        <w:rPr>
          <w:noProof/>
        </w:rPr>
        <w:t>5</w:t>
      </w:r>
      <w:r>
        <w:fldChar w:fldCharType="end"/>
      </w:r>
      <w:bookmarkEnd w:id="8"/>
      <w:r>
        <w:tab/>
      </w:r>
      <w:r w:rsidR="00F618B6">
        <w:t xml:space="preserve">Key trials for PBAC-assessed TMA </w:t>
      </w:r>
      <w:r w:rsidR="00F11A6F">
        <w:t xml:space="preserve">treatments and their inclusion criteria </w:t>
      </w:r>
      <w:r w:rsidR="0090140C">
        <w:t xml:space="preserve">with respect to ADAMTS13 </w:t>
      </w:r>
      <w:r w:rsidR="00F94042">
        <w:t xml:space="preserve">activity </w:t>
      </w:r>
      <w:r w:rsidR="0090140C">
        <w:t>testing</w:t>
      </w:r>
    </w:p>
    <w:tbl>
      <w:tblPr>
        <w:tblStyle w:val="TableGrid"/>
        <w:tblW w:w="0" w:type="auto"/>
        <w:tblInd w:w="0" w:type="dxa"/>
        <w:tblLook w:val="04A0" w:firstRow="1" w:lastRow="0" w:firstColumn="1" w:lastColumn="0" w:noHBand="0" w:noVBand="1"/>
      </w:tblPr>
      <w:tblGrid>
        <w:gridCol w:w="1256"/>
        <w:gridCol w:w="1064"/>
        <w:gridCol w:w="2353"/>
        <w:gridCol w:w="3469"/>
        <w:gridCol w:w="1429"/>
      </w:tblGrid>
      <w:tr w:rsidR="007B2E8F" w14:paraId="5200C208" w14:textId="77777777" w:rsidTr="00E15F09">
        <w:trPr>
          <w:tblHeader/>
        </w:trPr>
        <w:tc>
          <w:tcPr>
            <w:tcW w:w="0" w:type="auto"/>
          </w:tcPr>
          <w:p w14:paraId="4E09505D" w14:textId="11DF4A87" w:rsidR="007B2E8F" w:rsidRPr="0095120D" w:rsidRDefault="00BE5214" w:rsidP="00E15F09">
            <w:pPr>
              <w:pStyle w:val="TableHeading"/>
              <w:rPr>
                <w:lang w:val="en-US"/>
              </w:rPr>
            </w:pPr>
            <w:r>
              <w:rPr>
                <w:lang w:val="en-US"/>
              </w:rPr>
              <w:t>T</w:t>
            </w:r>
            <w:r w:rsidRPr="00BD7927">
              <w:rPr>
                <w:lang w:val="en-US"/>
              </w:rPr>
              <w:t>herapy</w:t>
            </w:r>
          </w:p>
        </w:tc>
        <w:tc>
          <w:tcPr>
            <w:tcW w:w="0" w:type="auto"/>
          </w:tcPr>
          <w:p w14:paraId="32E12131" w14:textId="68AC0E24" w:rsidR="001D0866" w:rsidRPr="00BD7927" w:rsidRDefault="003B2EE6" w:rsidP="00BE5214">
            <w:pPr>
              <w:pStyle w:val="TableHeading"/>
              <w:rPr>
                <w:lang w:val="en-US"/>
              </w:rPr>
            </w:pPr>
            <w:r>
              <w:rPr>
                <w:lang w:val="en-US"/>
              </w:rPr>
              <w:t>Population</w:t>
            </w:r>
          </w:p>
        </w:tc>
        <w:tc>
          <w:tcPr>
            <w:tcW w:w="2353" w:type="dxa"/>
          </w:tcPr>
          <w:p w14:paraId="565CEBC1" w14:textId="2FD11527" w:rsidR="007B2E8F" w:rsidRDefault="00BE5214" w:rsidP="007B2E8F">
            <w:pPr>
              <w:pStyle w:val="TableHeading"/>
            </w:pPr>
            <w:r w:rsidRPr="00BD7927">
              <w:rPr>
                <w:lang w:val="en-US"/>
              </w:rPr>
              <w:t>Trial</w:t>
            </w:r>
          </w:p>
        </w:tc>
        <w:tc>
          <w:tcPr>
            <w:tcW w:w="3469" w:type="dxa"/>
          </w:tcPr>
          <w:p w14:paraId="45CD4180" w14:textId="4AD64073" w:rsidR="007B2E8F" w:rsidRDefault="00BE5214" w:rsidP="007B2E8F">
            <w:pPr>
              <w:pStyle w:val="TableHeading"/>
            </w:pPr>
            <w:r w:rsidRPr="00BD7927">
              <w:rPr>
                <w:lang w:val="en-US"/>
              </w:rPr>
              <w:t>ADAMTS13 activity</w:t>
            </w:r>
            <w:r w:rsidR="0090140C">
              <w:rPr>
                <w:lang w:val="en-US"/>
              </w:rPr>
              <w:t xml:space="preserve"> eligibility criteria</w:t>
            </w:r>
          </w:p>
        </w:tc>
        <w:tc>
          <w:tcPr>
            <w:tcW w:w="0" w:type="auto"/>
          </w:tcPr>
          <w:p w14:paraId="6E56A509" w14:textId="483F18CC" w:rsidR="007B2E8F" w:rsidRDefault="00BE5214" w:rsidP="007B2E8F">
            <w:pPr>
              <w:pStyle w:val="TableHeading"/>
            </w:pPr>
            <w:r w:rsidRPr="00BD7927">
              <w:rPr>
                <w:lang w:val="en-US"/>
              </w:rPr>
              <w:t>Method of testing</w:t>
            </w:r>
          </w:p>
        </w:tc>
      </w:tr>
      <w:tr w:rsidR="007B2E8F" w14:paraId="3D923FE4" w14:textId="77777777" w:rsidTr="00AB51E5">
        <w:tc>
          <w:tcPr>
            <w:tcW w:w="0" w:type="auto"/>
          </w:tcPr>
          <w:p w14:paraId="02207F68" w14:textId="51BAE1CC" w:rsidR="007B2E8F" w:rsidRDefault="002C04A2" w:rsidP="007B2E8F">
            <w:pPr>
              <w:pStyle w:val="TableText0"/>
            </w:pPr>
            <w:r w:rsidRPr="00BD7927">
              <w:rPr>
                <w:lang w:val="en-US"/>
              </w:rPr>
              <w:t>Eculizumab</w:t>
            </w:r>
          </w:p>
        </w:tc>
        <w:tc>
          <w:tcPr>
            <w:tcW w:w="0" w:type="auto"/>
          </w:tcPr>
          <w:p w14:paraId="2F7DB754" w14:textId="010AB5E7" w:rsidR="001D0866" w:rsidRDefault="00D874DF" w:rsidP="007B2E8F">
            <w:pPr>
              <w:pStyle w:val="TableText0"/>
            </w:pPr>
            <w:r>
              <w:rPr>
                <w:lang w:val="en-US"/>
              </w:rPr>
              <w:t>aHUS</w:t>
            </w:r>
          </w:p>
        </w:tc>
        <w:tc>
          <w:tcPr>
            <w:tcW w:w="2353" w:type="dxa"/>
          </w:tcPr>
          <w:p w14:paraId="33C46BBC" w14:textId="12F11B3D" w:rsidR="007B2E8F" w:rsidRDefault="00D874DF" w:rsidP="007B2E8F">
            <w:pPr>
              <w:pStyle w:val="TableText0"/>
            </w:pPr>
            <w:r w:rsidRPr="00BD7927">
              <w:rPr>
                <w:lang w:val="en-US"/>
              </w:rPr>
              <w:t>Trial 1 &amp; 2</w:t>
            </w:r>
            <w:r>
              <w:rPr>
                <w:lang w:val="en-US"/>
              </w:rPr>
              <w:t xml:space="preserve"> (Legendre 2013)</w:t>
            </w:r>
          </w:p>
        </w:tc>
        <w:tc>
          <w:tcPr>
            <w:tcW w:w="3469" w:type="dxa"/>
          </w:tcPr>
          <w:p w14:paraId="1165D28F" w14:textId="46AEAF1B" w:rsidR="007B2E8F" w:rsidRDefault="00D874DF" w:rsidP="007B2E8F">
            <w:pPr>
              <w:pStyle w:val="TableText0"/>
            </w:pPr>
            <w:r>
              <w:rPr>
                <w:rFonts w:cs="Calibri"/>
                <w:lang w:val="en-US"/>
              </w:rPr>
              <w:t>≥</w:t>
            </w:r>
            <w:r>
              <w:rPr>
                <w:lang w:val="en-US"/>
              </w:rPr>
              <w:t xml:space="preserve"> </w:t>
            </w:r>
            <w:r w:rsidRPr="00BD7927">
              <w:rPr>
                <w:lang w:val="en-US"/>
              </w:rPr>
              <w:t>5% (both trials)</w:t>
            </w:r>
          </w:p>
        </w:tc>
        <w:tc>
          <w:tcPr>
            <w:tcW w:w="0" w:type="auto"/>
          </w:tcPr>
          <w:p w14:paraId="0A4B7877" w14:textId="368069C6" w:rsidR="007B2E8F" w:rsidRDefault="00D874DF" w:rsidP="007B2E8F">
            <w:pPr>
              <w:pStyle w:val="TableText0"/>
            </w:pPr>
            <w:r w:rsidRPr="003B4BC1">
              <w:t>FRETS-VWF73</w:t>
            </w:r>
          </w:p>
        </w:tc>
      </w:tr>
      <w:tr w:rsidR="007B2E8F" w14:paraId="198FC549" w14:textId="77777777" w:rsidTr="00AB51E5">
        <w:tc>
          <w:tcPr>
            <w:tcW w:w="0" w:type="auto"/>
          </w:tcPr>
          <w:p w14:paraId="2EA9EEA3" w14:textId="66AFC441" w:rsidR="007B2E8F" w:rsidRDefault="00116819" w:rsidP="007B2E8F">
            <w:pPr>
              <w:pStyle w:val="TableText0"/>
            </w:pPr>
            <w:r>
              <w:rPr>
                <w:lang w:val="en-US"/>
              </w:rPr>
              <w:t>Ravulizumab</w:t>
            </w:r>
          </w:p>
        </w:tc>
        <w:tc>
          <w:tcPr>
            <w:tcW w:w="0" w:type="auto"/>
          </w:tcPr>
          <w:p w14:paraId="260AA9E9" w14:textId="1A0075EC" w:rsidR="001D0866" w:rsidRDefault="00784EF3" w:rsidP="007B2E8F">
            <w:pPr>
              <w:pStyle w:val="TableText0"/>
            </w:pPr>
            <w:r>
              <w:rPr>
                <w:lang w:val="en-US"/>
              </w:rPr>
              <w:t>aHUS</w:t>
            </w:r>
          </w:p>
        </w:tc>
        <w:tc>
          <w:tcPr>
            <w:tcW w:w="2353" w:type="dxa"/>
          </w:tcPr>
          <w:p w14:paraId="4834B0C4" w14:textId="1EB88BEB" w:rsidR="007B2E8F" w:rsidRDefault="00784EF3" w:rsidP="007B2E8F">
            <w:pPr>
              <w:pStyle w:val="TableText0"/>
            </w:pPr>
            <w:r>
              <w:rPr>
                <w:lang w:val="en-US"/>
              </w:rPr>
              <w:t>Study 311 (Barbour 2021)</w:t>
            </w:r>
          </w:p>
        </w:tc>
        <w:tc>
          <w:tcPr>
            <w:tcW w:w="3469" w:type="dxa"/>
          </w:tcPr>
          <w:p w14:paraId="286E28F8" w14:textId="28DC7E27" w:rsidR="007B2E8F" w:rsidRDefault="00784EF3" w:rsidP="007B2E8F">
            <w:pPr>
              <w:pStyle w:val="TableText0"/>
            </w:pPr>
            <w:r>
              <w:rPr>
                <w:rFonts w:cs="Calibri"/>
                <w:lang w:val="en-US"/>
              </w:rPr>
              <w:t>&gt; 5%</w:t>
            </w:r>
          </w:p>
        </w:tc>
        <w:tc>
          <w:tcPr>
            <w:tcW w:w="0" w:type="auto"/>
          </w:tcPr>
          <w:p w14:paraId="25267CCD" w14:textId="2DE07875" w:rsidR="007B2E8F" w:rsidRDefault="00784EF3" w:rsidP="007B2E8F">
            <w:pPr>
              <w:pStyle w:val="TableText0"/>
            </w:pPr>
            <w:r>
              <w:t>Not specified</w:t>
            </w:r>
          </w:p>
        </w:tc>
      </w:tr>
      <w:tr w:rsidR="007B2E8F" w14:paraId="4ED8D304" w14:textId="77777777" w:rsidTr="00AB51E5">
        <w:tc>
          <w:tcPr>
            <w:tcW w:w="0" w:type="auto"/>
          </w:tcPr>
          <w:p w14:paraId="3B903A2A" w14:textId="55B06E71" w:rsidR="007B2E8F" w:rsidRDefault="00116819" w:rsidP="007B2E8F">
            <w:pPr>
              <w:pStyle w:val="TableText0"/>
            </w:pPr>
            <w:r>
              <w:rPr>
                <w:lang w:val="en-US"/>
              </w:rPr>
              <w:t>Ravulizumab</w:t>
            </w:r>
          </w:p>
        </w:tc>
        <w:tc>
          <w:tcPr>
            <w:tcW w:w="0" w:type="auto"/>
          </w:tcPr>
          <w:p w14:paraId="6441D2F2" w14:textId="1779F5A0" w:rsidR="001D0866" w:rsidRDefault="00784EF3" w:rsidP="007B2E8F">
            <w:pPr>
              <w:pStyle w:val="TableText0"/>
            </w:pPr>
            <w:r>
              <w:rPr>
                <w:lang w:val="en-US"/>
              </w:rPr>
              <w:t>aHUS</w:t>
            </w:r>
          </w:p>
        </w:tc>
        <w:tc>
          <w:tcPr>
            <w:tcW w:w="2353" w:type="dxa"/>
          </w:tcPr>
          <w:p w14:paraId="27144363" w14:textId="3CD0BBCA" w:rsidR="007B2E8F" w:rsidRDefault="00784EF3" w:rsidP="007B2E8F">
            <w:pPr>
              <w:pStyle w:val="TableText0"/>
            </w:pPr>
            <w:r>
              <w:rPr>
                <w:lang w:val="en-US"/>
              </w:rPr>
              <w:t>Study 312 (Takana 2021)</w:t>
            </w:r>
          </w:p>
        </w:tc>
        <w:tc>
          <w:tcPr>
            <w:tcW w:w="3469" w:type="dxa"/>
          </w:tcPr>
          <w:p w14:paraId="4F69F68B" w14:textId="2EC104DB" w:rsidR="007B2E8F" w:rsidRDefault="00784EF3" w:rsidP="007B2E8F">
            <w:pPr>
              <w:pStyle w:val="TableText0"/>
            </w:pPr>
            <w:r>
              <w:rPr>
                <w:rFonts w:cs="Calibri"/>
                <w:lang w:val="en-US"/>
              </w:rPr>
              <w:t>&gt; 5%</w:t>
            </w:r>
          </w:p>
        </w:tc>
        <w:tc>
          <w:tcPr>
            <w:tcW w:w="0" w:type="auto"/>
          </w:tcPr>
          <w:p w14:paraId="2F241A93" w14:textId="3DE4228C" w:rsidR="007B2E8F" w:rsidRDefault="00784EF3" w:rsidP="007B2E8F">
            <w:pPr>
              <w:pStyle w:val="TableText0"/>
            </w:pPr>
            <w:r>
              <w:t>Not specified</w:t>
            </w:r>
          </w:p>
        </w:tc>
      </w:tr>
      <w:tr w:rsidR="007B2E8F" w14:paraId="54F0AFB9" w14:textId="77777777" w:rsidTr="00AB51E5">
        <w:tc>
          <w:tcPr>
            <w:tcW w:w="0" w:type="auto"/>
          </w:tcPr>
          <w:p w14:paraId="6F2430D8" w14:textId="34053A98" w:rsidR="007B2E8F" w:rsidRDefault="00932FA3" w:rsidP="007B2E8F">
            <w:pPr>
              <w:pStyle w:val="TableText0"/>
            </w:pPr>
            <w:r>
              <w:t>Caplacizumab</w:t>
            </w:r>
          </w:p>
        </w:tc>
        <w:tc>
          <w:tcPr>
            <w:tcW w:w="0" w:type="auto"/>
          </w:tcPr>
          <w:p w14:paraId="31CAAEDA" w14:textId="7706F6C3" w:rsidR="001D0866" w:rsidRDefault="00692861" w:rsidP="007B2E8F">
            <w:pPr>
              <w:pStyle w:val="TableText0"/>
            </w:pPr>
            <w:r w:rsidRPr="003D5647">
              <w:t>TTP</w:t>
            </w:r>
          </w:p>
        </w:tc>
        <w:tc>
          <w:tcPr>
            <w:tcW w:w="2353" w:type="dxa"/>
          </w:tcPr>
          <w:p w14:paraId="5A72B9FD" w14:textId="61324442" w:rsidR="007B2E8F" w:rsidRDefault="00692861" w:rsidP="007B2E8F">
            <w:pPr>
              <w:pStyle w:val="TableText0"/>
            </w:pPr>
            <w:r w:rsidRPr="003D5647">
              <w:t>Hercules (Scully 2019)</w:t>
            </w:r>
          </w:p>
        </w:tc>
        <w:tc>
          <w:tcPr>
            <w:tcW w:w="3469" w:type="dxa"/>
          </w:tcPr>
          <w:p w14:paraId="7E5611EC" w14:textId="45848066" w:rsidR="007B2E8F" w:rsidRDefault="00692861" w:rsidP="007B2E8F">
            <w:pPr>
              <w:pStyle w:val="TableText0"/>
            </w:pPr>
            <w:r w:rsidRPr="003D5647">
              <w:t>Not an eligibility criterion</w:t>
            </w:r>
          </w:p>
        </w:tc>
        <w:tc>
          <w:tcPr>
            <w:tcW w:w="0" w:type="auto"/>
          </w:tcPr>
          <w:p w14:paraId="46FA83F8" w14:textId="5EBCFB14" w:rsidR="007B2E8F" w:rsidRDefault="00692861" w:rsidP="007B2E8F">
            <w:pPr>
              <w:pStyle w:val="TableText0"/>
            </w:pPr>
            <w:r w:rsidRPr="003D5647">
              <w:t>Not specified</w:t>
            </w:r>
          </w:p>
        </w:tc>
      </w:tr>
      <w:tr w:rsidR="00784EF3" w14:paraId="5981633A" w14:textId="77777777" w:rsidTr="00AB51E5">
        <w:tc>
          <w:tcPr>
            <w:tcW w:w="0" w:type="auto"/>
          </w:tcPr>
          <w:p w14:paraId="4595E121" w14:textId="1CA938A2" w:rsidR="00784EF3" w:rsidRDefault="00932FA3" w:rsidP="007B2E8F">
            <w:pPr>
              <w:pStyle w:val="TableText0"/>
            </w:pPr>
            <w:r>
              <w:t>Caplacizumab</w:t>
            </w:r>
          </w:p>
        </w:tc>
        <w:tc>
          <w:tcPr>
            <w:tcW w:w="0" w:type="auto"/>
          </w:tcPr>
          <w:p w14:paraId="21EA7845" w14:textId="77625DD9" w:rsidR="00784EF3" w:rsidRDefault="00692861" w:rsidP="007B2E8F">
            <w:pPr>
              <w:pStyle w:val="TableText0"/>
            </w:pPr>
            <w:r w:rsidRPr="003D5647">
              <w:t>TTP</w:t>
            </w:r>
          </w:p>
        </w:tc>
        <w:tc>
          <w:tcPr>
            <w:tcW w:w="2353" w:type="dxa"/>
          </w:tcPr>
          <w:p w14:paraId="3B14BB45" w14:textId="7836F816" w:rsidR="00784EF3" w:rsidRDefault="00692861" w:rsidP="007B2E8F">
            <w:pPr>
              <w:pStyle w:val="TableText0"/>
            </w:pPr>
            <w:r w:rsidRPr="003D5647">
              <w:t>Titan (Peyvandi 2016)</w:t>
            </w:r>
          </w:p>
        </w:tc>
        <w:tc>
          <w:tcPr>
            <w:tcW w:w="3469" w:type="dxa"/>
          </w:tcPr>
          <w:p w14:paraId="2561157E" w14:textId="7D6B6163" w:rsidR="00784EF3" w:rsidRDefault="00692861" w:rsidP="007B2E8F">
            <w:pPr>
              <w:pStyle w:val="TableText0"/>
            </w:pPr>
            <w:r w:rsidRPr="003D5647">
              <w:t>Not an eligibility criterion (known diagnosis of iTTP was</w:t>
            </w:r>
            <w:r w:rsidR="002B290D">
              <w:t xml:space="preserve"> an </w:t>
            </w:r>
            <w:r w:rsidR="002B290D" w:rsidRPr="003D5647">
              <w:t>eligibility criterion</w:t>
            </w:r>
            <w:r w:rsidRPr="003D5647">
              <w:t>)</w:t>
            </w:r>
          </w:p>
        </w:tc>
        <w:tc>
          <w:tcPr>
            <w:tcW w:w="0" w:type="auto"/>
          </w:tcPr>
          <w:p w14:paraId="18824AEF" w14:textId="4B8ABABC" w:rsidR="00784EF3" w:rsidRDefault="00692861" w:rsidP="007B2E8F">
            <w:pPr>
              <w:pStyle w:val="TableText0"/>
            </w:pPr>
            <w:r w:rsidRPr="003D5647">
              <w:t>Not specified</w:t>
            </w:r>
          </w:p>
        </w:tc>
      </w:tr>
    </w:tbl>
    <w:p w14:paraId="3EEDE575" w14:textId="4B049461" w:rsidR="00D17C6A" w:rsidRDefault="00D17C6A" w:rsidP="00D17C6A">
      <w:pPr>
        <w:pStyle w:val="Tablenotes"/>
        <w:spacing w:after="0"/>
      </w:pPr>
      <w:r>
        <w:t>Source:</w:t>
      </w:r>
      <w:r w:rsidR="00AB51E5">
        <w:t xml:space="preserve"> prepared by </w:t>
      </w:r>
      <w:r w:rsidR="005A326B">
        <w:t>the A</w:t>
      </w:r>
      <w:r w:rsidR="00AB51E5">
        <w:t xml:space="preserve">ssessment </w:t>
      </w:r>
      <w:r w:rsidR="005A326B">
        <w:t>G</w:t>
      </w:r>
      <w:r w:rsidR="00AB51E5">
        <w:t>roup</w:t>
      </w:r>
      <w:r w:rsidR="005A326B">
        <w:t xml:space="preserve"> during PICO Confirmation development</w:t>
      </w:r>
      <w:r w:rsidR="00AB51E5">
        <w:t>.</w:t>
      </w:r>
    </w:p>
    <w:p w14:paraId="7CD7316F" w14:textId="255C51BA" w:rsidR="003A2245" w:rsidRDefault="003A2245" w:rsidP="004B108E">
      <w:pPr>
        <w:pStyle w:val="Tablenotes"/>
        <w:spacing w:after="240"/>
      </w:pPr>
      <w:r>
        <w:t>aHUS</w:t>
      </w:r>
      <w:r w:rsidR="00D262A2">
        <w:t xml:space="preserve"> = </w:t>
      </w:r>
      <w:r>
        <w:t xml:space="preserve">atypical </w:t>
      </w:r>
      <w:r w:rsidR="00A67E10" w:rsidRPr="00A67E10">
        <w:t>haemolytic ur</w:t>
      </w:r>
      <w:r w:rsidR="00653AD1">
        <w:t>a</w:t>
      </w:r>
      <w:r w:rsidR="00A67E10" w:rsidRPr="00A67E10">
        <w:t>emic syndrome</w:t>
      </w:r>
      <w:r w:rsidR="00A67E10">
        <w:t>;</w:t>
      </w:r>
      <w:r w:rsidR="006B09B0">
        <w:t xml:space="preserve"> </w:t>
      </w:r>
      <w:r w:rsidR="005A326B">
        <w:t>TMA = thrombotic microangiopathy;</w:t>
      </w:r>
      <w:r w:rsidR="00A67E10">
        <w:t xml:space="preserve"> TTP</w:t>
      </w:r>
      <w:r w:rsidR="00D262A2">
        <w:t xml:space="preserve"> = </w:t>
      </w:r>
      <w:r w:rsidR="000B0EF2" w:rsidRPr="000B0EF2">
        <w:t>thrombotic thrombocytopenic purpura</w:t>
      </w:r>
      <w:r w:rsidR="00231C86">
        <w:t>.</w:t>
      </w:r>
    </w:p>
    <w:p w14:paraId="1B8F50C8" w14:textId="77777777" w:rsidR="007815A2" w:rsidRDefault="007815A2" w:rsidP="007815A2">
      <w:pPr>
        <w:rPr>
          <w:rFonts w:asciiTheme="minorHAnsi" w:hAnsiTheme="minorHAnsi" w:cstheme="minorHAnsi"/>
          <w:i/>
          <w:iCs/>
        </w:rPr>
      </w:pPr>
      <w:r>
        <w:rPr>
          <w:rFonts w:asciiTheme="minorHAnsi" w:hAnsiTheme="minorHAnsi" w:cstheme="minorHAnsi"/>
          <w:i/>
          <w:iCs/>
        </w:rPr>
        <w:t>PASC stated that the accuracy of the CLIA assay can be assessed using FRETS</w:t>
      </w:r>
      <w:r>
        <w:rPr>
          <w:i/>
          <w:iCs/>
        </w:rPr>
        <w:t>-</w:t>
      </w:r>
      <w:r w:rsidRPr="00CC1F55">
        <w:rPr>
          <w:rFonts w:asciiTheme="minorHAnsi" w:hAnsiTheme="minorHAnsi" w:cstheme="minorHAnsi"/>
          <w:i/>
          <w:iCs/>
        </w:rPr>
        <w:t>VWF73</w:t>
      </w:r>
      <w:r>
        <w:rPr>
          <w:rFonts w:asciiTheme="minorHAnsi" w:hAnsiTheme="minorHAnsi" w:cstheme="minorHAnsi"/>
          <w:i/>
          <w:iCs/>
        </w:rPr>
        <w:t xml:space="preserve"> or ELISA as a reference standard.</w:t>
      </w:r>
    </w:p>
    <w:p w14:paraId="15D64F34" w14:textId="3DF79DA5" w:rsidR="007C475B" w:rsidRPr="007C475B" w:rsidRDefault="007815A2" w:rsidP="007C475B">
      <w:pPr>
        <w:pStyle w:val="NoSpacing"/>
        <w:spacing w:after="120"/>
        <w:rPr>
          <w:i/>
          <w:iCs/>
        </w:rPr>
      </w:pPr>
      <w:r w:rsidRPr="007C475B">
        <w:rPr>
          <w:i/>
          <w:iCs/>
        </w:rPr>
        <w:t xml:space="preserve">PASC noted that no reference standard was necessary for ADAMTS13 genetic </w:t>
      </w:r>
      <w:r w:rsidR="007C475B" w:rsidRPr="007C475B">
        <w:rPr>
          <w:i/>
          <w:iCs/>
        </w:rPr>
        <w:t>testing.</w:t>
      </w:r>
    </w:p>
    <w:p w14:paraId="6F32A34C" w14:textId="5F600F67" w:rsidR="00FB76A9" w:rsidRPr="009D7A3E" w:rsidRDefault="007C475B" w:rsidP="007C475B">
      <w:pPr>
        <w:pStyle w:val="Heading4"/>
        <w:spacing w:after="120"/>
      </w:pPr>
      <w:r>
        <w:t>PICO</w:t>
      </w:r>
      <w:r w:rsidR="00FB76A9">
        <w:t xml:space="preserve"> Set 3</w:t>
      </w:r>
    </w:p>
    <w:p w14:paraId="08D982E8" w14:textId="24993A7F" w:rsidR="00462495" w:rsidRDefault="00FB76A9" w:rsidP="00FB76A9">
      <w:r>
        <w:t xml:space="preserve">As monitoring is most likely to be undertaken with a CLIA assay, the clinical utility standard is </w:t>
      </w:r>
      <w:r w:rsidRPr="00423292">
        <w:t>ADAMTS13</w:t>
      </w:r>
      <w:r>
        <w:t xml:space="preserve"> </w:t>
      </w:r>
      <w:r w:rsidRPr="00423292">
        <w:t>fluorescence resonance energy transfer assay (FRETS-VWF73), or</w:t>
      </w:r>
      <w:r>
        <w:t xml:space="preserve"> </w:t>
      </w:r>
      <w:r w:rsidRPr="00423292">
        <w:t>ELISA-based detection</w:t>
      </w:r>
      <w:r>
        <w:t xml:space="preserve">. </w:t>
      </w:r>
    </w:p>
    <w:p w14:paraId="29C1EA87" w14:textId="47891689" w:rsidR="007A66C8" w:rsidRPr="008F1532" w:rsidRDefault="007A66C8" w:rsidP="00713728">
      <w:pPr>
        <w:pStyle w:val="Heading3"/>
      </w:pPr>
      <w:r w:rsidRPr="008F1532">
        <w:t xml:space="preserve">Outcomes </w:t>
      </w:r>
    </w:p>
    <w:p w14:paraId="1E081763" w14:textId="77777777" w:rsidR="00442777" w:rsidRDefault="0009021E" w:rsidP="0009021E">
      <w:r>
        <w:t>The applic</w:t>
      </w:r>
      <w:r w:rsidR="00422C73">
        <w:t xml:space="preserve">ation provided a list of outcomes for assessing the clinical safety and effectiveness of ADAMTS13 testing </w:t>
      </w:r>
      <w:r w:rsidR="004D28BD">
        <w:t>in patients with symptoms of TMA (MSAC 1796 PICO Set p.</w:t>
      </w:r>
      <w:r w:rsidR="00EE0756">
        <w:t>9)</w:t>
      </w:r>
      <w:r w:rsidR="004D28BD">
        <w:t>.</w:t>
      </w:r>
      <w:r w:rsidR="00EE0756">
        <w:t xml:space="preserve"> </w:t>
      </w:r>
      <w:r w:rsidR="008344B4">
        <w:t>T</w:t>
      </w:r>
      <w:r w:rsidR="00AD72C1">
        <w:t xml:space="preserve">hese have been reviewed </w:t>
      </w:r>
      <w:r w:rsidR="00A02443">
        <w:t xml:space="preserve">and </w:t>
      </w:r>
      <w:r w:rsidR="00F14305">
        <w:t xml:space="preserve">edited to align with the proposed PICO Sets and assessment framework. </w:t>
      </w:r>
    </w:p>
    <w:p w14:paraId="65DA568B" w14:textId="4F840307" w:rsidR="00E71166" w:rsidRDefault="001A15FF" w:rsidP="001A15FF">
      <w:pPr>
        <w:pStyle w:val="Heading4"/>
      </w:pPr>
      <w:r>
        <w:t>PICO Set 1</w:t>
      </w:r>
      <w:r w:rsidR="004D28BD">
        <w:t xml:space="preserve"> </w:t>
      </w:r>
    </w:p>
    <w:p w14:paraId="3153AEA7" w14:textId="7D9A6782" w:rsidR="00657331" w:rsidRDefault="00961C6B" w:rsidP="00657331">
      <w:bookmarkStart w:id="9" w:name="_Ref192174488"/>
      <w:r>
        <w:t>As TTP is potentially fatal, patients who present with symptoms require urgent treatment</w:t>
      </w:r>
      <w:r w:rsidR="00BC78EF">
        <w:t xml:space="preserve"> and therefore treatment is initiated on suspi</w:t>
      </w:r>
      <w:r w:rsidR="001E3E4E">
        <w:t xml:space="preserve">cion of </w:t>
      </w:r>
      <w:r w:rsidR="00D079F2">
        <w:t>TTP</w:t>
      </w:r>
      <w:r w:rsidR="001E3E4E">
        <w:t xml:space="preserve"> and not diagnosis. Treatment </w:t>
      </w:r>
      <w:r w:rsidR="0059434A">
        <w:t>is daily PEX therapy</w:t>
      </w:r>
      <w:r w:rsidR="000C69CC">
        <w:t xml:space="preserve"> and this reduces the mortality rate from approximately 90% to </w:t>
      </w:r>
      <w:r w:rsidR="00080FB3">
        <w:t>10%</w:t>
      </w:r>
      <w:r w:rsidR="00D91AC9">
        <w:t xml:space="preserve"> (</w:t>
      </w:r>
      <w:r w:rsidR="008033D1">
        <w:t>Fox et al. 2018; Martin et al. 2021</w:t>
      </w:r>
      <w:r w:rsidR="00DE61EA">
        <w:t>)</w:t>
      </w:r>
      <w:r w:rsidR="00080FB3">
        <w:t>.</w:t>
      </w:r>
      <w:r w:rsidR="00DE61EA">
        <w:t xml:space="preserve"> However, PEX therapy carries </w:t>
      </w:r>
      <w:r w:rsidR="001851C5">
        <w:t>a high risk of complications</w:t>
      </w:r>
      <w:r w:rsidR="00931CE0">
        <w:t xml:space="preserve"> (</w:t>
      </w:r>
      <w:r w:rsidR="00931CE0">
        <w:fldChar w:fldCharType="begin"/>
      </w:r>
      <w:r w:rsidR="00931CE0">
        <w:instrText xml:space="preserve"> REF _Ref192174497 \h </w:instrText>
      </w:r>
      <w:r w:rsidR="00931CE0">
        <w:fldChar w:fldCharType="separate"/>
      </w:r>
      <w:r w:rsidR="00AE1C62">
        <w:t xml:space="preserve">Table </w:t>
      </w:r>
      <w:r w:rsidR="00AE1C62">
        <w:rPr>
          <w:noProof/>
        </w:rPr>
        <w:t>6</w:t>
      </w:r>
      <w:r w:rsidR="00931CE0">
        <w:fldChar w:fldCharType="end"/>
      </w:r>
      <w:r w:rsidR="00931CE0">
        <w:t>)</w:t>
      </w:r>
      <w:r w:rsidR="001851C5">
        <w:t>.</w:t>
      </w:r>
      <w:r w:rsidR="004B3625">
        <w:t xml:space="preserve"> If patients do not have TTP, then </w:t>
      </w:r>
      <w:r w:rsidR="006132A2">
        <w:t xml:space="preserve">ceasing PEX </w:t>
      </w:r>
      <w:r w:rsidR="006132A2">
        <w:lastRenderedPageBreak/>
        <w:t xml:space="preserve">treatment </w:t>
      </w:r>
      <w:r w:rsidR="00EC5916">
        <w:t xml:space="preserve">has the potential to reduce the risk of these complications and improve health outcomes. </w:t>
      </w:r>
      <w:r w:rsidR="005B6317">
        <w:t>It may also facilitate faster access to a correct diagnosis</w:t>
      </w:r>
      <w:r w:rsidR="00EB290E">
        <w:t xml:space="preserve"> and enable initiation of complement inhibitors in aHUS patients</w:t>
      </w:r>
      <w:r w:rsidR="005B6317">
        <w:t xml:space="preserve">. </w:t>
      </w:r>
      <w:r w:rsidR="00D17CD5">
        <w:t>Th</w:t>
      </w:r>
      <w:r w:rsidR="00EB290E">
        <w:t>ese</w:t>
      </w:r>
      <w:r w:rsidR="00D17CD5">
        <w:t xml:space="preserve"> </w:t>
      </w:r>
      <w:r w:rsidR="00EB290E">
        <w:t>are</w:t>
      </w:r>
      <w:r w:rsidR="00D17CD5">
        <w:t xml:space="preserve"> the main change of management outcome</w:t>
      </w:r>
      <w:r w:rsidR="00086BC0">
        <w:t>s</w:t>
      </w:r>
      <w:r w:rsidR="00D17CD5">
        <w:t xml:space="preserve"> of the proposed testing.</w:t>
      </w:r>
    </w:p>
    <w:p w14:paraId="292C6723" w14:textId="595EB84F" w:rsidR="00073F6B" w:rsidRDefault="00073F6B" w:rsidP="00073F6B">
      <w:pPr>
        <w:pStyle w:val="Caption"/>
      </w:pPr>
      <w:bookmarkStart w:id="10" w:name="_Ref192174497"/>
      <w:r>
        <w:t xml:space="preserve">Table </w:t>
      </w:r>
      <w:r>
        <w:fldChar w:fldCharType="begin"/>
      </w:r>
      <w:r>
        <w:instrText xml:space="preserve"> SEQ Table \* ARABIC </w:instrText>
      </w:r>
      <w:r>
        <w:fldChar w:fldCharType="separate"/>
      </w:r>
      <w:r w:rsidR="00AE1C62">
        <w:rPr>
          <w:noProof/>
        </w:rPr>
        <w:t>6</w:t>
      </w:r>
      <w:r>
        <w:fldChar w:fldCharType="end"/>
      </w:r>
      <w:bookmarkEnd w:id="9"/>
      <w:bookmarkEnd w:id="10"/>
      <w:r>
        <w:tab/>
      </w:r>
      <w:r w:rsidR="00AA6448">
        <w:t>Complications of PE</w:t>
      </w:r>
      <w:r w:rsidR="00370AF4">
        <w:t>X</w:t>
      </w:r>
    </w:p>
    <w:tbl>
      <w:tblPr>
        <w:tblStyle w:val="TableGrid"/>
        <w:tblW w:w="0" w:type="auto"/>
        <w:tblInd w:w="0" w:type="dxa"/>
        <w:tblLook w:val="04A0" w:firstRow="1" w:lastRow="0" w:firstColumn="1" w:lastColumn="0" w:noHBand="0" w:noVBand="1"/>
      </w:tblPr>
      <w:tblGrid>
        <w:gridCol w:w="4785"/>
        <w:gridCol w:w="4786"/>
      </w:tblGrid>
      <w:tr w:rsidR="00FC69E2" w14:paraId="6227E646" w14:textId="563E9B5A" w:rsidTr="00E302EA">
        <w:tc>
          <w:tcPr>
            <w:tcW w:w="4785" w:type="dxa"/>
          </w:tcPr>
          <w:p w14:paraId="42B62EA2" w14:textId="0820594A" w:rsidR="006E43CF" w:rsidRDefault="006E43CF" w:rsidP="004E2453">
            <w:pPr>
              <w:pStyle w:val="TableHeading"/>
            </w:pPr>
            <w:r>
              <w:t>Catheter-related complications</w:t>
            </w:r>
          </w:p>
        </w:tc>
        <w:tc>
          <w:tcPr>
            <w:tcW w:w="4786" w:type="dxa"/>
          </w:tcPr>
          <w:p w14:paraId="5068FDD6" w14:textId="5FCE1322" w:rsidR="00E302EA" w:rsidRDefault="00E302EA" w:rsidP="00E302EA">
            <w:pPr>
              <w:pStyle w:val="TableHeading"/>
            </w:pPr>
            <w:r>
              <w:t>PE</w:t>
            </w:r>
            <w:r w:rsidR="00370AF4">
              <w:t>X</w:t>
            </w:r>
            <w:r>
              <w:t xml:space="preserve"> procedure related complications</w:t>
            </w:r>
          </w:p>
        </w:tc>
      </w:tr>
      <w:tr w:rsidR="006E43CF" w14:paraId="727E864D" w14:textId="2FB4D6C9" w:rsidTr="00E302EA">
        <w:tc>
          <w:tcPr>
            <w:tcW w:w="4785" w:type="dxa"/>
          </w:tcPr>
          <w:p w14:paraId="52505F7A" w14:textId="77777777" w:rsidR="006E43CF" w:rsidRDefault="004E2453" w:rsidP="00C950B8">
            <w:pPr>
              <w:pStyle w:val="TableTextbullet"/>
            </w:pPr>
            <w:r>
              <w:t>Catheter related bleeding</w:t>
            </w:r>
          </w:p>
          <w:p w14:paraId="6AD22476" w14:textId="77777777" w:rsidR="004E2453" w:rsidRDefault="004E2453" w:rsidP="006A03C5">
            <w:pPr>
              <w:pStyle w:val="TableTextbullet2ndlevel"/>
            </w:pPr>
            <w:r>
              <w:t>Hemothorax</w:t>
            </w:r>
          </w:p>
          <w:p w14:paraId="2D66F3EF" w14:textId="3750AAE7" w:rsidR="004E2453" w:rsidRDefault="00E302EA" w:rsidP="006A03C5">
            <w:pPr>
              <w:pStyle w:val="TableTextbullet2ndlevel"/>
            </w:pPr>
            <w:r>
              <w:t>Retroperitoneal</w:t>
            </w:r>
            <w:r w:rsidR="004E2453">
              <w:t xml:space="preserve"> h</w:t>
            </w:r>
            <w:r w:rsidR="0062369B">
              <w:t>aemorrhage</w:t>
            </w:r>
          </w:p>
          <w:p w14:paraId="46DDF984" w14:textId="77777777" w:rsidR="0062369B" w:rsidRDefault="0062369B" w:rsidP="006A03C5">
            <w:pPr>
              <w:pStyle w:val="TableTextbullet2ndlevel"/>
            </w:pPr>
            <w:r>
              <w:t>Insertion site haemorrhage</w:t>
            </w:r>
          </w:p>
          <w:p w14:paraId="1A6C566A" w14:textId="77777777" w:rsidR="0062369B" w:rsidRDefault="0062369B" w:rsidP="00C950B8">
            <w:pPr>
              <w:pStyle w:val="TableTextbullet"/>
            </w:pPr>
            <w:r>
              <w:t xml:space="preserve">Catheter related </w:t>
            </w:r>
            <w:r w:rsidR="009D1A6F">
              <w:t>thrombosis</w:t>
            </w:r>
          </w:p>
          <w:p w14:paraId="46BE95BE" w14:textId="77777777" w:rsidR="009B0E80" w:rsidRDefault="009B0E80" w:rsidP="00C950B8">
            <w:pPr>
              <w:pStyle w:val="TableTextbullet"/>
            </w:pPr>
            <w:r>
              <w:t>Catheter related local or systemic infection</w:t>
            </w:r>
          </w:p>
          <w:p w14:paraId="5C598CE1" w14:textId="1B1E3361" w:rsidR="006E43CF" w:rsidRDefault="009B0E80" w:rsidP="00C950B8">
            <w:pPr>
              <w:pStyle w:val="TableTextbullet"/>
            </w:pPr>
            <w:r>
              <w:t>Catheter dysfunction</w:t>
            </w:r>
          </w:p>
        </w:tc>
        <w:tc>
          <w:tcPr>
            <w:tcW w:w="4786" w:type="dxa"/>
          </w:tcPr>
          <w:p w14:paraId="13B71FF6" w14:textId="77777777" w:rsidR="00E302EA" w:rsidRDefault="00E302EA" w:rsidP="006A03C5">
            <w:pPr>
              <w:pStyle w:val="TableTextbullet"/>
            </w:pPr>
            <w:r>
              <w:t>Hypotension</w:t>
            </w:r>
          </w:p>
          <w:p w14:paraId="7351E00E" w14:textId="77777777" w:rsidR="00E302EA" w:rsidRDefault="00E302EA" w:rsidP="006A03C5">
            <w:pPr>
              <w:pStyle w:val="TableTextbullet"/>
            </w:pPr>
            <w:r>
              <w:t>Arrhythmia</w:t>
            </w:r>
          </w:p>
          <w:p w14:paraId="270D6210" w14:textId="77777777" w:rsidR="00E302EA" w:rsidRDefault="00E302EA" w:rsidP="006A03C5">
            <w:pPr>
              <w:pStyle w:val="TableTextbullet"/>
            </w:pPr>
            <w:r>
              <w:t>Hypocalcaemia</w:t>
            </w:r>
          </w:p>
          <w:p w14:paraId="4777C5B8" w14:textId="77777777" w:rsidR="00E302EA" w:rsidRDefault="00E302EA" w:rsidP="006A03C5">
            <w:pPr>
              <w:pStyle w:val="TableTextbullet"/>
            </w:pPr>
            <w:r>
              <w:t>Hypokalaemia</w:t>
            </w:r>
          </w:p>
          <w:p w14:paraId="58E90FBD" w14:textId="05574B36" w:rsidR="00E302EA" w:rsidRDefault="00E302EA" w:rsidP="006A03C5">
            <w:pPr>
              <w:pStyle w:val="TableTextbullet"/>
            </w:pPr>
            <w:r>
              <w:t>Filter clotting (filtration</w:t>
            </w:r>
            <w:r w:rsidR="0063381A">
              <w:t>)</w:t>
            </w:r>
          </w:p>
          <w:p w14:paraId="000DB515" w14:textId="77777777" w:rsidR="00E302EA" w:rsidRDefault="00E302EA" w:rsidP="006A03C5">
            <w:pPr>
              <w:pStyle w:val="TableTextbullet"/>
            </w:pPr>
            <w:r>
              <w:t>Reactions to plasma</w:t>
            </w:r>
          </w:p>
          <w:p w14:paraId="28E89DED" w14:textId="77777777" w:rsidR="00E302EA" w:rsidRDefault="00E302EA" w:rsidP="006A03C5">
            <w:pPr>
              <w:pStyle w:val="TableTextbullet2ndlevel"/>
            </w:pPr>
            <w:r>
              <w:t>Anaphylaxis</w:t>
            </w:r>
          </w:p>
          <w:p w14:paraId="7EFF68E2" w14:textId="77777777" w:rsidR="00E302EA" w:rsidRDefault="00E302EA" w:rsidP="006A03C5">
            <w:pPr>
              <w:pStyle w:val="TableTextbullet2ndlevel"/>
            </w:pPr>
            <w:r>
              <w:t>Serum sickness</w:t>
            </w:r>
          </w:p>
          <w:p w14:paraId="4D8B4CF6" w14:textId="704DDD66" w:rsidR="00E302EA" w:rsidRDefault="00E302EA" w:rsidP="00E91177">
            <w:pPr>
              <w:pStyle w:val="TableTextbullet2ndlevel"/>
            </w:pPr>
            <w:r>
              <w:t>Transfusion-related acute lung injury</w:t>
            </w:r>
          </w:p>
        </w:tc>
      </w:tr>
    </w:tbl>
    <w:p w14:paraId="59E80730" w14:textId="67F50E0A" w:rsidR="00805B1E" w:rsidRDefault="00805B1E" w:rsidP="00AB51E5">
      <w:pPr>
        <w:pStyle w:val="Tablenotes"/>
        <w:spacing w:after="0"/>
      </w:pPr>
      <w:r>
        <w:t>Source:</w:t>
      </w:r>
      <w:r w:rsidR="00AB51E5">
        <w:t xml:space="preserve"> adapted from</w:t>
      </w:r>
      <w:r w:rsidR="003067BC">
        <w:t xml:space="preserve"> Picod et al</w:t>
      </w:r>
      <w:r w:rsidR="003843AD">
        <w:t>.</w:t>
      </w:r>
      <w:r w:rsidR="003067BC">
        <w:t xml:space="preserve"> 2019, Table 1</w:t>
      </w:r>
      <w:r w:rsidR="003475C2">
        <w:t>.</w:t>
      </w:r>
    </w:p>
    <w:p w14:paraId="234AF12A" w14:textId="767AA3BA" w:rsidR="00657331" w:rsidRDefault="00314646" w:rsidP="004732D4">
      <w:pPr>
        <w:pStyle w:val="Tablenotes"/>
        <w:spacing w:after="240"/>
      </w:pPr>
      <w:r>
        <w:t>PEX = plasma exchange therapy</w:t>
      </w:r>
    </w:p>
    <w:p w14:paraId="241EA947" w14:textId="56FBCF84" w:rsidR="008F4E3C" w:rsidRDefault="00086BC0" w:rsidP="00657331">
      <w:pPr>
        <w:spacing w:after="0"/>
      </w:pPr>
      <w:r>
        <w:t xml:space="preserve">Further change in management may occur following anti-ADAMTS13 </w:t>
      </w:r>
      <w:r w:rsidR="003A6AF3">
        <w:t xml:space="preserve">autoantibody </w:t>
      </w:r>
      <w:r>
        <w:t xml:space="preserve">testing as </w:t>
      </w:r>
      <w:r w:rsidR="00BD51CD">
        <w:t xml:space="preserve">PEX is also contraindicated in cTTP. </w:t>
      </w:r>
      <w:r w:rsidR="00B72B06">
        <w:t>Therefore</w:t>
      </w:r>
      <w:r w:rsidR="00041394">
        <w:t xml:space="preserve">, </w:t>
      </w:r>
      <w:r w:rsidR="00D97429">
        <w:t xml:space="preserve">patients with no anti-ADAMTS13 </w:t>
      </w:r>
      <w:r w:rsidR="00D23402">
        <w:t xml:space="preserve">autoantibodies </w:t>
      </w:r>
      <w:r w:rsidR="00B85C25">
        <w:t xml:space="preserve">in whom cTTP is suspected may cease PEX and initiate plasma infusions and cease </w:t>
      </w:r>
      <w:r w:rsidR="00B42140">
        <w:t xml:space="preserve">immune modulators such as rituximab if </w:t>
      </w:r>
      <w:r w:rsidR="008F4E3C">
        <w:t xml:space="preserve">started. </w:t>
      </w:r>
    </w:p>
    <w:p w14:paraId="01BAB23D" w14:textId="77777777" w:rsidR="00255695" w:rsidRDefault="00255695" w:rsidP="00657331">
      <w:pPr>
        <w:spacing w:after="0"/>
      </w:pPr>
    </w:p>
    <w:p w14:paraId="42CE489F" w14:textId="015ACCE1" w:rsidR="005D2CA0" w:rsidRDefault="008F4E3C" w:rsidP="008A6099">
      <w:r>
        <w:t>If cTTP is confirmed via genetic testing, then ongoing</w:t>
      </w:r>
      <w:r w:rsidR="00657331">
        <w:t xml:space="preserve"> management </w:t>
      </w:r>
      <w:r>
        <w:t xml:space="preserve">will reflect the final diagnosis </w:t>
      </w:r>
      <w:r w:rsidR="00D0562A">
        <w:t xml:space="preserve">and may include </w:t>
      </w:r>
      <w:r w:rsidR="00657331">
        <w:t>prophylactic use of plasma infusions to reduce risk of relapse</w:t>
      </w:r>
      <w:r w:rsidR="00D741C0">
        <w:t xml:space="preserve">. It is anticipated that future treatment with recombinant ADAMTS13 will also become available to these patients. </w:t>
      </w:r>
      <w:r w:rsidR="00B6374A">
        <w:t>The proposed outcomes for this PICO Set are listed below.</w:t>
      </w:r>
    </w:p>
    <w:p w14:paraId="18F2D819" w14:textId="228426B9" w:rsidR="0083159A" w:rsidRDefault="0083159A" w:rsidP="008A6099">
      <w:pPr>
        <w:keepNext/>
        <w:spacing w:after="0"/>
      </w:pPr>
      <w:r>
        <w:t>Safety outcomes</w:t>
      </w:r>
    </w:p>
    <w:p w14:paraId="3758EBFB" w14:textId="7B1DBE6C" w:rsidR="0083159A" w:rsidRDefault="0083159A" w:rsidP="00F575CB">
      <w:pPr>
        <w:pStyle w:val="ListParagraph"/>
        <w:numPr>
          <w:ilvl w:val="0"/>
          <w:numId w:val="12"/>
        </w:numPr>
      </w:pPr>
      <w:r>
        <w:t xml:space="preserve">harms from obtaining a </w:t>
      </w:r>
      <w:r w:rsidR="00A836EB">
        <w:t xml:space="preserve">blood </w:t>
      </w:r>
      <w:r>
        <w:t>sample for testing</w:t>
      </w:r>
    </w:p>
    <w:p w14:paraId="6961DF29" w14:textId="20DD1BAD" w:rsidR="0083159A" w:rsidRDefault="0083159A" w:rsidP="00F575CB">
      <w:pPr>
        <w:pStyle w:val="ListParagraph"/>
        <w:numPr>
          <w:ilvl w:val="0"/>
          <w:numId w:val="12"/>
        </w:numPr>
      </w:pPr>
      <w:r>
        <w:t>harms associated with false positive or false negative results</w:t>
      </w:r>
    </w:p>
    <w:p w14:paraId="6ABB2612" w14:textId="09238B2E" w:rsidR="0083159A" w:rsidRDefault="0083159A" w:rsidP="00F575CB">
      <w:pPr>
        <w:pStyle w:val="ListParagraph"/>
        <w:numPr>
          <w:ilvl w:val="0"/>
          <w:numId w:val="12"/>
        </w:numPr>
      </w:pPr>
      <w:r>
        <w:t xml:space="preserve">psychological harms due to </w:t>
      </w:r>
      <w:r w:rsidR="00494F05">
        <w:t>testing</w:t>
      </w:r>
      <w:r w:rsidR="00494F05" w:rsidRPr="00494F05">
        <w:t xml:space="preserve"> (positive result, negative result or variant of un</w:t>
      </w:r>
      <w:r w:rsidR="005561A1">
        <w:t>certain</w:t>
      </w:r>
      <w:r w:rsidR="00494F05" w:rsidRPr="00494F05">
        <w:t xml:space="preserve"> significance) or no genetic testing</w:t>
      </w:r>
    </w:p>
    <w:p w14:paraId="159B5275" w14:textId="77777777" w:rsidR="0083159A" w:rsidRDefault="0083159A" w:rsidP="008A6099">
      <w:pPr>
        <w:keepNext/>
        <w:spacing w:after="0"/>
      </w:pPr>
      <w:r>
        <w:t>Test performance</w:t>
      </w:r>
    </w:p>
    <w:p w14:paraId="02B7169E" w14:textId="0D9F0353" w:rsidR="0083159A" w:rsidRDefault="00942B98" w:rsidP="00F575CB">
      <w:pPr>
        <w:pStyle w:val="ListParagraph"/>
        <w:numPr>
          <w:ilvl w:val="0"/>
          <w:numId w:val="13"/>
        </w:numPr>
      </w:pPr>
      <w:r>
        <w:t>diagnostic</w:t>
      </w:r>
      <w:r w:rsidR="0083159A">
        <w:t xml:space="preserve"> accuracy (sensitivity </w:t>
      </w:r>
      <w:r w:rsidR="00B16556">
        <w:t xml:space="preserve">and </w:t>
      </w:r>
      <w:r w:rsidR="0083159A">
        <w:t>specificity)</w:t>
      </w:r>
      <w:r w:rsidR="0071293E">
        <w:t xml:space="preserve"> of each test methodology</w:t>
      </w:r>
    </w:p>
    <w:p w14:paraId="44EB6325" w14:textId="01DB4FB3" w:rsidR="0083159A" w:rsidRDefault="0083159A" w:rsidP="00F575CB">
      <w:pPr>
        <w:pStyle w:val="ListParagraph"/>
        <w:numPr>
          <w:ilvl w:val="0"/>
          <w:numId w:val="13"/>
        </w:numPr>
      </w:pPr>
      <w:r>
        <w:t>concordance</w:t>
      </w:r>
    </w:p>
    <w:p w14:paraId="154761AE" w14:textId="19F22AA3" w:rsidR="0083159A" w:rsidRDefault="0083159A" w:rsidP="00F575CB">
      <w:pPr>
        <w:pStyle w:val="ListParagraph"/>
        <w:numPr>
          <w:ilvl w:val="0"/>
          <w:numId w:val="13"/>
        </w:numPr>
      </w:pPr>
      <w:r>
        <w:t>diagnostic yield</w:t>
      </w:r>
      <w:r w:rsidR="006C11A5">
        <w:t xml:space="preserve"> of each test methodology</w:t>
      </w:r>
    </w:p>
    <w:p w14:paraId="6E7B1584" w14:textId="5D03663D" w:rsidR="0083159A" w:rsidRDefault="00991BCA" w:rsidP="00F575CB">
      <w:pPr>
        <w:pStyle w:val="ListParagraph"/>
        <w:numPr>
          <w:ilvl w:val="0"/>
          <w:numId w:val="13"/>
        </w:numPr>
      </w:pPr>
      <w:r>
        <w:t>rate of repeat testing</w:t>
      </w:r>
    </w:p>
    <w:p w14:paraId="02F569D5" w14:textId="77777777" w:rsidR="0083159A" w:rsidRDefault="0083159A" w:rsidP="00670C91">
      <w:pPr>
        <w:keepNext/>
        <w:keepLines/>
        <w:spacing w:after="0"/>
      </w:pPr>
      <w:r>
        <w:t>Change in management outcomes</w:t>
      </w:r>
    </w:p>
    <w:p w14:paraId="1BE9D40B" w14:textId="5BA879F2" w:rsidR="0083159A" w:rsidRDefault="0083159A" w:rsidP="00670C91">
      <w:pPr>
        <w:pStyle w:val="ListParagraph"/>
        <w:keepNext/>
        <w:keepLines/>
        <w:numPr>
          <w:ilvl w:val="0"/>
          <w:numId w:val="13"/>
        </w:numPr>
      </w:pPr>
      <w:r>
        <w:t>change in treatment (treatment ceased, treatment initiated</w:t>
      </w:r>
      <w:r w:rsidR="001F7F8B">
        <w:t>, treatment avoided</w:t>
      </w:r>
      <w:r>
        <w:t>)</w:t>
      </w:r>
    </w:p>
    <w:p w14:paraId="74785E4C" w14:textId="6F89B66F" w:rsidR="0083159A" w:rsidRDefault="0083159A" w:rsidP="00670C91">
      <w:pPr>
        <w:pStyle w:val="ListParagraph"/>
        <w:keepNext/>
        <w:keepLines/>
        <w:numPr>
          <w:ilvl w:val="0"/>
          <w:numId w:val="13"/>
        </w:numPr>
      </w:pPr>
      <w:r>
        <w:t>time to correct diagnosis</w:t>
      </w:r>
    </w:p>
    <w:p w14:paraId="48C67236" w14:textId="76D115DE" w:rsidR="0083159A" w:rsidRDefault="0083159A" w:rsidP="00670C91">
      <w:pPr>
        <w:pStyle w:val="ListParagraph"/>
        <w:keepNext/>
        <w:keepLines/>
        <w:numPr>
          <w:ilvl w:val="0"/>
          <w:numId w:val="13"/>
        </w:numPr>
      </w:pPr>
      <w:r>
        <w:t>time to appropriate treatment</w:t>
      </w:r>
    </w:p>
    <w:p w14:paraId="00184AFA" w14:textId="6D5DC0FA" w:rsidR="0083159A" w:rsidRDefault="0077137A" w:rsidP="00670C91">
      <w:pPr>
        <w:pStyle w:val="ListParagraph"/>
        <w:keepNext/>
        <w:keepLines/>
        <w:numPr>
          <w:ilvl w:val="0"/>
          <w:numId w:val="13"/>
        </w:numPr>
      </w:pPr>
      <w:r>
        <w:t>duration</w:t>
      </w:r>
      <w:r w:rsidR="0083159A">
        <w:t xml:space="preserve"> of PEX </w:t>
      </w:r>
    </w:p>
    <w:p w14:paraId="3F0105A1" w14:textId="77777777" w:rsidR="0083159A" w:rsidRDefault="0083159A" w:rsidP="008A6099">
      <w:pPr>
        <w:keepNext/>
        <w:spacing w:after="0"/>
      </w:pPr>
      <w:r>
        <w:t>Patient health outcomes</w:t>
      </w:r>
    </w:p>
    <w:p w14:paraId="2541BCCB" w14:textId="7271E08B" w:rsidR="0083159A" w:rsidRDefault="0083159A" w:rsidP="00F575CB">
      <w:pPr>
        <w:pStyle w:val="ListParagraph"/>
        <w:numPr>
          <w:ilvl w:val="0"/>
          <w:numId w:val="13"/>
        </w:numPr>
      </w:pPr>
      <w:r>
        <w:t>mortality</w:t>
      </w:r>
    </w:p>
    <w:p w14:paraId="65F48DE9" w14:textId="6E46E147" w:rsidR="0083159A" w:rsidRDefault="0083159A" w:rsidP="00F575CB">
      <w:pPr>
        <w:pStyle w:val="ListParagraph"/>
        <w:numPr>
          <w:ilvl w:val="0"/>
          <w:numId w:val="13"/>
        </w:numPr>
      </w:pPr>
      <w:r>
        <w:lastRenderedPageBreak/>
        <w:t>morbidity</w:t>
      </w:r>
    </w:p>
    <w:p w14:paraId="71F51F80" w14:textId="6C72AA72" w:rsidR="0083159A" w:rsidRDefault="0083159A" w:rsidP="00F575CB">
      <w:pPr>
        <w:pStyle w:val="ListParagraph"/>
        <w:numPr>
          <w:ilvl w:val="0"/>
          <w:numId w:val="13"/>
        </w:numPr>
      </w:pPr>
      <w:r>
        <w:t xml:space="preserve">time to clinical </w:t>
      </w:r>
      <w:r w:rsidR="001D1246">
        <w:t>response</w:t>
      </w:r>
      <w:r w:rsidR="0054474D">
        <w:t xml:space="preserve"> to therapy</w:t>
      </w:r>
    </w:p>
    <w:p w14:paraId="63C65501" w14:textId="342FDD37" w:rsidR="0083159A" w:rsidRDefault="0083159A" w:rsidP="00F575CB">
      <w:pPr>
        <w:pStyle w:val="ListParagraph"/>
        <w:numPr>
          <w:ilvl w:val="0"/>
          <w:numId w:val="13"/>
        </w:numPr>
      </w:pPr>
      <w:r>
        <w:t>relapse rate; hospital admission rate</w:t>
      </w:r>
    </w:p>
    <w:p w14:paraId="4AB7E998" w14:textId="5EE33161" w:rsidR="0083159A" w:rsidRDefault="006D6503" w:rsidP="00F575CB">
      <w:pPr>
        <w:pStyle w:val="ListParagraph"/>
        <w:numPr>
          <w:ilvl w:val="0"/>
          <w:numId w:val="13"/>
        </w:numPr>
      </w:pPr>
      <w:r>
        <w:t>health-</w:t>
      </w:r>
      <w:r w:rsidR="00D27091">
        <w:t>related quality of life</w:t>
      </w:r>
    </w:p>
    <w:p w14:paraId="696500DD" w14:textId="2B3F0425" w:rsidR="0083159A" w:rsidRPr="0083159A" w:rsidRDefault="00D27091" w:rsidP="00F575CB">
      <w:pPr>
        <w:pStyle w:val="ListParagraph"/>
        <w:numPr>
          <w:ilvl w:val="0"/>
          <w:numId w:val="13"/>
        </w:numPr>
      </w:pPr>
      <w:r>
        <w:t>adverse event</w:t>
      </w:r>
      <w:r w:rsidR="0083159A">
        <w:t>s avoided</w:t>
      </w:r>
    </w:p>
    <w:p w14:paraId="62EC2D3C" w14:textId="77777777" w:rsidR="003927D5" w:rsidRDefault="003927D5" w:rsidP="008A6099">
      <w:pPr>
        <w:keepNext/>
        <w:spacing w:after="0"/>
      </w:pPr>
      <w:r>
        <w:t>Health care resources (all ADAMTS13 tests)</w:t>
      </w:r>
    </w:p>
    <w:p w14:paraId="1990343C" w14:textId="781BB75B" w:rsidR="003927D5" w:rsidRDefault="003927D5" w:rsidP="00F575CB">
      <w:pPr>
        <w:pStyle w:val="ListParagraph"/>
        <w:numPr>
          <w:ilvl w:val="0"/>
          <w:numId w:val="13"/>
        </w:numPr>
      </w:pPr>
      <w:r>
        <w:t xml:space="preserve">cost of ADAMTS13 activity testing and </w:t>
      </w:r>
      <w:r w:rsidR="005C554C">
        <w:t>anti-</w:t>
      </w:r>
      <w:r>
        <w:t xml:space="preserve">ADAMTS13 </w:t>
      </w:r>
      <w:r w:rsidR="00440B75">
        <w:t>autoantibod</w:t>
      </w:r>
      <w:r w:rsidR="00882110">
        <w:t>y</w:t>
      </w:r>
      <w:r>
        <w:t xml:space="preserve"> testing </w:t>
      </w:r>
    </w:p>
    <w:p w14:paraId="4C30A8AE" w14:textId="3EE63C54" w:rsidR="003927D5" w:rsidRDefault="003927D5" w:rsidP="00F575CB">
      <w:pPr>
        <w:pStyle w:val="ListParagraph"/>
        <w:numPr>
          <w:ilvl w:val="0"/>
          <w:numId w:val="13"/>
        </w:numPr>
      </w:pPr>
      <w:r>
        <w:t xml:space="preserve">cost of </w:t>
      </w:r>
      <w:r w:rsidRPr="00DC4524">
        <w:rPr>
          <w:i/>
          <w:iCs/>
        </w:rPr>
        <w:t>ADAMTS13</w:t>
      </w:r>
      <w:r>
        <w:t xml:space="preserve"> genetic testing </w:t>
      </w:r>
    </w:p>
    <w:p w14:paraId="4C71890F" w14:textId="77777777" w:rsidR="006F349E" w:rsidRDefault="003927D5" w:rsidP="00F575CB">
      <w:pPr>
        <w:pStyle w:val="ListParagraph"/>
        <w:numPr>
          <w:ilvl w:val="0"/>
          <w:numId w:val="13"/>
        </w:numPr>
      </w:pPr>
      <w:r>
        <w:t>cost of therapies (e.g. PEX, monoclonal antibody therapies)</w:t>
      </w:r>
      <w:r w:rsidR="00D86F4A">
        <w:t xml:space="preserve"> </w:t>
      </w:r>
    </w:p>
    <w:p w14:paraId="270572E4" w14:textId="1F9B605C" w:rsidR="003927D5" w:rsidRPr="0083159A" w:rsidRDefault="006F349E" w:rsidP="00F575CB">
      <w:pPr>
        <w:pStyle w:val="ListParagraph"/>
        <w:numPr>
          <w:ilvl w:val="0"/>
          <w:numId w:val="13"/>
        </w:numPr>
      </w:pPr>
      <w:r>
        <w:t xml:space="preserve">cost of </w:t>
      </w:r>
      <w:r w:rsidR="00D86F4A">
        <w:t>adverse events (including impact from false positives or false negatives)</w:t>
      </w:r>
    </w:p>
    <w:p w14:paraId="595FD3DF" w14:textId="3620A635" w:rsidR="00045DEC" w:rsidRPr="0083159A" w:rsidRDefault="00045DEC" w:rsidP="00F575CB">
      <w:pPr>
        <w:pStyle w:val="ListParagraph"/>
        <w:numPr>
          <w:ilvl w:val="0"/>
          <w:numId w:val="13"/>
        </w:numPr>
      </w:pPr>
      <w:r>
        <w:t>cost per proband identified</w:t>
      </w:r>
    </w:p>
    <w:p w14:paraId="4D348CF6" w14:textId="4D434F9D" w:rsidR="00E71166" w:rsidRPr="006428B8" w:rsidRDefault="00C73190" w:rsidP="00C73190">
      <w:pPr>
        <w:pStyle w:val="Heading4"/>
      </w:pPr>
      <w:r>
        <w:t>PICO Set 2</w:t>
      </w:r>
    </w:p>
    <w:p w14:paraId="18ABFFF2" w14:textId="5F34D272" w:rsidR="00CE4496" w:rsidRDefault="00ED2B85" w:rsidP="00C73190">
      <w:r>
        <w:t xml:space="preserve">PICO Set </w:t>
      </w:r>
      <w:r w:rsidR="00BF41BB">
        <w:t xml:space="preserve">2 </w:t>
      </w:r>
      <w:r>
        <w:t>is ca</w:t>
      </w:r>
      <w:r w:rsidR="00A956A3">
        <w:t>scade</w:t>
      </w:r>
      <w:r>
        <w:t xml:space="preserve"> testing </w:t>
      </w:r>
      <w:r w:rsidR="00E958AF">
        <w:t xml:space="preserve">of first-degree biological </w:t>
      </w:r>
      <w:r w:rsidR="00A94496">
        <w:t xml:space="preserve">siblings </w:t>
      </w:r>
      <w:r w:rsidR="00E958AF">
        <w:t xml:space="preserve">of a patient with a suspected </w:t>
      </w:r>
      <w:r w:rsidR="00F501E9">
        <w:t>patho</w:t>
      </w:r>
      <w:r w:rsidR="00E236B1">
        <w:t>genic</w:t>
      </w:r>
      <w:r w:rsidR="00F501E9">
        <w:t xml:space="preserve"> variant of </w:t>
      </w:r>
      <w:r w:rsidR="00F501E9" w:rsidRPr="00DC4524">
        <w:rPr>
          <w:i/>
          <w:iCs/>
        </w:rPr>
        <w:t>ADAMTS13</w:t>
      </w:r>
      <w:r w:rsidR="00F501E9">
        <w:t xml:space="preserve">. </w:t>
      </w:r>
      <w:r w:rsidR="00F77E95">
        <w:t>Genetic testing of the proband is included in PICO Set 1</w:t>
      </w:r>
      <w:r w:rsidR="003D37CB">
        <w:t>.</w:t>
      </w:r>
      <w:r w:rsidR="00F41F5B">
        <w:t xml:space="preserve"> </w:t>
      </w:r>
      <w:r w:rsidR="00C62C2E">
        <w:t xml:space="preserve">Identification of pathogenic </w:t>
      </w:r>
      <w:r w:rsidR="0038330D">
        <w:t>variant(s)</w:t>
      </w:r>
      <w:r w:rsidR="00C62C2E">
        <w:t xml:space="preserve"> in the </w:t>
      </w:r>
      <w:r w:rsidR="00C62C2E">
        <w:rPr>
          <w:i/>
          <w:iCs/>
        </w:rPr>
        <w:t>ADAMTS13</w:t>
      </w:r>
      <w:r w:rsidR="00C62C2E">
        <w:t xml:space="preserve"> gene </w:t>
      </w:r>
      <w:r w:rsidR="00F220D9">
        <w:t xml:space="preserve">may have clinical consequences in </w:t>
      </w:r>
      <w:r w:rsidR="002055C5">
        <w:t xml:space="preserve">asymptomatic </w:t>
      </w:r>
      <w:r w:rsidR="00A94496">
        <w:t xml:space="preserve">first-degree siblings </w:t>
      </w:r>
      <w:r w:rsidR="002055C5">
        <w:t xml:space="preserve">including the initiation of </w:t>
      </w:r>
      <w:r w:rsidR="00346A60">
        <w:t>monitoring, prophylactic treatment and earlier appropriate treatment in the event of an acute event.</w:t>
      </w:r>
      <w:r w:rsidR="00F41F5B">
        <w:t xml:space="preserve"> </w:t>
      </w:r>
      <w:r w:rsidR="004B115F">
        <w:t xml:space="preserve">For this PICO Set, value of knowing is also listed as an outcome. </w:t>
      </w:r>
      <w:r w:rsidR="00CE4496">
        <w:t>The proposed outcomes for this PICO Set are listed below.</w:t>
      </w:r>
    </w:p>
    <w:p w14:paraId="1A1E403C" w14:textId="77777777" w:rsidR="000621F7" w:rsidRDefault="000621F7" w:rsidP="00D92DCD">
      <w:pPr>
        <w:keepNext/>
        <w:spacing w:after="0"/>
      </w:pPr>
      <w:r>
        <w:t>Safety</w:t>
      </w:r>
    </w:p>
    <w:p w14:paraId="1592FC37" w14:textId="2F2738B7" w:rsidR="000621F7" w:rsidRDefault="003C7972" w:rsidP="00F575CB">
      <w:pPr>
        <w:pStyle w:val="ListParagraph"/>
        <w:numPr>
          <w:ilvl w:val="0"/>
          <w:numId w:val="14"/>
        </w:numPr>
      </w:pPr>
      <w:r>
        <w:t>harms</w:t>
      </w:r>
      <w:r w:rsidR="000621F7">
        <w:t xml:space="preserve"> from obtaining a sample for testing</w:t>
      </w:r>
    </w:p>
    <w:p w14:paraId="42E28938" w14:textId="339F26FF" w:rsidR="000621F7" w:rsidRDefault="003C7972" w:rsidP="00F575CB">
      <w:pPr>
        <w:pStyle w:val="ListParagraph"/>
        <w:numPr>
          <w:ilvl w:val="0"/>
          <w:numId w:val="14"/>
        </w:numPr>
      </w:pPr>
      <w:r>
        <w:t>p</w:t>
      </w:r>
      <w:r w:rsidR="000621F7">
        <w:t xml:space="preserve">sychological </w:t>
      </w:r>
      <w:r w:rsidR="00B40DBE">
        <w:t>harms</w:t>
      </w:r>
      <w:r w:rsidR="000621F7">
        <w:t xml:space="preserve"> from genetic testing</w:t>
      </w:r>
      <w:r w:rsidR="00616B23">
        <w:t xml:space="preserve"> </w:t>
      </w:r>
      <w:r w:rsidR="00616B23" w:rsidRPr="00616B23">
        <w:t xml:space="preserve">(positive result, negative result or variant of </w:t>
      </w:r>
      <w:r w:rsidR="00906CA8">
        <w:t>uncertain</w:t>
      </w:r>
      <w:r w:rsidR="00906CA8" w:rsidRPr="00616B23">
        <w:t xml:space="preserve"> </w:t>
      </w:r>
      <w:r w:rsidR="00616B23" w:rsidRPr="00616B23">
        <w:t>significance) or no genetic testing</w:t>
      </w:r>
    </w:p>
    <w:p w14:paraId="26EBAA5F" w14:textId="77777777" w:rsidR="00CE4496" w:rsidRDefault="00CE4496" w:rsidP="00D92DCD">
      <w:pPr>
        <w:keepNext/>
        <w:spacing w:after="0"/>
      </w:pPr>
      <w:r>
        <w:t>Test information</w:t>
      </w:r>
    </w:p>
    <w:p w14:paraId="758E63D6" w14:textId="1B2A4A6B" w:rsidR="006F767C" w:rsidRDefault="006F767C" w:rsidP="00F575CB">
      <w:pPr>
        <w:pStyle w:val="ListParagraph"/>
        <w:numPr>
          <w:ilvl w:val="0"/>
          <w:numId w:val="14"/>
        </w:numPr>
      </w:pPr>
      <w:r>
        <w:t>test uptake rate</w:t>
      </w:r>
    </w:p>
    <w:p w14:paraId="39F3B4FC" w14:textId="36AF1391" w:rsidR="00CE4496" w:rsidRDefault="00414245" w:rsidP="00F575CB">
      <w:pPr>
        <w:pStyle w:val="ListParagraph"/>
        <w:numPr>
          <w:ilvl w:val="0"/>
          <w:numId w:val="14"/>
        </w:numPr>
      </w:pPr>
      <w:r>
        <w:t>d</w:t>
      </w:r>
      <w:r w:rsidR="00CE4496">
        <w:t>iagnostic yield</w:t>
      </w:r>
    </w:p>
    <w:p w14:paraId="55730368" w14:textId="371412A3" w:rsidR="00CE4496" w:rsidRDefault="00414245" w:rsidP="00F575CB">
      <w:pPr>
        <w:pStyle w:val="ListParagraph"/>
        <w:numPr>
          <w:ilvl w:val="0"/>
          <w:numId w:val="14"/>
        </w:numPr>
      </w:pPr>
      <w:r>
        <w:t>p</w:t>
      </w:r>
      <w:r w:rsidR="00CE4496">
        <w:t>rognostic and predictive value</w:t>
      </w:r>
    </w:p>
    <w:p w14:paraId="3856A125" w14:textId="7FB27772" w:rsidR="00CE4496" w:rsidRDefault="00414245" w:rsidP="00F575CB">
      <w:pPr>
        <w:pStyle w:val="ListParagraph"/>
        <w:numPr>
          <w:ilvl w:val="0"/>
          <w:numId w:val="14"/>
        </w:numPr>
      </w:pPr>
      <w:r>
        <w:t>r</w:t>
      </w:r>
      <w:r w:rsidR="00CE4496">
        <w:t>ate of repeat testing</w:t>
      </w:r>
    </w:p>
    <w:p w14:paraId="6E70E5A6" w14:textId="0767140F" w:rsidR="00CE4496" w:rsidRDefault="00414245" w:rsidP="00F575CB">
      <w:pPr>
        <w:pStyle w:val="ListParagraph"/>
        <w:numPr>
          <w:ilvl w:val="0"/>
          <w:numId w:val="14"/>
        </w:numPr>
      </w:pPr>
      <w:r>
        <w:t>r</w:t>
      </w:r>
      <w:r w:rsidR="00CE4496">
        <w:t>ate of repeat data analysis</w:t>
      </w:r>
    </w:p>
    <w:p w14:paraId="7C271001" w14:textId="77777777" w:rsidR="00CE4496" w:rsidRDefault="00CE4496" w:rsidP="00D92DCD">
      <w:pPr>
        <w:keepNext/>
        <w:spacing w:after="0"/>
      </w:pPr>
      <w:r>
        <w:t>Health outcomes</w:t>
      </w:r>
    </w:p>
    <w:p w14:paraId="019DFC90" w14:textId="608F0B8A" w:rsidR="00CE4496" w:rsidRDefault="00414245" w:rsidP="00F575CB">
      <w:pPr>
        <w:pStyle w:val="ListParagraph"/>
        <w:numPr>
          <w:ilvl w:val="0"/>
          <w:numId w:val="14"/>
        </w:numPr>
      </w:pPr>
      <w:r>
        <w:t>i</w:t>
      </w:r>
      <w:r w:rsidR="00CE4496">
        <w:t>mpact on clinical management</w:t>
      </w:r>
    </w:p>
    <w:p w14:paraId="24EEE014" w14:textId="2BDD2516" w:rsidR="00CE4496" w:rsidRDefault="00971BDE" w:rsidP="00D71FDB">
      <w:pPr>
        <w:pStyle w:val="ListParagraph"/>
        <w:numPr>
          <w:ilvl w:val="1"/>
          <w:numId w:val="14"/>
        </w:numPr>
        <w:ind w:left="1724" w:hanging="284"/>
      </w:pPr>
      <w:r>
        <w:t>e</w:t>
      </w:r>
      <w:r w:rsidR="00CE4496">
        <w:t>arlier treatment</w:t>
      </w:r>
    </w:p>
    <w:p w14:paraId="7B1728D8" w14:textId="1D914C10" w:rsidR="00CE4496" w:rsidRDefault="00971BDE" w:rsidP="00D71FDB">
      <w:pPr>
        <w:pStyle w:val="ListParagraph"/>
        <w:numPr>
          <w:ilvl w:val="1"/>
          <w:numId w:val="14"/>
        </w:numPr>
        <w:ind w:left="1724" w:hanging="284"/>
      </w:pPr>
      <w:r>
        <w:t>m</w:t>
      </w:r>
      <w:r w:rsidR="00CE4496">
        <w:t>onitoring and prophylactic treatment</w:t>
      </w:r>
    </w:p>
    <w:p w14:paraId="4286DA0C" w14:textId="10E72F7C" w:rsidR="00CE4496" w:rsidRDefault="00414245" w:rsidP="00F575CB">
      <w:pPr>
        <w:pStyle w:val="ListParagraph"/>
        <w:numPr>
          <w:ilvl w:val="0"/>
          <w:numId w:val="14"/>
        </w:numPr>
      </w:pPr>
      <w:r>
        <w:t>h</w:t>
      </w:r>
      <w:r w:rsidR="00CE4496">
        <w:t>ealth-related quality of life</w:t>
      </w:r>
    </w:p>
    <w:p w14:paraId="5BCFDCD7" w14:textId="01B7F942" w:rsidR="003F1CB2" w:rsidRDefault="003F1CB2" w:rsidP="00670C91">
      <w:pPr>
        <w:keepNext/>
        <w:keepLines/>
        <w:spacing w:after="0"/>
      </w:pPr>
      <w:r>
        <w:t>Other utility outcomes</w:t>
      </w:r>
    </w:p>
    <w:p w14:paraId="4A67CC0F" w14:textId="20FCF77B" w:rsidR="00CE4496" w:rsidRDefault="00414245" w:rsidP="00670C91">
      <w:pPr>
        <w:pStyle w:val="ListParagraph"/>
        <w:keepNext/>
        <w:keepLines/>
        <w:numPr>
          <w:ilvl w:val="0"/>
          <w:numId w:val="14"/>
        </w:numPr>
      </w:pPr>
      <w:r>
        <w:t>v</w:t>
      </w:r>
      <w:r w:rsidR="00CE4496">
        <w:t>alue of knowing</w:t>
      </w:r>
    </w:p>
    <w:p w14:paraId="5D300BB5" w14:textId="77777777" w:rsidR="00CE4496" w:rsidRDefault="00CE4496" w:rsidP="00D92DCD">
      <w:pPr>
        <w:keepNext/>
        <w:spacing w:after="0"/>
      </w:pPr>
      <w:r>
        <w:t>Healthcare resources</w:t>
      </w:r>
    </w:p>
    <w:p w14:paraId="165AA2E8" w14:textId="77777777" w:rsidR="00414245" w:rsidRDefault="00414245" w:rsidP="00414245">
      <w:pPr>
        <w:pStyle w:val="ListParagraph"/>
        <w:numPr>
          <w:ilvl w:val="0"/>
          <w:numId w:val="14"/>
        </w:numPr>
      </w:pPr>
      <w:r>
        <w:t>cost</w:t>
      </w:r>
      <w:r w:rsidR="00CE4496">
        <w:t xml:space="preserve"> of variant</w:t>
      </w:r>
      <w:r>
        <w:t>-</w:t>
      </w:r>
      <w:r w:rsidR="00CE4496">
        <w:t>specific test</w:t>
      </w:r>
    </w:p>
    <w:p w14:paraId="2E286850" w14:textId="77777777" w:rsidR="00414245" w:rsidRDefault="00414245" w:rsidP="00414245">
      <w:pPr>
        <w:pStyle w:val="ListParagraph"/>
        <w:numPr>
          <w:ilvl w:val="0"/>
          <w:numId w:val="14"/>
        </w:numPr>
      </w:pPr>
      <w:r>
        <w:t>number of, and cost associated with, obtaining an appropriate sample</w:t>
      </w:r>
    </w:p>
    <w:p w14:paraId="5F368A38" w14:textId="77777777" w:rsidR="00414245" w:rsidRDefault="00414245" w:rsidP="00414245">
      <w:pPr>
        <w:pStyle w:val="ListParagraph"/>
        <w:numPr>
          <w:ilvl w:val="0"/>
          <w:numId w:val="14"/>
        </w:numPr>
      </w:pPr>
      <w:r>
        <w:t>additional medical practitioner consultations</w:t>
      </w:r>
    </w:p>
    <w:p w14:paraId="173DF932" w14:textId="4A617949" w:rsidR="00CE4496" w:rsidRDefault="00414245" w:rsidP="00F575CB">
      <w:pPr>
        <w:pStyle w:val="ListParagraph"/>
        <w:numPr>
          <w:ilvl w:val="0"/>
          <w:numId w:val="14"/>
        </w:numPr>
      </w:pPr>
      <w:r>
        <w:t>cost of re-testing and/or data reanalysis</w:t>
      </w:r>
      <w:r w:rsidR="009033A3">
        <w:t>.</w:t>
      </w:r>
    </w:p>
    <w:p w14:paraId="45B525DF" w14:textId="1731567C" w:rsidR="009937F3" w:rsidRDefault="004968E7" w:rsidP="00492C5A">
      <w:pPr>
        <w:keepNext/>
        <w:keepLines/>
        <w:spacing w:after="0"/>
      </w:pPr>
      <w:r>
        <w:lastRenderedPageBreak/>
        <w:t>Cost effectiveness</w:t>
      </w:r>
    </w:p>
    <w:p w14:paraId="0B94C474" w14:textId="087A54AE" w:rsidR="004043A8" w:rsidRDefault="003202A2" w:rsidP="00492C5A">
      <w:pPr>
        <w:pStyle w:val="ListParagraph"/>
        <w:keepNext/>
        <w:keepLines/>
        <w:numPr>
          <w:ilvl w:val="0"/>
          <w:numId w:val="51"/>
        </w:numPr>
      </w:pPr>
      <w:r>
        <w:t>c</w:t>
      </w:r>
      <w:r w:rsidR="003D1A7B">
        <w:t xml:space="preserve">ost per </w:t>
      </w:r>
      <w:r w:rsidR="00A94496">
        <w:t xml:space="preserve">sibling </w:t>
      </w:r>
      <w:r w:rsidR="000E1344">
        <w:t>identified</w:t>
      </w:r>
      <w:r w:rsidR="000E1344" w:rsidRPr="00FC0117">
        <w:t xml:space="preserve"> with pathogenic variant(s)</w:t>
      </w:r>
    </w:p>
    <w:p w14:paraId="5B10E539" w14:textId="02BD2CFB" w:rsidR="009033A3" w:rsidRDefault="009033A3" w:rsidP="009033A3">
      <w:pPr>
        <w:pStyle w:val="Heading4"/>
      </w:pPr>
      <w:r>
        <w:t>PICO Set 3</w:t>
      </w:r>
    </w:p>
    <w:p w14:paraId="3E6B78A5" w14:textId="69064F50" w:rsidR="00C91D38" w:rsidRDefault="002E6A68" w:rsidP="00D92DCD">
      <w:pPr>
        <w:spacing w:after="80"/>
      </w:pPr>
      <w:r>
        <w:t>PICO Set 3 is monitoring</w:t>
      </w:r>
      <w:r w:rsidR="00E55848">
        <w:t>,</w:t>
      </w:r>
      <w:r>
        <w:t xml:space="preserve"> </w:t>
      </w:r>
      <w:r w:rsidR="00E55848">
        <w:t>once PEX treatment has ceased,</w:t>
      </w:r>
      <w:r w:rsidR="007C7263">
        <w:t xml:space="preserve"> to predict</w:t>
      </w:r>
      <w:r w:rsidR="00E55848">
        <w:t xml:space="preserve"> disease</w:t>
      </w:r>
      <w:r w:rsidR="007C7263">
        <w:t xml:space="preserve"> </w:t>
      </w:r>
      <w:r w:rsidR="0056660A">
        <w:t xml:space="preserve">exacerbation and </w:t>
      </w:r>
      <w:r w:rsidR="007C7263">
        <w:t>relapse</w:t>
      </w:r>
      <w:r w:rsidR="00EB6F87">
        <w:t xml:space="preserve">. </w:t>
      </w:r>
      <w:r w:rsidR="00E55848">
        <w:t>These are defined</w:t>
      </w:r>
      <w:r w:rsidR="000271A7">
        <w:t xml:space="preserve"> in the </w:t>
      </w:r>
      <w:r w:rsidR="00093949">
        <w:t>Hercules</w:t>
      </w:r>
      <w:r w:rsidR="00E7749C">
        <w:t xml:space="preserve"> trial</w:t>
      </w:r>
      <w:r w:rsidR="00E55848">
        <w:t xml:space="preserve"> as</w:t>
      </w:r>
      <w:r w:rsidR="00C91D38">
        <w:t>:</w:t>
      </w:r>
    </w:p>
    <w:p w14:paraId="241787D1" w14:textId="24DB4852" w:rsidR="00B3227C" w:rsidRDefault="00E7749C" w:rsidP="00C91D38">
      <w:pPr>
        <w:pStyle w:val="ListParagraph"/>
        <w:numPr>
          <w:ilvl w:val="0"/>
          <w:numId w:val="14"/>
        </w:numPr>
      </w:pPr>
      <w:r>
        <w:t>R</w:t>
      </w:r>
      <w:r w:rsidR="000271A7">
        <w:t>ecurrence</w:t>
      </w:r>
      <w:r>
        <w:t xml:space="preserve"> </w:t>
      </w:r>
      <w:r w:rsidR="00695898">
        <w:t>–</w:t>
      </w:r>
      <w:r w:rsidR="000271A7">
        <w:t xml:space="preserve"> new decrease in the platelet count that necessita</w:t>
      </w:r>
      <w:r w:rsidR="00B3227C">
        <w:t>tes</w:t>
      </w:r>
      <w:r w:rsidR="000271A7">
        <w:t xml:space="preserve"> the reinitiation of </w:t>
      </w:r>
      <w:r w:rsidR="00B3227C">
        <w:t>PEX</w:t>
      </w:r>
      <w:r w:rsidR="000271A7">
        <w:t xml:space="preserve"> after normali</w:t>
      </w:r>
      <w:r w:rsidR="00C17CED">
        <w:t>s</w:t>
      </w:r>
      <w:r w:rsidR="000271A7">
        <w:t>ation of the platelet count had occurred.</w:t>
      </w:r>
    </w:p>
    <w:p w14:paraId="0EDA4DB2" w14:textId="410B897D" w:rsidR="00B3227C" w:rsidRDefault="00B3227C" w:rsidP="00C91D38">
      <w:pPr>
        <w:pStyle w:val="ListParagraph"/>
        <w:numPr>
          <w:ilvl w:val="0"/>
          <w:numId w:val="14"/>
        </w:numPr>
      </w:pPr>
      <w:r>
        <w:t>E</w:t>
      </w:r>
      <w:r w:rsidR="000271A7">
        <w:t xml:space="preserve">xacerbation </w:t>
      </w:r>
      <w:r w:rsidR="00695898">
        <w:t>–</w:t>
      </w:r>
      <w:r w:rsidR="000271A7">
        <w:t xml:space="preserve"> a recurrence that occur</w:t>
      </w:r>
      <w:r>
        <w:t>s</w:t>
      </w:r>
      <w:r w:rsidR="000271A7">
        <w:t xml:space="preserve"> within 30 days after the last </w:t>
      </w:r>
      <w:r>
        <w:t>PEX</w:t>
      </w:r>
      <w:r w:rsidR="000271A7">
        <w:t xml:space="preserve">. </w:t>
      </w:r>
    </w:p>
    <w:p w14:paraId="6C20FA66" w14:textId="74092D99" w:rsidR="00C91D38" w:rsidRDefault="00B3227C" w:rsidP="00C91D38">
      <w:pPr>
        <w:pStyle w:val="ListParagraph"/>
        <w:numPr>
          <w:ilvl w:val="0"/>
          <w:numId w:val="14"/>
        </w:numPr>
      </w:pPr>
      <w:r>
        <w:t>R</w:t>
      </w:r>
      <w:r w:rsidR="000271A7">
        <w:t xml:space="preserve">elapse </w:t>
      </w:r>
      <w:r w:rsidR="00695898">
        <w:t>–</w:t>
      </w:r>
      <w:r w:rsidR="000271A7">
        <w:t xml:space="preserve"> a recurrence that occur</w:t>
      </w:r>
      <w:r w:rsidR="0082597F">
        <w:t>s</w:t>
      </w:r>
      <w:r w:rsidR="000271A7">
        <w:t xml:space="preserve"> more than 30 days after cessation of </w:t>
      </w:r>
      <w:r w:rsidR="0082597F">
        <w:t>PEX (</w:t>
      </w:r>
      <w:r w:rsidR="006B3AD5" w:rsidRPr="009D0D95">
        <w:t>Scully et al. 2019</w:t>
      </w:r>
      <w:r w:rsidR="006B3AD5">
        <w:t>)</w:t>
      </w:r>
      <w:r w:rsidR="000271A7">
        <w:t>.</w:t>
      </w:r>
    </w:p>
    <w:p w14:paraId="19A89770" w14:textId="1B3AA42C" w:rsidR="0037213B" w:rsidRDefault="00C37B37" w:rsidP="00E2793A">
      <w:r>
        <w:t xml:space="preserve">The main </w:t>
      </w:r>
      <w:r w:rsidR="00D752F7">
        <w:t xml:space="preserve">treatment change </w:t>
      </w:r>
      <w:r w:rsidR="004A1996">
        <w:t xml:space="preserve">is the initiation of immune suppressive therapy to </w:t>
      </w:r>
      <w:r w:rsidR="00824074">
        <w:t xml:space="preserve">increase ADAMTS13 </w:t>
      </w:r>
      <w:r w:rsidR="00C24A00">
        <w:t>acti</w:t>
      </w:r>
      <w:r w:rsidR="006E5EF0">
        <w:t xml:space="preserve">vity </w:t>
      </w:r>
      <w:r w:rsidR="00824074">
        <w:t xml:space="preserve">levels and prevent </w:t>
      </w:r>
      <w:r w:rsidR="0037213B">
        <w:t xml:space="preserve">exacerbation or relapse </w:t>
      </w:r>
      <w:r w:rsidR="00466286">
        <w:t>(</w:t>
      </w:r>
      <w:r w:rsidR="00626647" w:rsidRPr="00783604">
        <w:t xml:space="preserve">Masias and Cataland </w:t>
      </w:r>
      <w:r w:rsidR="00466286" w:rsidRPr="00783604">
        <w:t>2018</w:t>
      </w:r>
      <w:r w:rsidR="00466286">
        <w:t>)</w:t>
      </w:r>
      <w:r w:rsidR="0037213B">
        <w:t>.</w:t>
      </w:r>
      <w:r w:rsidR="00132454">
        <w:t xml:space="preserve"> The proposed outcomes for this PICO set are listed below.</w:t>
      </w:r>
    </w:p>
    <w:p w14:paraId="46C29133" w14:textId="77777777" w:rsidR="00132454" w:rsidRDefault="00132454" w:rsidP="00A543DF">
      <w:pPr>
        <w:keepNext/>
        <w:spacing w:after="0"/>
      </w:pPr>
      <w:r>
        <w:t>Safety outcomes</w:t>
      </w:r>
    </w:p>
    <w:p w14:paraId="31492779" w14:textId="3750E09A" w:rsidR="00132454" w:rsidRDefault="006B38E5" w:rsidP="00132454">
      <w:pPr>
        <w:pStyle w:val="ListParagraph"/>
        <w:numPr>
          <w:ilvl w:val="0"/>
          <w:numId w:val="18"/>
        </w:numPr>
      </w:pPr>
      <w:r>
        <w:t>h</w:t>
      </w:r>
      <w:r w:rsidR="00132454">
        <w:t>arms from obtaining a sample for testing</w:t>
      </w:r>
    </w:p>
    <w:p w14:paraId="2647C9CE" w14:textId="392F3912" w:rsidR="00823BDA" w:rsidRPr="00823BDA" w:rsidRDefault="00823BDA" w:rsidP="00823BDA">
      <w:pPr>
        <w:pStyle w:val="ListParagraph"/>
        <w:numPr>
          <w:ilvl w:val="0"/>
          <w:numId w:val="18"/>
        </w:numPr>
      </w:pPr>
      <w:r w:rsidRPr="00823BDA">
        <w:t xml:space="preserve">harms associated with false positive or false negative results </w:t>
      </w:r>
    </w:p>
    <w:p w14:paraId="717639E4" w14:textId="77777777" w:rsidR="00132454" w:rsidRDefault="00132454" w:rsidP="00A543DF">
      <w:pPr>
        <w:keepNext/>
        <w:spacing w:after="0"/>
      </w:pPr>
      <w:r>
        <w:t>Test performance</w:t>
      </w:r>
    </w:p>
    <w:p w14:paraId="5F97C940" w14:textId="62A16E51" w:rsidR="00132454" w:rsidRDefault="006B38E5" w:rsidP="00132454">
      <w:pPr>
        <w:pStyle w:val="ListParagraph"/>
        <w:numPr>
          <w:ilvl w:val="0"/>
          <w:numId w:val="18"/>
        </w:numPr>
      </w:pPr>
      <w:r>
        <w:t>a</w:t>
      </w:r>
      <w:r w:rsidR="00132454">
        <w:t>ccuracy, concordance</w:t>
      </w:r>
    </w:p>
    <w:p w14:paraId="5D108BF7" w14:textId="7AA4AFC8" w:rsidR="00132454" w:rsidRDefault="006B38E5" w:rsidP="00132454">
      <w:pPr>
        <w:pStyle w:val="ListParagraph"/>
        <w:numPr>
          <w:ilvl w:val="0"/>
          <w:numId w:val="18"/>
        </w:numPr>
      </w:pPr>
      <w:r>
        <w:t>p</w:t>
      </w:r>
      <w:r w:rsidR="00132454">
        <w:t>rognostic and predictive value</w:t>
      </w:r>
    </w:p>
    <w:p w14:paraId="5ED67C43" w14:textId="5FB39644" w:rsidR="00132454" w:rsidRDefault="00132454" w:rsidP="00132454">
      <w:pPr>
        <w:pStyle w:val="ListParagraph"/>
        <w:numPr>
          <w:ilvl w:val="0"/>
          <w:numId w:val="18"/>
        </w:numPr>
      </w:pPr>
      <w:r>
        <w:t>rate</w:t>
      </w:r>
      <w:r w:rsidR="000134F6">
        <w:t xml:space="preserve"> of </w:t>
      </w:r>
      <w:r w:rsidR="009F6A99">
        <w:t>test failure/</w:t>
      </w:r>
      <w:r w:rsidR="000134F6">
        <w:t>repeat testing</w:t>
      </w:r>
    </w:p>
    <w:p w14:paraId="656A0801" w14:textId="77777777" w:rsidR="00132454" w:rsidRDefault="00132454" w:rsidP="00A543DF">
      <w:pPr>
        <w:keepNext/>
        <w:spacing w:after="0"/>
      </w:pPr>
      <w:r>
        <w:t>Change in management</w:t>
      </w:r>
    </w:p>
    <w:p w14:paraId="2FC1FD42" w14:textId="2AB54282" w:rsidR="00132454" w:rsidRDefault="006B38E5" w:rsidP="00CA4ABD">
      <w:pPr>
        <w:pStyle w:val="ListParagraph"/>
        <w:numPr>
          <w:ilvl w:val="0"/>
          <w:numId w:val="18"/>
        </w:numPr>
      </w:pPr>
      <w:r>
        <w:t>c</w:t>
      </w:r>
      <w:r w:rsidR="00132454">
        <w:t>hange in treatment (treatment ceased, treatment initiated</w:t>
      </w:r>
      <w:r w:rsidR="008279B5">
        <w:t>,</w:t>
      </w:r>
      <w:r w:rsidR="008279B5" w:rsidRPr="008279B5">
        <w:t xml:space="preserve"> </w:t>
      </w:r>
      <w:r w:rsidR="008279B5">
        <w:t>treatment avoided</w:t>
      </w:r>
      <w:r w:rsidR="00132454">
        <w:t>)</w:t>
      </w:r>
    </w:p>
    <w:p w14:paraId="401DA039" w14:textId="7A012E10" w:rsidR="00132454" w:rsidRDefault="006B38E5" w:rsidP="00CA4ABD">
      <w:pPr>
        <w:pStyle w:val="ListParagraph"/>
        <w:numPr>
          <w:ilvl w:val="0"/>
          <w:numId w:val="18"/>
        </w:numPr>
      </w:pPr>
      <w:r>
        <w:t>a</w:t>
      </w:r>
      <w:r w:rsidR="00132454">
        <w:t>dherence to monitoring</w:t>
      </w:r>
    </w:p>
    <w:p w14:paraId="4B987CFA" w14:textId="77777777" w:rsidR="00132454" w:rsidRDefault="00132454" w:rsidP="00A543DF">
      <w:pPr>
        <w:keepNext/>
        <w:spacing w:after="0"/>
      </w:pPr>
      <w:r>
        <w:t xml:space="preserve">Patient health outcomes </w:t>
      </w:r>
    </w:p>
    <w:p w14:paraId="33FF6D98" w14:textId="759B5246" w:rsidR="00132454" w:rsidRDefault="006B38E5" w:rsidP="00CA4ABD">
      <w:pPr>
        <w:pStyle w:val="ListParagraph"/>
        <w:numPr>
          <w:ilvl w:val="0"/>
          <w:numId w:val="18"/>
        </w:numPr>
      </w:pPr>
      <w:r>
        <w:t>m</w:t>
      </w:r>
      <w:r w:rsidR="00132454">
        <w:t>ortality</w:t>
      </w:r>
    </w:p>
    <w:p w14:paraId="691C33D6" w14:textId="23D6FCF4" w:rsidR="00132454" w:rsidRDefault="006B38E5" w:rsidP="00CA4ABD">
      <w:pPr>
        <w:pStyle w:val="ListParagraph"/>
        <w:numPr>
          <w:ilvl w:val="0"/>
          <w:numId w:val="18"/>
        </w:numPr>
      </w:pPr>
      <w:r>
        <w:t>m</w:t>
      </w:r>
      <w:r w:rsidR="00132454">
        <w:t>orbidity</w:t>
      </w:r>
    </w:p>
    <w:p w14:paraId="79FD8DDA" w14:textId="5CCB491E" w:rsidR="00132454" w:rsidRDefault="006B38E5" w:rsidP="00CA4ABD">
      <w:pPr>
        <w:pStyle w:val="ListParagraph"/>
        <w:numPr>
          <w:ilvl w:val="0"/>
          <w:numId w:val="18"/>
        </w:numPr>
      </w:pPr>
      <w:r>
        <w:t>t</w:t>
      </w:r>
      <w:r w:rsidR="00132454">
        <w:t>ime to exacerbation/relapse</w:t>
      </w:r>
    </w:p>
    <w:p w14:paraId="0F37E0BB" w14:textId="7F9C1C13" w:rsidR="00132454" w:rsidRDefault="006B38E5" w:rsidP="00CA4ABD">
      <w:pPr>
        <w:pStyle w:val="ListParagraph"/>
        <w:numPr>
          <w:ilvl w:val="0"/>
          <w:numId w:val="18"/>
        </w:numPr>
      </w:pPr>
      <w:r>
        <w:t>h</w:t>
      </w:r>
      <w:r w:rsidR="00C617D0">
        <w:t>ealth related quality of life</w:t>
      </w:r>
    </w:p>
    <w:p w14:paraId="6DB51536" w14:textId="77777777" w:rsidR="00132454" w:rsidRDefault="00132454" w:rsidP="00A543DF">
      <w:pPr>
        <w:keepNext/>
        <w:spacing w:after="0"/>
      </w:pPr>
      <w:r>
        <w:t>Health care resources</w:t>
      </w:r>
    </w:p>
    <w:p w14:paraId="4C0245F8" w14:textId="3554D4A2" w:rsidR="00132454" w:rsidRDefault="006B38E5" w:rsidP="00CA4ABD">
      <w:pPr>
        <w:pStyle w:val="ListParagraph"/>
        <w:numPr>
          <w:ilvl w:val="0"/>
          <w:numId w:val="18"/>
        </w:numPr>
      </w:pPr>
      <w:r>
        <w:t>c</w:t>
      </w:r>
      <w:r w:rsidR="00132454">
        <w:t>ost of testing</w:t>
      </w:r>
      <w:r w:rsidR="00A6202D">
        <w:t>/monitoring</w:t>
      </w:r>
      <w:r w:rsidR="00A704EC">
        <w:t>.</w:t>
      </w:r>
    </w:p>
    <w:p w14:paraId="6FE7BA7B" w14:textId="4C335EF1" w:rsidR="00733BAB" w:rsidRDefault="00C74AF3" w:rsidP="00E2793A">
      <w:r>
        <w:t xml:space="preserve">Note that </w:t>
      </w:r>
      <w:r w:rsidR="007E3328">
        <w:t>suspected</w:t>
      </w:r>
      <w:r w:rsidR="00552702">
        <w:t xml:space="preserve"> cTT</w:t>
      </w:r>
      <w:r w:rsidR="007E3328">
        <w:t>P</w:t>
      </w:r>
      <w:r w:rsidR="00552702">
        <w:t xml:space="preserve"> patients</w:t>
      </w:r>
      <w:r w:rsidR="00733BAB">
        <w:t xml:space="preserve"> will </w:t>
      </w:r>
      <w:r w:rsidR="00AB7799">
        <w:t xml:space="preserve">undergo initial monitoring with </w:t>
      </w:r>
      <w:r w:rsidR="002D472B">
        <w:t xml:space="preserve">ADAMTS13 activity testing following PEX treatment. </w:t>
      </w:r>
      <w:r w:rsidR="00484442">
        <w:t xml:space="preserve">Where activity remains low and cTTP remains suspected, </w:t>
      </w:r>
      <w:r w:rsidR="00733BAB">
        <w:t>genetic testing is undertaken.</w:t>
      </w:r>
      <w:r w:rsidR="001177A7">
        <w:t xml:space="preserve"> Th</w:t>
      </w:r>
      <w:r w:rsidR="009E729B">
        <w:t>e clinical role of repeat ADAMTS13 activity testing in the diagnosis of cTTP is acknowledged but not considered in the assessment.</w:t>
      </w:r>
    </w:p>
    <w:p w14:paraId="5932B7D8" w14:textId="591A12BE" w:rsidR="00EB3278" w:rsidRPr="00E2793A" w:rsidRDefault="00EB3278" w:rsidP="00E2793A">
      <w:r>
        <w:rPr>
          <w:rFonts w:asciiTheme="minorHAnsi" w:hAnsiTheme="minorHAnsi" w:cstheme="minorHAnsi"/>
          <w:i/>
          <w:iCs/>
        </w:rPr>
        <w:t>PASC noted the outcomes and that they were appropriate.</w:t>
      </w:r>
    </w:p>
    <w:p w14:paraId="4BBF84CB" w14:textId="28CFFDED" w:rsidR="009B31CC" w:rsidRPr="004E3ABF" w:rsidRDefault="009B31CC" w:rsidP="00713728">
      <w:pPr>
        <w:pStyle w:val="Heading2"/>
      </w:pPr>
      <w:r w:rsidRPr="00490FBB">
        <w:lastRenderedPageBreak/>
        <w:t xml:space="preserve">Assessment framework </w:t>
      </w:r>
    </w:p>
    <w:p w14:paraId="70025EE5" w14:textId="1EB9CFE5" w:rsidR="00934D9B" w:rsidRDefault="009C3527" w:rsidP="009C3527">
      <w:pPr>
        <w:pStyle w:val="Heading4"/>
      </w:pPr>
      <w:r>
        <w:t>PICO Set 1</w:t>
      </w:r>
    </w:p>
    <w:p w14:paraId="54504045" w14:textId="77777777" w:rsidR="009E65E2" w:rsidRDefault="009E65E2" w:rsidP="009E65E2">
      <w:pPr>
        <w:keepNext/>
        <w:spacing w:after="0"/>
      </w:pPr>
      <w:r>
        <w:rPr>
          <w:noProof/>
        </w:rPr>
        <w:drawing>
          <wp:inline distT="0" distB="0" distL="0" distR="0" wp14:anchorId="676BE012" wp14:editId="307FF61F">
            <wp:extent cx="6083935" cy="2284730"/>
            <wp:effectExtent l="0" t="0" r="0" b="1270"/>
            <wp:docPr id="1805931724" name="Picture 1" descr="Flow diagram showing the link between the diagnostic tests for the index patient and the health outcomes for PICO Set 1, highlighting where evidence is to be sought to inform the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931724" name="Picture 1" descr="Flow diagram showing the link between the diagnostic tests for the index patient and the health outcomes for PICO Set 1, highlighting where evidence is to be sought to inform the evaluat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83935" cy="2284730"/>
                    </a:xfrm>
                    <a:prstGeom prst="rect">
                      <a:avLst/>
                    </a:prstGeom>
                  </pic:spPr>
                </pic:pic>
              </a:graphicData>
            </a:graphic>
          </wp:inline>
        </w:drawing>
      </w:r>
    </w:p>
    <w:p w14:paraId="25BE6CA3" w14:textId="3EC4A530" w:rsidR="009E65E2" w:rsidRDefault="009E65E2" w:rsidP="009E65E2">
      <w:pPr>
        <w:pStyle w:val="Caption"/>
        <w:spacing w:before="0"/>
      </w:pPr>
      <w:r>
        <w:t xml:space="preserve">Figure </w:t>
      </w:r>
      <w:r>
        <w:fldChar w:fldCharType="begin"/>
      </w:r>
      <w:r>
        <w:instrText xml:space="preserve"> SEQ Figure \* ARABIC </w:instrText>
      </w:r>
      <w:r>
        <w:fldChar w:fldCharType="separate"/>
      </w:r>
      <w:r w:rsidR="00AE1C62">
        <w:rPr>
          <w:noProof/>
        </w:rPr>
        <w:t>2</w:t>
      </w:r>
      <w:r>
        <w:fldChar w:fldCharType="end"/>
      </w:r>
      <w:r>
        <w:tab/>
        <w:t>Assessment framework for PICO Set 1: Differential diagnosis of TTP vs not TTP and iTTP vs cTTP</w:t>
      </w:r>
    </w:p>
    <w:p w14:paraId="155A6D54" w14:textId="77777777" w:rsidR="009E65E2" w:rsidRDefault="009E65E2" w:rsidP="009E65E2">
      <w:pPr>
        <w:pStyle w:val="Tablenotes"/>
        <w:spacing w:after="0"/>
        <w:rPr>
          <w:lang w:val="en-GB" w:eastAsia="ja-JP"/>
        </w:rPr>
      </w:pPr>
      <w:r>
        <w:rPr>
          <w:lang w:val="en-GB" w:eastAsia="ja-JP"/>
        </w:rPr>
        <w:t>Source: prepared by the assessment group.</w:t>
      </w:r>
    </w:p>
    <w:p w14:paraId="4920E743" w14:textId="77777777" w:rsidR="009E65E2" w:rsidRPr="009F543B" w:rsidRDefault="009E65E2" w:rsidP="009E65E2">
      <w:pPr>
        <w:pStyle w:val="Tablenotes"/>
        <w:spacing w:after="0"/>
      </w:pPr>
      <w:r w:rsidRPr="009F543B">
        <w:t xml:space="preserve">cTTP = congenital TTP; HRQoL = health-related quality of life; iTTP = immune-mediated TTP; PICO = </w:t>
      </w:r>
      <w:r>
        <w:t>Population, Intervention, Comparator, Outcomes</w:t>
      </w:r>
      <w:r w:rsidRPr="009F543B">
        <w:t xml:space="preserve">; </w:t>
      </w:r>
      <w:r w:rsidRPr="009F543B">
        <w:rPr>
          <w:lang w:val="en-GB" w:eastAsia="ja-JP"/>
        </w:rPr>
        <w:t>TMA</w:t>
      </w:r>
      <w:r w:rsidRPr="009F543B">
        <w:t xml:space="preserve"> = thrombotic microangiopathy; TTP = thrombotic thrombocytopenic purpura.</w:t>
      </w:r>
    </w:p>
    <w:p w14:paraId="5220EDD1" w14:textId="460C5BDB" w:rsidR="009E65E2" w:rsidRDefault="009E65E2" w:rsidP="009E65E2">
      <w:pPr>
        <w:pStyle w:val="Tablenotes"/>
        <w:spacing w:after="360"/>
      </w:pPr>
      <w:r>
        <w:t xml:space="preserve">Figure notes: </w:t>
      </w:r>
      <w:r w:rsidRPr="00DC638B">
        <w:t>1: direct from test to health outcomes evidence; 2: test accuracy; 3: change in diagnosis/management; 4: influence of the change in management on health outcomes; 5: adverse events due to testing; 6: adverse events due to treatment.</w:t>
      </w:r>
    </w:p>
    <w:p w14:paraId="37CB074A" w14:textId="63370DFF" w:rsidR="009C3527" w:rsidRDefault="00D1760D" w:rsidP="009C3527">
      <w:r>
        <w:t>The assessment questions related to the assessment framework for PICO set 1 are listed below.</w:t>
      </w:r>
    </w:p>
    <w:p w14:paraId="4BAB1EC3" w14:textId="77777777" w:rsidR="00730F9A" w:rsidRDefault="00730F9A" w:rsidP="00DC3562">
      <w:pPr>
        <w:pStyle w:val="Heading5"/>
      </w:pPr>
      <w:r>
        <w:t>Direct evidence</w:t>
      </w:r>
    </w:p>
    <w:p w14:paraId="7EC7F275" w14:textId="024C2181" w:rsidR="00730F9A" w:rsidRDefault="00730F9A" w:rsidP="00BA4D2A">
      <w:pPr>
        <w:pStyle w:val="ListParagraph"/>
        <w:numPr>
          <w:ilvl w:val="1"/>
          <w:numId w:val="46"/>
        </w:numPr>
      </w:pPr>
      <w:r>
        <w:t xml:space="preserve">In patients with suspected TTP (i.e. presenting with </w:t>
      </w:r>
      <w:r w:rsidR="7BDA2E9D">
        <w:t>symptoms and signs</w:t>
      </w:r>
      <w:r>
        <w:t xml:space="preserve"> of TMA and a PLASMIC score &gt;4), does the use of ADAMTS13 activity testing, </w:t>
      </w:r>
      <w:r w:rsidR="009761D5">
        <w:t>anti-</w:t>
      </w:r>
      <w:r>
        <w:t xml:space="preserve">ADAMTS13 </w:t>
      </w:r>
      <w:r w:rsidR="00440B75">
        <w:t>autoantibod</w:t>
      </w:r>
      <w:r w:rsidR="00882110">
        <w:t>y</w:t>
      </w:r>
      <w:r>
        <w:t xml:space="preserve"> testing and </w:t>
      </w:r>
      <w:r w:rsidRPr="00B602F9">
        <w:rPr>
          <w:i/>
          <w:iCs/>
        </w:rPr>
        <w:t>ADAM</w:t>
      </w:r>
      <w:r w:rsidR="000F0912" w:rsidRPr="00B602F9">
        <w:rPr>
          <w:i/>
          <w:iCs/>
        </w:rPr>
        <w:t>TS</w:t>
      </w:r>
      <w:r w:rsidRPr="00B602F9">
        <w:rPr>
          <w:i/>
          <w:iCs/>
        </w:rPr>
        <w:t>13</w:t>
      </w:r>
      <w:r>
        <w:t xml:space="preserve"> genetic testing instead of no </w:t>
      </w:r>
      <w:r w:rsidR="00723369">
        <w:t xml:space="preserve">ADAMTS13 </w:t>
      </w:r>
      <w:r>
        <w:t xml:space="preserve">testing result </w:t>
      </w:r>
      <w:r w:rsidR="00BF41BB">
        <w:t xml:space="preserve">in </w:t>
      </w:r>
      <w:r w:rsidR="00C62333">
        <w:t>improved health outcomes</w:t>
      </w:r>
      <w:r>
        <w:t>?</w:t>
      </w:r>
    </w:p>
    <w:p w14:paraId="57AD679E" w14:textId="77777777" w:rsidR="00730F9A" w:rsidRDefault="00730F9A" w:rsidP="00DC3562">
      <w:pPr>
        <w:pStyle w:val="Heading5"/>
      </w:pPr>
      <w:r>
        <w:t>Indirect evidence</w:t>
      </w:r>
    </w:p>
    <w:p w14:paraId="6B2D0313" w14:textId="77777777" w:rsidR="008B574F" w:rsidRDefault="00F4735C" w:rsidP="00A319F0">
      <w:pPr>
        <w:pStyle w:val="ListParagraph"/>
        <w:numPr>
          <w:ilvl w:val="1"/>
          <w:numId w:val="46"/>
        </w:numPr>
        <w:contextualSpacing w:val="0"/>
      </w:pPr>
      <w:r>
        <w:t xml:space="preserve">(a) </w:t>
      </w:r>
      <w:r w:rsidR="00730F9A">
        <w:t>In a symptomatic population, how does the information from ADAMTS13 activity testing differ from the information obtained from prior tests alone?</w:t>
      </w:r>
    </w:p>
    <w:p w14:paraId="786DB867" w14:textId="5F3AE1E4" w:rsidR="00F24FCF" w:rsidRDefault="006050AC" w:rsidP="00A319F0">
      <w:pPr>
        <w:pStyle w:val="ListParagraph"/>
        <w:contextualSpacing w:val="0"/>
      </w:pPr>
      <w:r>
        <w:t xml:space="preserve">(b) </w:t>
      </w:r>
      <w:r w:rsidR="00F5175D">
        <w:t>How does the information from ADAMTS13 activity testing (CLIA using a commercial kit (AcuStar)) differ from the information obtained from the clinical utility standards (FRETS-VWF73 or ELISA-based detection)?</w:t>
      </w:r>
    </w:p>
    <w:p w14:paraId="706CE924" w14:textId="400CE8FA" w:rsidR="00F24FCF" w:rsidRDefault="00491128" w:rsidP="00A319F0">
      <w:pPr>
        <w:pStyle w:val="ListParagraph"/>
        <w:contextualSpacing w:val="0"/>
      </w:pPr>
      <w:r>
        <w:t>(c)</w:t>
      </w:r>
      <w:r w:rsidR="00730F9A">
        <w:t xml:space="preserve"> In a symptomatic population with &lt;10% ADAMTS</w:t>
      </w:r>
      <w:r w:rsidR="00772459">
        <w:t>13</w:t>
      </w:r>
      <w:r w:rsidR="00730F9A">
        <w:t xml:space="preserve"> activity, how does the information from </w:t>
      </w:r>
      <w:r w:rsidR="00730314">
        <w:t>anti-</w:t>
      </w:r>
      <w:r w:rsidR="00730F9A">
        <w:t xml:space="preserve">ADAMTS13 </w:t>
      </w:r>
      <w:r w:rsidR="00440B75">
        <w:t>autoantibod</w:t>
      </w:r>
      <w:r w:rsidR="00882110">
        <w:t>y</w:t>
      </w:r>
      <w:r w:rsidR="00730F9A">
        <w:t xml:space="preserve"> testing differ from the information obtained from prior tests alone?</w:t>
      </w:r>
    </w:p>
    <w:p w14:paraId="6FA7DB51" w14:textId="11A64A0D" w:rsidR="00730F9A" w:rsidRDefault="00491128" w:rsidP="00A319F0">
      <w:pPr>
        <w:pStyle w:val="ListParagraph"/>
        <w:contextualSpacing w:val="0"/>
      </w:pPr>
      <w:r>
        <w:t xml:space="preserve">(d) </w:t>
      </w:r>
      <w:r w:rsidR="00730F9A">
        <w:t>In a symptomatic population, with &lt;10% ADAMTS</w:t>
      </w:r>
      <w:r w:rsidR="004815A4">
        <w:t>13</w:t>
      </w:r>
      <w:r w:rsidR="00730F9A">
        <w:t xml:space="preserve"> activity and no anti-ADAMTS13 antibodies, what is the diagnostic, prognostic and predictive yield of ADAMTS13 genetic testing compared to prior tests alone?</w:t>
      </w:r>
    </w:p>
    <w:p w14:paraId="00B43BCA" w14:textId="68A9369D" w:rsidR="00F24FCF" w:rsidRDefault="000C2E27" w:rsidP="00A319F0">
      <w:pPr>
        <w:pStyle w:val="ListParagraph"/>
        <w:numPr>
          <w:ilvl w:val="1"/>
          <w:numId w:val="46"/>
        </w:numPr>
        <w:contextualSpacing w:val="0"/>
      </w:pPr>
      <w:r>
        <w:t xml:space="preserve">(a) </w:t>
      </w:r>
      <w:r w:rsidR="00730F9A">
        <w:t>Does the availability of new information from ADAMTS13 activity testing lead to a change in patient management compared to no ADAMTS13 testing?</w:t>
      </w:r>
    </w:p>
    <w:p w14:paraId="1D6677F8" w14:textId="0434391B" w:rsidR="00F24FCF" w:rsidRDefault="00730F9A" w:rsidP="00A319F0">
      <w:pPr>
        <w:pStyle w:val="ListParagraph"/>
        <w:contextualSpacing w:val="0"/>
      </w:pPr>
      <w:r>
        <w:t xml:space="preserve">(b) Does the availability of new information from </w:t>
      </w:r>
      <w:r w:rsidR="00195755">
        <w:t>anti-</w:t>
      </w:r>
      <w:r>
        <w:t xml:space="preserve">ADAMTS13 </w:t>
      </w:r>
      <w:r w:rsidR="00440B75">
        <w:t>autoantibod</w:t>
      </w:r>
      <w:r w:rsidR="00882110">
        <w:t>y</w:t>
      </w:r>
      <w:r>
        <w:t xml:space="preserve"> testing lead to a change in patient management compared to no ADAMTS13 testing?</w:t>
      </w:r>
    </w:p>
    <w:p w14:paraId="52DD7862" w14:textId="36874CDE" w:rsidR="00F24FCF" w:rsidRDefault="00491128" w:rsidP="00A319F0">
      <w:pPr>
        <w:pStyle w:val="ListParagraph"/>
        <w:contextualSpacing w:val="0"/>
      </w:pPr>
      <w:r>
        <w:lastRenderedPageBreak/>
        <w:t>(</w:t>
      </w:r>
      <w:r w:rsidR="00B84E01">
        <w:t>c</w:t>
      </w:r>
      <w:r>
        <w:t xml:space="preserve">) </w:t>
      </w:r>
      <w:r w:rsidR="00730F9A">
        <w:t xml:space="preserve">Does the availability of new information from </w:t>
      </w:r>
      <w:r w:rsidR="00730F9A" w:rsidRPr="00730314">
        <w:rPr>
          <w:i/>
          <w:iCs/>
        </w:rPr>
        <w:t>ADAMTS13</w:t>
      </w:r>
      <w:r w:rsidR="00730F9A">
        <w:t xml:space="preserve"> genetic testing lead to a change in patient management compared to no </w:t>
      </w:r>
      <w:r w:rsidR="00730F9A" w:rsidRPr="00730314">
        <w:rPr>
          <w:i/>
          <w:iCs/>
        </w:rPr>
        <w:t>ADAMTS13</w:t>
      </w:r>
      <w:r w:rsidR="00730F9A">
        <w:t xml:space="preserve"> testing?</w:t>
      </w:r>
    </w:p>
    <w:p w14:paraId="04534AF6" w14:textId="49BC0768" w:rsidR="009531A0" w:rsidRDefault="00730F9A" w:rsidP="00A319F0">
      <w:pPr>
        <w:pStyle w:val="ListParagraph"/>
        <w:numPr>
          <w:ilvl w:val="1"/>
          <w:numId w:val="46"/>
        </w:numPr>
        <w:contextualSpacing w:val="0"/>
      </w:pPr>
      <w:r>
        <w:t>Do the differences in management derived from the tests (e.g. eculizumab, plasma infusion for aHUS, PEX, rituximab ± caplacizumab for i</w:t>
      </w:r>
      <w:r w:rsidR="00D079F2">
        <w:t>TTP</w:t>
      </w:r>
      <w:r>
        <w:t>, plasma infusions for cTTP) lead to improved health outcomes compared to treatment based on prior tests alone?</w:t>
      </w:r>
    </w:p>
    <w:p w14:paraId="1F659456" w14:textId="2201ED78" w:rsidR="00730F9A" w:rsidRDefault="00730F9A" w:rsidP="00A319F0">
      <w:pPr>
        <w:pStyle w:val="ListParagraph"/>
        <w:numPr>
          <w:ilvl w:val="1"/>
          <w:numId w:val="46"/>
        </w:numPr>
        <w:contextualSpacing w:val="0"/>
      </w:pPr>
      <w:r>
        <w:t xml:space="preserve">What are the (direct) </w:t>
      </w:r>
      <w:r w:rsidR="00D4569A">
        <w:t>adverse event</w:t>
      </w:r>
      <w:r>
        <w:t xml:space="preserve">s associated with ADAMTS13 activity testing, </w:t>
      </w:r>
      <w:r w:rsidR="00195755">
        <w:t>anti-</w:t>
      </w:r>
      <w:r>
        <w:t xml:space="preserve">ADAMTS13 </w:t>
      </w:r>
      <w:r w:rsidR="00440B75">
        <w:t>autoantibod</w:t>
      </w:r>
      <w:r w:rsidR="00882110">
        <w:t>y</w:t>
      </w:r>
      <w:r>
        <w:t xml:space="preserve"> testing and </w:t>
      </w:r>
      <w:r w:rsidRPr="00726295">
        <w:rPr>
          <w:i/>
          <w:iCs/>
        </w:rPr>
        <w:t>ADAMTS13</w:t>
      </w:r>
      <w:r>
        <w:t xml:space="preserve"> genetic testing?</w:t>
      </w:r>
    </w:p>
    <w:p w14:paraId="004934AE" w14:textId="06BAC450" w:rsidR="00D1760D" w:rsidRDefault="00730F9A" w:rsidP="00A319F0">
      <w:pPr>
        <w:pStyle w:val="ListParagraph"/>
        <w:numPr>
          <w:ilvl w:val="1"/>
          <w:numId w:val="46"/>
        </w:numPr>
        <w:contextualSpacing w:val="0"/>
      </w:pPr>
      <w:r>
        <w:t xml:space="preserve">What are the </w:t>
      </w:r>
      <w:r w:rsidR="00194B5E">
        <w:t>adverse event</w:t>
      </w:r>
      <w:r>
        <w:t>s associated with the treatments/interventions that lead from the management decisions informed by the tests and by the comparator?</w:t>
      </w:r>
    </w:p>
    <w:p w14:paraId="74B671F2" w14:textId="2F5F4D7C" w:rsidR="00CB00C4" w:rsidRDefault="00CB00C4" w:rsidP="00CB00C4">
      <w:pPr>
        <w:autoSpaceDE w:val="0"/>
        <w:autoSpaceDN w:val="0"/>
        <w:adjustRightInd w:val="0"/>
        <w:spacing w:line="23" w:lineRule="atLeast"/>
      </w:pPr>
      <w:r>
        <w:rPr>
          <w:rFonts w:asciiTheme="minorHAnsi" w:hAnsiTheme="minorHAnsi" w:cstheme="minorHAnsi"/>
          <w:i/>
          <w:iCs/>
        </w:rPr>
        <w:t>PASC discussed that PICO Set 1 includes 3 sequential tests undertaken at different points in care in decreasing population subgroups and that this may present challenges for evidence evaluation. PASC discussed whether the PICO should be split up to consider each test individually or to remove genetic testing from this PICO Set; however, the sequential approach was considered appropriate.</w:t>
      </w:r>
    </w:p>
    <w:p w14:paraId="602AD48E" w14:textId="77777777" w:rsidR="00187D81" w:rsidRDefault="00187D81" w:rsidP="00187D81">
      <w:pPr>
        <w:pStyle w:val="Heading4"/>
      </w:pPr>
      <w:r>
        <w:t>PICO Set 2</w:t>
      </w:r>
    </w:p>
    <w:p w14:paraId="0694EEA5" w14:textId="65F05A03" w:rsidR="00AE4842" w:rsidRDefault="00E515A2" w:rsidP="00AE4842">
      <w:pPr>
        <w:keepNext/>
        <w:spacing w:after="0"/>
      </w:pPr>
      <w:r>
        <w:rPr>
          <w:noProof/>
        </w:rPr>
        <w:drawing>
          <wp:inline distT="0" distB="0" distL="0" distR="0" wp14:anchorId="04BE9450" wp14:editId="4F00BF63">
            <wp:extent cx="6083935" cy="3336925"/>
            <wp:effectExtent l="0" t="0" r="0" b="0"/>
            <wp:docPr id="476858113" name="Picture 2" descr="Figure 3 Assessment framework for PICO Set 2: Cascade testing for first-degree biological sib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58113" name="Picture 2" descr="Figure 3 Assessment framework for PICO Set 2: Cascade testing for first-degree biological sibling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3935" cy="3336925"/>
                    </a:xfrm>
                    <a:prstGeom prst="rect">
                      <a:avLst/>
                    </a:prstGeom>
                  </pic:spPr>
                </pic:pic>
              </a:graphicData>
            </a:graphic>
          </wp:inline>
        </w:drawing>
      </w:r>
    </w:p>
    <w:p w14:paraId="1A93EFB5" w14:textId="6A43215E" w:rsidR="00AE4842" w:rsidRDefault="00AE4842" w:rsidP="00AE4842">
      <w:pPr>
        <w:pStyle w:val="Caption"/>
        <w:spacing w:before="0"/>
      </w:pPr>
      <w:r>
        <w:t xml:space="preserve">Figure </w:t>
      </w:r>
      <w:r>
        <w:fldChar w:fldCharType="begin"/>
      </w:r>
      <w:r>
        <w:instrText xml:space="preserve"> SEQ Figure \* ARABIC </w:instrText>
      </w:r>
      <w:r>
        <w:fldChar w:fldCharType="separate"/>
      </w:r>
      <w:r w:rsidR="00AE1C62">
        <w:rPr>
          <w:noProof/>
        </w:rPr>
        <w:t>3</w:t>
      </w:r>
      <w:r>
        <w:fldChar w:fldCharType="end"/>
      </w:r>
      <w:r>
        <w:tab/>
        <w:t xml:space="preserve">Assessment framework for PICO Set 2: Cascade testing for first-degree biological </w:t>
      </w:r>
      <w:r w:rsidR="00A94496">
        <w:t>siblings</w:t>
      </w:r>
    </w:p>
    <w:p w14:paraId="385FBC56" w14:textId="77777777" w:rsidR="00AE4842" w:rsidRDefault="00AE4842" w:rsidP="00AE4842">
      <w:pPr>
        <w:pStyle w:val="Tablenotes"/>
        <w:spacing w:after="0"/>
        <w:rPr>
          <w:lang w:val="en-GB" w:eastAsia="ja-JP"/>
        </w:rPr>
      </w:pPr>
      <w:r>
        <w:rPr>
          <w:lang w:val="en-GB" w:eastAsia="ja-JP"/>
        </w:rPr>
        <w:t>Source: prepared by the assessment group adapted from Figure 2 of MSAC Application 1675 PICO Confirmation.</w:t>
      </w:r>
    </w:p>
    <w:p w14:paraId="4BC8F0F4" w14:textId="77777777" w:rsidR="00AE4842" w:rsidRDefault="00AE4842" w:rsidP="00AE4842">
      <w:pPr>
        <w:pStyle w:val="Tablenotes"/>
        <w:keepNext/>
        <w:spacing w:after="0"/>
      </w:pPr>
      <w:r>
        <w:t>cTTP = congenital TTP; PICO = Population, Intervention, Comparator, Outcomes; Tx = treatment.</w:t>
      </w:r>
    </w:p>
    <w:p w14:paraId="6D58E6A3" w14:textId="10F199C4" w:rsidR="00AE4842" w:rsidRPr="00AE4842" w:rsidRDefault="00AE4842" w:rsidP="00AE4842">
      <w:pPr>
        <w:pStyle w:val="Tablenotes"/>
      </w:pPr>
      <w:r>
        <w:t xml:space="preserve">Figure notes: </w:t>
      </w:r>
      <w:r w:rsidRPr="00B23692">
        <w:t>1: diagnostic yield; 2: change in management; 3:</w:t>
      </w:r>
      <w:r>
        <w:t xml:space="preserve"> health outcomes</w:t>
      </w:r>
      <w:r w:rsidRPr="00B23692">
        <w:t>; 4: value of knowing; 5: adverse events due to testing; 6:</w:t>
      </w:r>
      <w:r w:rsidRPr="00B5400B">
        <w:t xml:space="preserve"> </w:t>
      </w:r>
      <w:r w:rsidRPr="00B23692">
        <w:t>harms from knowing; 7:</w:t>
      </w:r>
      <w:r>
        <w:t> </w:t>
      </w:r>
      <w:r w:rsidRPr="00B23692">
        <w:t>adverse events due to treatment.</w:t>
      </w:r>
    </w:p>
    <w:p w14:paraId="055D2FAD" w14:textId="14B2DE62" w:rsidR="00BD3D40" w:rsidRDefault="00014643" w:rsidP="00014643">
      <w:r>
        <w:t xml:space="preserve">A refined assessment approach has been used and accepted by </w:t>
      </w:r>
      <w:r w:rsidR="005F2952">
        <w:t xml:space="preserve">MSAC for the assessment of genomic tests </w:t>
      </w:r>
      <w:r w:rsidR="00BC2CE8">
        <w:t>in certain situations, particularly large gene panels</w:t>
      </w:r>
      <w:r w:rsidR="005F2952">
        <w:t xml:space="preserve"> (detailed in </w:t>
      </w:r>
      <w:r w:rsidR="00AD247F">
        <w:t xml:space="preserve">Figure 2 of </w:t>
      </w:r>
      <w:r w:rsidR="00C23A9C">
        <w:t xml:space="preserve">the PICO Confirmation </w:t>
      </w:r>
      <w:hyperlink r:id="rId12" w:tooltip="Link to pdf for PICO Confirmation 1675; application considered by MSAC in November 2022" w:history="1">
        <w:r w:rsidR="00C23A9C" w:rsidRPr="00E16BFC">
          <w:rPr>
            <w:rStyle w:val="Hyperlink"/>
            <w:rFonts w:ascii="Calibri" w:hAnsi="Calibri"/>
          </w:rPr>
          <w:t>1675</w:t>
        </w:r>
      </w:hyperlink>
      <w:r w:rsidR="00714063">
        <w:t>).</w:t>
      </w:r>
      <w:r w:rsidR="00B21DC0">
        <w:t xml:space="preserve"> </w:t>
      </w:r>
      <w:r w:rsidR="005E1C34">
        <w:t>T</w:t>
      </w:r>
      <w:r w:rsidR="00B21DC0">
        <w:t xml:space="preserve">he assessment questions for PICO Set 2 are </w:t>
      </w:r>
      <w:r w:rsidR="00BD3D40">
        <w:t>presented</w:t>
      </w:r>
      <w:r w:rsidR="005E1C34" w:rsidRPr="005E1C34">
        <w:t xml:space="preserve"> </w:t>
      </w:r>
      <w:r w:rsidR="005E1C34">
        <w:t>based on this pragmatic approach</w:t>
      </w:r>
      <w:r w:rsidR="00BD3D40">
        <w:t xml:space="preserve">. It is noted that this approach </w:t>
      </w:r>
      <w:r w:rsidR="00392D9B">
        <w:t>may</w:t>
      </w:r>
      <w:r w:rsidR="00BD3D40">
        <w:t xml:space="preserve"> also appl</w:t>
      </w:r>
      <w:r w:rsidR="00392D9B">
        <w:t>y</w:t>
      </w:r>
      <w:r w:rsidR="00BD3D40">
        <w:t xml:space="preserve"> to </w:t>
      </w:r>
      <w:r w:rsidR="001126CE">
        <w:t xml:space="preserve">aspects of </w:t>
      </w:r>
      <w:r w:rsidR="00BD3D40">
        <w:t>Test 3 (</w:t>
      </w:r>
      <w:r w:rsidR="00BD3D40">
        <w:rPr>
          <w:i/>
          <w:iCs/>
        </w:rPr>
        <w:t xml:space="preserve">ADAMTS13 </w:t>
      </w:r>
      <w:r w:rsidR="00BD3D40">
        <w:t xml:space="preserve">genetic testing) for PICO Set 1. </w:t>
      </w:r>
      <w:r w:rsidR="005E1C34">
        <w:t xml:space="preserve">Although not a </w:t>
      </w:r>
      <w:r w:rsidR="00DD62D3">
        <w:t>gene panel, the approach may be suitable given the context within a</w:t>
      </w:r>
      <w:r w:rsidR="001D6391">
        <w:t xml:space="preserve">n assessment of a sequential testing strategy and given the small population likely to be tested. </w:t>
      </w:r>
      <w:r w:rsidR="00CA643E">
        <w:t>Based on this approach, questions related to health outcomes do not need to be addressed (question</w:t>
      </w:r>
      <w:r w:rsidR="0011609D">
        <w:t xml:space="preserve">s 3 and 7) as the </w:t>
      </w:r>
      <w:r w:rsidR="00EF67A8">
        <w:t xml:space="preserve">acceptable outcome of the </w:t>
      </w:r>
      <w:r w:rsidR="00EF67A8">
        <w:lastRenderedPageBreak/>
        <w:t xml:space="preserve">assessment is a cost per </w:t>
      </w:r>
      <w:r w:rsidR="00F7566C">
        <w:t>proband identified rather than cost per health outcomes.</w:t>
      </w:r>
      <w:r w:rsidR="00A171E0">
        <w:t xml:space="preserve"> Health outcomes will still need to be </w:t>
      </w:r>
      <w:r w:rsidR="0042088E">
        <w:t xml:space="preserve">addressed </w:t>
      </w:r>
      <w:r w:rsidR="00183987">
        <w:t>for the overall testing strategy for PICO Set 1.</w:t>
      </w:r>
    </w:p>
    <w:p w14:paraId="1889BD7F" w14:textId="2C641201" w:rsidR="00FF748D" w:rsidRPr="00FF748D" w:rsidRDefault="00FF748D" w:rsidP="00FF748D">
      <w:pPr>
        <w:pStyle w:val="ListParagraph"/>
        <w:numPr>
          <w:ilvl w:val="0"/>
          <w:numId w:val="30"/>
        </w:numPr>
        <w:ind w:left="1077" w:hanging="357"/>
        <w:contextualSpacing w:val="0"/>
      </w:pPr>
      <w:r w:rsidRPr="00FF748D">
        <w:t xml:space="preserve">What is the diagnostic yield of variant-specific testing to determine the presence of pathogenic </w:t>
      </w:r>
      <w:r w:rsidRPr="009C060B">
        <w:rPr>
          <w:i/>
        </w:rPr>
        <w:t xml:space="preserve">ADAMTS13 </w:t>
      </w:r>
      <w:r w:rsidRPr="00FF748D">
        <w:t xml:space="preserve">gene variant(s) that are causative for cTTP in a first-degree biological </w:t>
      </w:r>
      <w:r w:rsidR="00A94496">
        <w:t>sibling</w:t>
      </w:r>
      <w:r w:rsidR="00A94496" w:rsidRPr="00FF748D">
        <w:t xml:space="preserve"> </w:t>
      </w:r>
      <w:r w:rsidRPr="00FF748D">
        <w:t>of a patient with identified pathogenic variant(s) (homozygous or compound heterozygous)?</w:t>
      </w:r>
    </w:p>
    <w:p w14:paraId="4ED05D38" w14:textId="482BE729" w:rsidR="00BD3D40" w:rsidRDefault="00BD3D40" w:rsidP="00457C6E">
      <w:pPr>
        <w:pStyle w:val="ListParagraph"/>
        <w:numPr>
          <w:ilvl w:val="0"/>
          <w:numId w:val="30"/>
        </w:numPr>
        <w:ind w:left="1077" w:hanging="357"/>
        <w:contextualSpacing w:val="0"/>
      </w:pPr>
      <w:r>
        <w:t>Is there a change in management in individuals who undergo variant-specific testing?</w:t>
      </w:r>
    </w:p>
    <w:p w14:paraId="4EE6009B" w14:textId="161377B3" w:rsidR="00BD3D40" w:rsidRDefault="00BD3D40" w:rsidP="00457C6E">
      <w:pPr>
        <w:pStyle w:val="ListParagraph"/>
        <w:numPr>
          <w:ilvl w:val="0"/>
          <w:numId w:val="30"/>
        </w:numPr>
        <w:ind w:left="1077" w:hanging="357"/>
        <w:contextualSpacing w:val="0"/>
      </w:pPr>
      <w:r>
        <w:t xml:space="preserve">Does earlier treatment of </w:t>
      </w:r>
      <w:r w:rsidR="00A94496">
        <w:t xml:space="preserve">siblings </w:t>
      </w:r>
      <w:r>
        <w:t xml:space="preserve">who are non-symptomatic or </w:t>
      </w:r>
      <w:r w:rsidR="00A8583F" w:rsidRPr="00A8583F">
        <w:t xml:space="preserve">do not </w:t>
      </w:r>
      <w:r>
        <w:t xml:space="preserve">have </w:t>
      </w:r>
      <w:r w:rsidR="00A8583F" w:rsidRPr="00A8583F">
        <w:t>overt</w:t>
      </w:r>
      <w:r>
        <w:t xml:space="preserve"> symptoms and have inherited </w:t>
      </w:r>
      <w:r w:rsidRPr="00A8583F">
        <w:rPr>
          <w:i/>
        </w:rPr>
        <w:t>ADAMTS13</w:t>
      </w:r>
      <w:r>
        <w:t xml:space="preserve"> gene </w:t>
      </w:r>
      <w:r w:rsidR="00A8583F" w:rsidRPr="00A8583F">
        <w:t>variants (homozygous or compound heterozygous)</w:t>
      </w:r>
      <w:r>
        <w:t xml:space="preserve"> lead to better health outcomes compared </w:t>
      </w:r>
      <w:r w:rsidR="009C060B">
        <w:t xml:space="preserve">to delaying treatment </w:t>
      </w:r>
      <w:r w:rsidR="003913BF">
        <w:t>until</w:t>
      </w:r>
      <w:r w:rsidR="00A8583F" w:rsidRPr="00A8583F">
        <w:t xml:space="preserve"> </w:t>
      </w:r>
      <w:r>
        <w:t>the onset of symptoms?</w:t>
      </w:r>
    </w:p>
    <w:p w14:paraId="5761EEAA" w14:textId="03E3BE83" w:rsidR="00BD3D40" w:rsidRDefault="00BD3D40" w:rsidP="00457C6E">
      <w:pPr>
        <w:pStyle w:val="ListParagraph"/>
        <w:numPr>
          <w:ilvl w:val="0"/>
          <w:numId w:val="30"/>
        </w:numPr>
        <w:ind w:left="1077" w:hanging="357"/>
        <w:contextualSpacing w:val="0"/>
      </w:pPr>
      <w:r>
        <w:t xml:space="preserve">Will the information generated as a result of variant-specific testing be of additional value to </w:t>
      </w:r>
      <w:r w:rsidR="00A94496">
        <w:t xml:space="preserve">siblings </w:t>
      </w:r>
      <w:r>
        <w:t xml:space="preserve">with inherited pathogenic </w:t>
      </w:r>
      <w:r w:rsidRPr="009C060B">
        <w:rPr>
          <w:i/>
        </w:rPr>
        <w:t>ADAMTS13</w:t>
      </w:r>
      <w:r>
        <w:t xml:space="preserve"> gene variant</w:t>
      </w:r>
      <w:r w:rsidR="00F94A59">
        <w:t>(s)</w:t>
      </w:r>
      <w:r>
        <w:t xml:space="preserve"> even if there are not changes in management i.e. value of knowing?</w:t>
      </w:r>
    </w:p>
    <w:p w14:paraId="7BEB6443" w14:textId="531048B5" w:rsidR="00BD3D40" w:rsidRDefault="00BD3D40" w:rsidP="00457C6E">
      <w:pPr>
        <w:pStyle w:val="ListParagraph"/>
        <w:numPr>
          <w:ilvl w:val="0"/>
          <w:numId w:val="30"/>
        </w:numPr>
        <w:ind w:left="1077" w:hanging="357"/>
        <w:contextualSpacing w:val="0"/>
      </w:pPr>
      <w:r>
        <w:t xml:space="preserve">Are there any safety concerns with variant specific testing of first-degree </w:t>
      </w:r>
      <w:r w:rsidR="00A94496">
        <w:t xml:space="preserve">siblings </w:t>
      </w:r>
      <w:r>
        <w:t>at risk of having cTTP?</w:t>
      </w:r>
    </w:p>
    <w:p w14:paraId="28176D96" w14:textId="32C22C89" w:rsidR="009479D2" w:rsidRDefault="00BD3D40" w:rsidP="00457C6E">
      <w:pPr>
        <w:pStyle w:val="ListParagraph"/>
        <w:numPr>
          <w:ilvl w:val="0"/>
          <w:numId w:val="30"/>
        </w:numPr>
        <w:ind w:left="1077" w:hanging="357"/>
        <w:contextualSpacing w:val="0"/>
      </w:pPr>
      <w:r>
        <w:t xml:space="preserve">Are there any psychological harms from variant specific testing of first-degree </w:t>
      </w:r>
      <w:r w:rsidR="00A94496">
        <w:t xml:space="preserve">siblings </w:t>
      </w:r>
      <w:r>
        <w:t>at risk of having cTTP?</w:t>
      </w:r>
    </w:p>
    <w:p w14:paraId="03A33AE7" w14:textId="58B76C89" w:rsidR="009479D2" w:rsidRDefault="00903239" w:rsidP="00457C6E">
      <w:pPr>
        <w:pStyle w:val="ListParagraph"/>
        <w:numPr>
          <w:ilvl w:val="0"/>
          <w:numId w:val="30"/>
        </w:numPr>
        <w:ind w:left="1077" w:hanging="357"/>
        <w:contextualSpacing w:val="0"/>
      </w:pPr>
      <w:r>
        <w:t>Are there any safety concerns with targeted therapies compared to symptom-based therapies?</w:t>
      </w:r>
    </w:p>
    <w:p w14:paraId="237325DA" w14:textId="77777777" w:rsidR="00695898" w:rsidRDefault="00695898" w:rsidP="00022E2E"/>
    <w:p w14:paraId="0BC00D7B" w14:textId="4D56298A" w:rsidR="004E61B3" w:rsidRDefault="004E61B3" w:rsidP="004E61B3">
      <w:pPr>
        <w:pStyle w:val="Heading4"/>
      </w:pPr>
      <w:r>
        <w:t>PICO Set 3</w:t>
      </w:r>
    </w:p>
    <w:p w14:paraId="55BD21BB" w14:textId="77777777" w:rsidR="00AE4842" w:rsidRDefault="00AE4842" w:rsidP="00AE4842">
      <w:pPr>
        <w:keepNext/>
        <w:spacing w:after="0"/>
      </w:pPr>
      <w:r>
        <w:rPr>
          <w:noProof/>
        </w:rPr>
        <w:drawing>
          <wp:inline distT="0" distB="0" distL="0" distR="0" wp14:anchorId="5D4001BF" wp14:editId="5CC5FC29">
            <wp:extent cx="5772027" cy="2409246"/>
            <wp:effectExtent l="0" t="0" r="635" b="0"/>
            <wp:docPr id="394488926" name="Picture 5" descr="Flow diagram showing the link between the ADAMTS13 monitoring of the index patient and health outcomes for PICO Set 3, highlighting where evidence is to be sought to inform the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488926" name="Picture 5" descr="Flow diagram showing the link between the ADAMTS13 monitoring of the index patient and health outcomes for PICO Set 3, highlighting where evidence is to be sought to inform the evalu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85924" cy="2415047"/>
                    </a:xfrm>
                    <a:prstGeom prst="rect">
                      <a:avLst/>
                    </a:prstGeom>
                  </pic:spPr>
                </pic:pic>
              </a:graphicData>
            </a:graphic>
          </wp:inline>
        </w:drawing>
      </w:r>
    </w:p>
    <w:p w14:paraId="53C3E11E" w14:textId="01A0E0A1" w:rsidR="00AE4842" w:rsidRPr="007F2C4D" w:rsidRDefault="00AE4842" w:rsidP="00AE4842">
      <w:pPr>
        <w:pStyle w:val="Caption"/>
        <w:spacing w:before="0"/>
      </w:pPr>
      <w:r>
        <w:t xml:space="preserve">Figure </w:t>
      </w:r>
      <w:r>
        <w:fldChar w:fldCharType="begin"/>
      </w:r>
      <w:r>
        <w:instrText xml:space="preserve"> SEQ Figure \* ARABIC </w:instrText>
      </w:r>
      <w:r>
        <w:fldChar w:fldCharType="separate"/>
      </w:r>
      <w:r w:rsidR="00AE1C62">
        <w:rPr>
          <w:noProof/>
        </w:rPr>
        <w:t>4</w:t>
      </w:r>
      <w:r>
        <w:fldChar w:fldCharType="end"/>
      </w:r>
      <w:r>
        <w:tab/>
        <w:t xml:space="preserve">Assessment framework for PICO Set 3: Monitoring ADAMTS13 activity in TTP patients during </w:t>
      </w:r>
      <w:r>
        <w:rPr>
          <w:bCs/>
          <w:lang w:val="en-AU"/>
        </w:rPr>
        <w:t>the p</w:t>
      </w:r>
      <w:r w:rsidRPr="00E360C6">
        <w:rPr>
          <w:bCs/>
          <w:lang w:val="en-AU"/>
        </w:rPr>
        <w:t xml:space="preserve">ost-acute </w:t>
      </w:r>
      <w:r>
        <w:rPr>
          <w:bCs/>
          <w:lang w:val="en-AU"/>
        </w:rPr>
        <w:t xml:space="preserve">and </w:t>
      </w:r>
      <w:r w:rsidRPr="00E360C6">
        <w:rPr>
          <w:bCs/>
          <w:lang w:val="en-AU"/>
        </w:rPr>
        <w:t>remission</w:t>
      </w:r>
      <w:r>
        <w:rPr>
          <w:bCs/>
          <w:lang w:val="en-AU"/>
        </w:rPr>
        <w:t xml:space="preserve"> phases</w:t>
      </w:r>
    </w:p>
    <w:p w14:paraId="1CA0221A" w14:textId="77777777" w:rsidR="00AE4842" w:rsidRDefault="00AE4842" w:rsidP="00AE4842">
      <w:pPr>
        <w:pStyle w:val="Tablenotes"/>
        <w:spacing w:after="0"/>
        <w:rPr>
          <w:lang w:val="en-GB" w:eastAsia="ja-JP"/>
        </w:rPr>
      </w:pPr>
      <w:r>
        <w:rPr>
          <w:lang w:val="en-GB" w:eastAsia="ja-JP"/>
        </w:rPr>
        <w:t>Source: prepared by the assessment group.</w:t>
      </w:r>
    </w:p>
    <w:p w14:paraId="46490FFE" w14:textId="77777777" w:rsidR="00AE4842" w:rsidRDefault="00AE4842" w:rsidP="00AE4842">
      <w:pPr>
        <w:pStyle w:val="Tablenotes"/>
        <w:spacing w:after="0"/>
      </w:pPr>
      <w:r>
        <w:t>cTTP = congenital TTP; iTTP = immune-mediated TTP; PICO = Population, Intervention, Comparator, Outcomes; TTP = thrombotic thrombocytopenic purpura; Tx = treatment.</w:t>
      </w:r>
    </w:p>
    <w:p w14:paraId="6484CD19" w14:textId="7F42F017" w:rsidR="00AE4842" w:rsidRPr="00AE4842" w:rsidRDefault="00775708" w:rsidP="00AE4842">
      <w:pPr>
        <w:pStyle w:val="Tablenotes"/>
        <w:spacing w:after="0"/>
      </w:pPr>
      <w:r>
        <w:t>Figure</w:t>
      </w:r>
      <w:r w:rsidR="00AE4842">
        <w:t xml:space="preserve"> notes: </w:t>
      </w:r>
      <w:r w:rsidR="00AE4842" w:rsidRPr="000C1290">
        <w:t xml:space="preserve">1: </w:t>
      </w:r>
      <w:r w:rsidR="00AE4842" w:rsidRPr="00DC638B">
        <w:t>direct from test to health outcomes evidence</w:t>
      </w:r>
      <w:r w:rsidR="00AE4842" w:rsidRPr="000C1290">
        <w:t xml:space="preserve">; 2: </w:t>
      </w:r>
      <w:r w:rsidR="00AE4842">
        <w:t xml:space="preserve">test accuracy; 3: </w:t>
      </w:r>
      <w:r w:rsidR="00AE4842" w:rsidRPr="000C1290">
        <w:t xml:space="preserve">change in management; </w:t>
      </w:r>
      <w:r w:rsidR="00AE4842">
        <w:t>4</w:t>
      </w:r>
      <w:r w:rsidR="00AE4842" w:rsidRPr="000C1290">
        <w:t>: health outcomes; 5: adverse events due to testing; 6: adverse events due to treatment.</w:t>
      </w:r>
    </w:p>
    <w:p w14:paraId="7CF16C0A" w14:textId="77777777" w:rsidR="007F2C4D" w:rsidRDefault="007F2C4D" w:rsidP="007F2C4D">
      <w:pPr>
        <w:pStyle w:val="Heading5"/>
      </w:pPr>
      <w:r>
        <w:t>Direct evidence</w:t>
      </w:r>
    </w:p>
    <w:p w14:paraId="54CAC3A0" w14:textId="54B4E2AB" w:rsidR="007F2C4D" w:rsidRDefault="007F2C4D" w:rsidP="00670C91">
      <w:pPr>
        <w:pStyle w:val="ListParagraph"/>
        <w:numPr>
          <w:ilvl w:val="0"/>
          <w:numId w:val="32"/>
        </w:numPr>
        <w:spacing w:after="0"/>
      </w:pPr>
      <w:r>
        <w:t xml:space="preserve">In patients with a confirmed diagnosis of TTP does the use of ADAMTS13 activity testing to predict </w:t>
      </w:r>
      <w:r w:rsidR="00325514" w:rsidRPr="00325514">
        <w:t xml:space="preserve">exacerbation and </w:t>
      </w:r>
      <w:r>
        <w:t xml:space="preserve">relapse result in </w:t>
      </w:r>
      <w:r w:rsidR="007F38DB">
        <w:t>improved health outcomes</w:t>
      </w:r>
      <w:r>
        <w:t xml:space="preserve"> compared to no </w:t>
      </w:r>
      <w:r w:rsidR="007F38DB">
        <w:t xml:space="preserve">ADAMTS13 </w:t>
      </w:r>
      <w:r w:rsidR="000B04E8">
        <w:t xml:space="preserve">activity </w:t>
      </w:r>
      <w:r>
        <w:t>testing?</w:t>
      </w:r>
    </w:p>
    <w:p w14:paraId="01BFC50B" w14:textId="77777777" w:rsidR="007F2C4D" w:rsidRDefault="007F2C4D" w:rsidP="00670C91">
      <w:pPr>
        <w:pStyle w:val="Heading5"/>
        <w:spacing w:before="0"/>
      </w:pPr>
      <w:r>
        <w:lastRenderedPageBreak/>
        <w:t>Indirect evidence</w:t>
      </w:r>
    </w:p>
    <w:p w14:paraId="1C702458" w14:textId="515DAC68" w:rsidR="004A69BC" w:rsidRDefault="007F2C4D" w:rsidP="003F0E9A">
      <w:pPr>
        <w:pStyle w:val="ListParagraph"/>
        <w:numPr>
          <w:ilvl w:val="0"/>
          <w:numId w:val="32"/>
        </w:numPr>
        <w:ind w:left="1083" w:hanging="357"/>
        <w:contextualSpacing w:val="0"/>
      </w:pPr>
      <w:r>
        <w:t xml:space="preserve">In patients with a confirmed diagnosis of TTP how does the information from ADAMTS13 activity testing differ from the information obtained without ADAMTS13 activity testing? </w:t>
      </w:r>
    </w:p>
    <w:p w14:paraId="29C5231D" w14:textId="77777777" w:rsidR="00B831CC" w:rsidRDefault="007F2C4D" w:rsidP="003F0E9A">
      <w:pPr>
        <w:pStyle w:val="ListParagraph"/>
        <w:numPr>
          <w:ilvl w:val="1"/>
          <w:numId w:val="32"/>
        </w:numPr>
        <w:ind w:left="1797" w:hanging="357"/>
      </w:pPr>
      <w:r>
        <w:t>What is the prognostic value of ADAMTS13 activity testing for predicting TTP exacerbation?</w:t>
      </w:r>
    </w:p>
    <w:p w14:paraId="29921C80" w14:textId="34D61470" w:rsidR="004A69BC" w:rsidRDefault="007F2C4D" w:rsidP="001146A0">
      <w:pPr>
        <w:pStyle w:val="ListParagraph"/>
        <w:numPr>
          <w:ilvl w:val="1"/>
          <w:numId w:val="32"/>
        </w:numPr>
        <w:ind w:hanging="357"/>
        <w:contextualSpacing w:val="0"/>
      </w:pPr>
      <w:r>
        <w:t>What is the prognostic value of ADAMTS13 activity testing for predicting TTP relapse?</w:t>
      </w:r>
    </w:p>
    <w:p w14:paraId="0AF87FC6" w14:textId="17208D75" w:rsidR="004A69BC" w:rsidRDefault="007F2C4D" w:rsidP="001146A0">
      <w:pPr>
        <w:pStyle w:val="ListParagraph"/>
        <w:numPr>
          <w:ilvl w:val="0"/>
          <w:numId w:val="32"/>
        </w:numPr>
        <w:ind w:hanging="357"/>
        <w:contextualSpacing w:val="0"/>
      </w:pPr>
      <w:r>
        <w:t>Does the information from ADAMTS13 activity testing lead to a change of management compared to no ADAMTS13 activity testing?</w:t>
      </w:r>
    </w:p>
    <w:p w14:paraId="7F320998" w14:textId="6FF96B8D" w:rsidR="004A69BC" w:rsidRDefault="007F2C4D" w:rsidP="001146A0">
      <w:pPr>
        <w:pStyle w:val="ListParagraph"/>
        <w:numPr>
          <w:ilvl w:val="0"/>
          <w:numId w:val="32"/>
        </w:numPr>
        <w:ind w:hanging="357"/>
        <w:contextualSpacing w:val="0"/>
      </w:pPr>
      <w:r>
        <w:t>Do the differences in management derived from the test (e.g. initiation of treatment to prevent exacerbation/relapse) lead to improved health outcomes compared to treatment based on symptoms alone?</w:t>
      </w:r>
    </w:p>
    <w:p w14:paraId="42F1D6B9" w14:textId="51B17F3D" w:rsidR="004A69BC" w:rsidRDefault="007F2C4D" w:rsidP="001146A0">
      <w:pPr>
        <w:pStyle w:val="ListParagraph"/>
        <w:numPr>
          <w:ilvl w:val="0"/>
          <w:numId w:val="32"/>
        </w:numPr>
        <w:ind w:hanging="357"/>
        <w:contextualSpacing w:val="0"/>
      </w:pPr>
      <w:r>
        <w:t xml:space="preserve">What are the (direct) </w:t>
      </w:r>
      <w:r w:rsidR="00600FD0">
        <w:t>adverse events</w:t>
      </w:r>
      <w:r>
        <w:t xml:space="preserve"> associated with ADAMTS13 </w:t>
      </w:r>
      <w:r w:rsidR="000B04E8">
        <w:t>activity</w:t>
      </w:r>
      <w:r>
        <w:t xml:space="preserve"> testing</w:t>
      </w:r>
      <w:r w:rsidR="000B04E8">
        <w:t xml:space="preserve"> for monitoring</w:t>
      </w:r>
      <w:r>
        <w:t>?</w:t>
      </w:r>
    </w:p>
    <w:p w14:paraId="7FFFC9D2" w14:textId="577725F4" w:rsidR="00C946B0" w:rsidRDefault="007F2C4D" w:rsidP="0069545F">
      <w:pPr>
        <w:pStyle w:val="ListParagraph"/>
        <w:numPr>
          <w:ilvl w:val="0"/>
          <w:numId w:val="32"/>
        </w:numPr>
        <w:ind w:hanging="357"/>
        <w:contextualSpacing w:val="0"/>
      </w:pPr>
      <w:r>
        <w:t xml:space="preserve">What are the </w:t>
      </w:r>
      <w:r w:rsidR="00600FD0">
        <w:t>adverse events</w:t>
      </w:r>
      <w:r>
        <w:t xml:space="preserve"> associated with the treatments/interventions that lead from the management decisions informed by the test?</w:t>
      </w:r>
    </w:p>
    <w:p w14:paraId="6069F0B5" w14:textId="45F95B7B" w:rsidR="00D73332" w:rsidRDefault="00D73332" w:rsidP="00670C91">
      <w:pPr>
        <w:pStyle w:val="Heading2"/>
        <w:spacing w:before="240"/>
      </w:pPr>
      <w:r w:rsidRPr="00490FBB">
        <w:t>Clinical management algorithms</w:t>
      </w:r>
    </w:p>
    <w:p w14:paraId="46F13684" w14:textId="3B660F69" w:rsidR="00425D88" w:rsidRDefault="00425D88" w:rsidP="00425D88">
      <w:pPr>
        <w:pStyle w:val="Heading4"/>
      </w:pPr>
      <w:r>
        <w:t>Current clinical management</w:t>
      </w:r>
    </w:p>
    <w:p w14:paraId="3EEE3C98" w14:textId="57E92E76" w:rsidR="004D3D50" w:rsidRDefault="000B2C97" w:rsidP="001211D3">
      <w:pPr>
        <w:spacing w:after="0"/>
      </w:pPr>
      <w:r>
        <w:t>TMA is d</w:t>
      </w:r>
      <w:r w:rsidR="0034532F">
        <w:t>efined by:</w:t>
      </w:r>
    </w:p>
    <w:p w14:paraId="3622E031" w14:textId="6F6FB741" w:rsidR="0034532F" w:rsidRDefault="00F536DF" w:rsidP="0034532F">
      <w:pPr>
        <w:pStyle w:val="ListParagraph"/>
        <w:numPr>
          <w:ilvl w:val="0"/>
          <w:numId w:val="33"/>
        </w:numPr>
      </w:pPr>
      <w:r>
        <w:t>thrombocytopenia</w:t>
      </w:r>
    </w:p>
    <w:p w14:paraId="14DE519B" w14:textId="342640D8" w:rsidR="0034532F" w:rsidRDefault="00F536DF" w:rsidP="00DD57EC">
      <w:pPr>
        <w:pStyle w:val="ListParagraph"/>
        <w:numPr>
          <w:ilvl w:val="0"/>
          <w:numId w:val="33"/>
        </w:numPr>
      </w:pPr>
      <w:r>
        <w:t>microangiopathic</w:t>
      </w:r>
      <w:r w:rsidR="00E3726B">
        <w:t xml:space="preserve"> </w:t>
      </w:r>
      <w:r w:rsidR="00161A92">
        <w:t>haemolytic anaemia</w:t>
      </w:r>
      <w:r w:rsidR="00DD57EC">
        <w:t xml:space="preserve"> (M</w:t>
      </w:r>
      <w:r w:rsidR="002C5B50">
        <w:t>A</w:t>
      </w:r>
      <w:r w:rsidR="00DD57EC">
        <w:t>HA)</w:t>
      </w:r>
      <w:r w:rsidR="00161A92">
        <w:t xml:space="preserve"> with red cell fragments </w:t>
      </w:r>
      <w:r w:rsidR="00DD57EC">
        <w:t>(schistocytes)</w:t>
      </w:r>
    </w:p>
    <w:p w14:paraId="5808F326" w14:textId="34664C51" w:rsidR="005A65DF" w:rsidRDefault="00F536DF" w:rsidP="001A08A6">
      <w:pPr>
        <w:pStyle w:val="ListParagraph"/>
        <w:numPr>
          <w:ilvl w:val="0"/>
          <w:numId w:val="33"/>
        </w:numPr>
      </w:pPr>
      <w:r>
        <w:t>the</w:t>
      </w:r>
      <w:r w:rsidR="00DD57EC">
        <w:t xml:space="preserve"> clinical and </w:t>
      </w:r>
      <w:r w:rsidR="00F3030E">
        <w:t>laboratory</w:t>
      </w:r>
      <w:r w:rsidR="00DD57EC">
        <w:t xml:space="preserve"> abnormalities attributable to organ-specific dysfunction (Fox et al. 20</w:t>
      </w:r>
      <w:r w:rsidR="0094452E">
        <w:t>18)</w:t>
      </w:r>
      <w:r w:rsidR="00DD57EC">
        <w:t>.</w:t>
      </w:r>
    </w:p>
    <w:p w14:paraId="7CFBD19A" w14:textId="4379F20C" w:rsidR="001A08A6" w:rsidRDefault="001A08A6" w:rsidP="003F0E9A">
      <w:pPr>
        <w:spacing w:after="120"/>
      </w:pPr>
      <w:r>
        <w:t>Patients with TMA are likely to present with an abrupt onset of symptoms (</w:t>
      </w:r>
      <w:r>
        <w:fldChar w:fldCharType="begin"/>
      </w:r>
      <w:r>
        <w:instrText xml:space="preserve"> REF _Ref192683851 \h </w:instrText>
      </w:r>
      <w:r>
        <w:fldChar w:fldCharType="separate"/>
      </w:r>
      <w:r w:rsidR="00AE1C62">
        <w:t xml:space="preserve">Table </w:t>
      </w:r>
      <w:r w:rsidR="00AE1C62">
        <w:rPr>
          <w:noProof/>
        </w:rPr>
        <w:t>7</w:t>
      </w:r>
      <w:r>
        <w:fldChar w:fldCharType="end"/>
      </w:r>
      <w:r>
        <w:t>) caused by the pathological process of platelet aggregation and thrombus formation in small blood vessels.</w:t>
      </w:r>
    </w:p>
    <w:p w14:paraId="426F606C" w14:textId="5D2E6CC8" w:rsidR="0065684D" w:rsidRPr="004D3D50" w:rsidRDefault="00E51CBE" w:rsidP="00670C91">
      <w:pPr>
        <w:pStyle w:val="Caption"/>
        <w:spacing w:before="120"/>
      </w:pPr>
      <w:bookmarkStart w:id="11" w:name="_Ref192683851"/>
      <w:r>
        <w:t xml:space="preserve">Table </w:t>
      </w:r>
      <w:r>
        <w:fldChar w:fldCharType="begin"/>
      </w:r>
      <w:r>
        <w:instrText xml:space="preserve"> SEQ Table \* ARABIC </w:instrText>
      </w:r>
      <w:r>
        <w:fldChar w:fldCharType="separate"/>
      </w:r>
      <w:r w:rsidR="004A69B0">
        <w:rPr>
          <w:noProof/>
        </w:rPr>
        <w:t>7</w:t>
      </w:r>
      <w:r>
        <w:fldChar w:fldCharType="end"/>
      </w:r>
      <w:bookmarkEnd w:id="11"/>
      <w:r>
        <w:tab/>
      </w:r>
      <w:r w:rsidR="00A74035" w:rsidRPr="00A74035">
        <w:t>Presenting clinical features and signs in acute TTP</w:t>
      </w:r>
    </w:p>
    <w:tbl>
      <w:tblPr>
        <w:tblStyle w:val="TableGrid"/>
        <w:tblW w:w="0" w:type="auto"/>
        <w:tblInd w:w="0" w:type="dxa"/>
        <w:tblLook w:val="04A0" w:firstRow="1" w:lastRow="0" w:firstColumn="1" w:lastColumn="0" w:noHBand="0" w:noVBand="1"/>
      </w:tblPr>
      <w:tblGrid>
        <w:gridCol w:w="9571"/>
      </w:tblGrid>
      <w:tr w:rsidR="0037203F" w:rsidRPr="0037203F" w14:paraId="58444871" w14:textId="77777777" w:rsidTr="0037203F">
        <w:tc>
          <w:tcPr>
            <w:tcW w:w="9571" w:type="dxa"/>
          </w:tcPr>
          <w:p w14:paraId="2E5D9C5C" w14:textId="35E0A787" w:rsidR="0037203F" w:rsidRPr="00E51CBE" w:rsidRDefault="00A74035" w:rsidP="00C95EFE">
            <w:pPr>
              <w:pStyle w:val="TableText0"/>
              <w:rPr>
                <w:b/>
                <w:bCs/>
              </w:rPr>
            </w:pPr>
            <w:r w:rsidRPr="00E51CBE">
              <w:rPr>
                <w:b/>
                <w:bCs/>
              </w:rPr>
              <w:t xml:space="preserve">Clinical </w:t>
            </w:r>
            <w:r w:rsidR="00E51CBE" w:rsidRPr="00E51CBE">
              <w:rPr>
                <w:b/>
                <w:bCs/>
              </w:rPr>
              <w:t>features and signs</w:t>
            </w:r>
          </w:p>
        </w:tc>
      </w:tr>
      <w:tr w:rsidR="0037203F" w:rsidRPr="0037203F" w14:paraId="4F3D5DAE" w14:textId="77777777" w:rsidTr="0037203F">
        <w:tc>
          <w:tcPr>
            <w:tcW w:w="9571" w:type="dxa"/>
          </w:tcPr>
          <w:p w14:paraId="050C985A" w14:textId="7FEEC6A2" w:rsidR="0037203F" w:rsidRPr="0037203F" w:rsidRDefault="0037203F" w:rsidP="00C95EFE">
            <w:pPr>
              <w:pStyle w:val="TableText0"/>
            </w:pPr>
            <w:r w:rsidRPr="00816F95">
              <w:rPr>
                <w:b/>
                <w:bCs/>
              </w:rPr>
              <w:t>Thrombocytopenia</w:t>
            </w:r>
            <w:r w:rsidRPr="0068308F">
              <w:rPr>
                <w:b/>
                <w:bCs/>
              </w:rPr>
              <w:t>:</w:t>
            </w:r>
            <w:r w:rsidRPr="0037203F">
              <w:t xml:space="preserve"> </w:t>
            </w:r>
            <w:r w:rsidR="00A74035" w:rsidRPr="0037203F">
              <w:t>epistaxis</w:t>
            </w:r>
            <w:r w:rsidRPr="0037203F">
              <w:t xml:space="preserve">, bruising, petechiae, gingival bleeding, haematuria, </w:t>
            </w:r>
            <w:r w:rsidR="00A17AE9">
              <w:t>heavy menst</w:t>
            </w:r>
            <w:r w:rsidR="00AB4413">
              <w:t>rual bleeding</w:t>
            </w:r>
            <w:r w:rsidRPr="0037203F">
              <w:t>, gastrointestinal bleeding, retinal haemorrhage and haemoptysis</w:t>
            </w:r>
          </w:p>
        </w:tc>
      </w:tr>
      <w:tr w:rsidR="0037203F" w:rsidRPr="0037203F" w14:paraId="2945EABB" w14:textId="77777777" w:rsidTr="0037203F">
        <w:tc>
          <w:tcPr>
            <w:tcW w:w="9571" w:type="dxa"/>
          </w:tcPr>
          <w:p w14:paraId="003FC3C4" w14:textId="3D471E29" w:rsidR="0037203F" w:rsidRPr="0037203F" w:rsidRDefault="0037203F" w:rsidP="00C95EFE">
            <w:pPr>
              <w:pStyle w:val="TableText0"/>
            </w:pPr>
            <w:r w:rsidRPr="00816F95">
              <w:rPr>
                <w:b/>
                <w:bCs/>
              </w:rPr>
              <w:t xml:space="preserve">Central </w:t>
            </w:r>
            <w:r w:rsidRPr="0068308F">
              <w:rPr>
                <w:b/>
                <w:bCs/>
              </w:rPr>
              <w:t>neurological</w:t>
            </w:r>
            <w:r w:rsidR="0068308F">
              <w:rPr>
                <w:b/>
                <w:bCs/>
              </w:rPr>
              <w:t>:</w:t>
            </w:r>
            <w:r w:rsidR="00A74035" w:rsidRPr="0068308F">
              <w:t xml:space="preserve"> (</w:t>
            </w:r>
            <w:r w:rsidRPr="0037203F">
              <w:t>often flitting and variable 70%–80%</w:t>
            </w:r>
            <w:r w:rsidR="00A74035">
              <w:t>)</w:t>
            </w:r>
            <w:r w:rsidRPr="0037203F">
              <w:t xml:space="preserve">: </w:t>
            </w:r>
            <w:r w:rsidR="00A74035" w:rsidRPr="0037203F">
              <w:t>confusion</w:t>
            </w:r>
            <w:r w:rsidRPr="0037203F">
              <w:t>, headache, paresis, seizures, aphasia, dysarthria, visual abnormalities, encephalopathy, coma (10%)</w:t>
            </w:r>
          </w:p>
        </w:tc>
      </w:tr>
      <w:tr w:rsidR="0037203F" w:rsidRPr="0037203F" w14:paraId="21EA5559" w14:textId="77777777" w:rsidTr="0037203F">
        <w:tc>
          <w:tcPr>
            <w:tcW w:w="9571" w:type="dxa"/>
          </w:tcPr>
          <w:p w14:paraId="7A4AC812" w14:textId="0388B2A0" w:rsidR="0037203F" w:rsidRPr="00816F95" w:rsidRDefault="0037203F" w:rsidP="00C95EFE">
            <w:pPr>
              <w:pStyle w:val="TableText0"/>
              <w:rPr>
                <w:b/>
                <w:bCs/>
              </w:rPr>
            </w:pPr>
            <w:r w:rsidRPr="00816F95">
              <w:rPr>
                <w:b/>
                <w:bCs/>
              </w:rPr>
              <w:t>Fever</w:t>
            </w:r>
            <w:r w:rsidR="00816F95">
              <w:rPr>
                <w:b/>
                <w:bCs/>
              </w:rPr>
              <w:t>:</w:t>
            </w:r>
            <w:r w:rsidRPr="00816F95">
              <w:rPr>
                <w:b/>
                <w:bCs/>
              </w:rPr>
              <w:t xml:space="preserve"> </w:t>
            </w:r>
            <w:r w:rsidRPr="00816F95">
              <w:t>(&gt;37.5°C)</w:t>
            </w:r>
          </w:p>
        </w:tc>
      </w:tr>
      <w:tr w:rsidR="0037203F" w:rsidRPr="0037203F" w14:paraId="61CB29CB" w14:textId="77777777" w:rsidTr="0037203F">
        <w:tc>
          <w:tcPr>
            <w:tcW w:w="9571" w:type="dxa"/>
          </w:tcPr>
          <w:p w14:paraId="35D90615" w14:textId="23CB91C2" w:rsidR="0037203F" w:rsidRPr="0037203F" w:rsidRDefault="0037203F" w:rsidP="00C95EFE">
            <w:pPr>
              <w:pStyle w:val="TableText0"/>
            </w:pPr>
            <w:r w:rsidRPr="00970A43">
              <w:rPr>
                <w:b/>
                <w:bCs/>
              </w:rPr>
              <w:t>Non-specific symptoms</w:t>
            </w:r>
            <w:r w:rsidRPr="0068308F">
              <w:rPr>
                <w:b/>
                <w:bCs/>
              </w:rPr>
              <w:t>:</w:t>
            </w:r>
            <w:r w:rsidRPr="0037203F">
              <w:t xml:space="preserve"> </w:t>
            </w:r>
            <w:r w:rsidR="00A74035" w:rsidRPr="0037203F">
              <w:t>pallor</w:t>
            </w:r>
            <w:r w:rsidRPr="0037203F">
              <w:t>, jaundice, fatigue, arthralgia, myalgia</w:t>
            </w:r>
          </w:p>
        </w:tc>
      </w:tr>
      <w:tr w:rsidR="0037203F" w:rsidRPr="0037203F" w14:paraId="47FA9373" w14:textId="77777777" w:rsidTr="0037203F">
        <w:tc>
          <w:tcPr>
            <w:tcW w:w="9571" w:type="dxa"/>
          </w:tcPr>
          <w:p w14:paraId="4A0F4C9A" w14:textId="1063C495" w:rsidR="0037203F" w:rsidRPr="0037203F" w:rsidRDefault="0037203F" w:rsidP="00C95EFE">
            <w:pPr>
              <w:pStyle w:val="TableText0"/>
            </w:pPr>
            <w:r w:rsidRPr="00970A43">
              <w:rPr>
                <w:b/>
                <w:bCs/>
              </w:rPr>
              <w:t>Jaundice</w:t>
            </w:r>
            <w:r w:rsidRPr="0068308F">
              <w:rPr>
                <w:b/>
                <w:bCs/>
              </w:rPr>
              <w:t>:</w:t>
            </w:r>
            <w:r w:rsidRPr="0037203F">
              <w:t xml:space="preserve"> </w:t>
            </w:r>
            <w:r w:rsidR="00A74035" w:rsidRPr="0037203F">
              <w:t xml:space="preserve">unconjugated </w:t>
            </w:r>
            <w:r w:rsidRPr="0037203F">
              <w:t>hyperbilirubinaemia, resulting from haemolysis</w:t>
            </w:r>
          </w:p>
        </w:tc>
      </w:tr>
      <w:tr w:rsidR="0037203F" w:rsidRPr="0037203F" w14:paraId="1CB67C97" w14:textId="77777777" w:rsidTr="0037203F">
        <w:tc>
          <w:tcPr>
            <w:tcW w:w="9571" w:type="dxa"/>
          </w:tcPr>
          <w:p w14:paraId="72F78501" w14:textId="3F9DD60D" w:rsidR="0037203F" w:rsidRPr="0037203F" w:rsidRDefault="0037203F" w:rsidP="00C95EFE">
            <w:pPr>
              <w:pStyle w:val="TableText0"/>
            </w:pPr>
            <w:r w:rsidRPr="00970A43">
              <w:rPr>
                <w:b/>
                <w:bCs/>
              </w:rPr>
              <w:t>Renal impairment</w:t>
            </w:r>
            <w:r w:rsidR="0068308F" w:rsidRPr="0068308F">
              <w:rPr>
                <w:b/>
                <w:bCs/>
              </w:rPr>
              <w:t>:</w:t>
            </w:r>
            <w:r w:rsidRPr="0037203F">
              <w:t xml:space="preserve"> </w:t>
            </w:r>
            <w:r w:rsidR="00A74035" w:rsidRPr="0037203F">
              <w:t>proteinuria</w:t>
            </w:r>
            <w:r w:rsidRPr="0037203F">
              <w:t>, microhaematuria</w:t>
            </w:r>
          </w:p>
        </w:tc>
      </w:tr>
      <w:tr w:rsidR="0037203F" w:rsidRPr="0037203F" w14:paraId="7E00F122" w14:textId="77777777" w:rsidTr="0037203F">
        <w:tc>
          <w:tcPr>
            <w:tcW w:w="9571" w:type="dxa"/>
          </w:tcPr>
          <w:p w14:paraId="1FD65ED6" w14:textId="7181E61A" w:rsidR="0037203F" w:rsidRPr="0037203F" w:rsidRDefault="0037203F" w:rsidP="00C95EFE">
            <w:pPr>
              <w:pStyle w:val="TableText0"/>
            </w:pPr>
            <w:r w:rsidRPr="00970A43">
              <w:rPr>
                <w:b/>
                <w:bCs/>
              </w:rPr>
              <w:t>Cardiac</w:t>
            </w:r>
            <w:r w:rsidRPr="0068308F">
              <w:rPr>
                <w:b/>
                <w:bCs/>
              </w:rPr>
              <w:t>:</w:t>
            </w:r>
            <w:r w:rsidRPr="0037203F">
              <w:t xml:space="preserve"> </w:t>
            </w:r>
            <w:r w:rsidR="00A74035" w:rsidRPr="0037203F">
              <w:t xml:space="preserve">chest </w:t>
            </w:r>
            <w:r w:rsidRPr="0037203F">
              <w:t>pain, heart failure, hypotension, myocardial infarction, acute cardiac arrest</w:t>
            </w:r>
          </w:p>
        </w:tc>
      </w:tr>
      <w:tr w:rsidR="0037203F" w:rsidRPr="0037203F" w14:paraId="10B84148" w14:textId="77777777" w:rsidTr="0037203F">
        <w:tc>
          <w:tcPr>
            <w:tcW w:w="9571" w:type="dxa"/>
          </w:tcPr>
          <w:p w14:paraId="052FAACE" w14:textId="7DE550DB" w:rsidR="0037203F" w:rsidRPr="0037203F" w:rsidRDefault="0037203F" w:rsidP="00C95EFE">
            <w:pPr>
              <w:pStyle w:val="TableText0"/>
            </w:pPr>
            <w:r w:rsidRPr="00970A43">
              <w:rPr>
                <w:b/>
                <w:bCs/>
              </w:rPr>
              <w:t>Gastrointestinal tract</w:t>
            </w:r>
            <w:r w:rsidRPr="0068308F">
              <w:rPr>
                <w:b/>
                <w:bCs/>
              </w:rPr>
              <w:t>:</w:t>
            </w:r>
            <w:r w:rsidRPr="0037203F">
              <w:t xml:space="preserve"> </w:t>
            </w:r>
            <w:r w:rsidR="00A74035" w:rsidRPr="0037203F">
              <w:t xml:space="preserve">abdominal </w:t>
            </w:r>
            <w:r w:rsidRPr="0037203F">
              <w:t>pain, pancreatitis, gut ischaemia</w:t>
            </w:r>
          </w:p>
        </w:tc>
      </w:tr>
    </w:tbl>
    <w:p w14:paraId="4ACCB1EC" w14:textId="61AD0F65" w:rsidR="007437D1" w:rsidRDefault="00970A43" w:rsidP="002527DB">
      <w:pPr>
        <w:pStyle w:val="Tablenotes"/>
        <w:spacing w:after="0"/>
      </w:pPr>
      <w:r>
        <w:t xml:space="preserve">Source: </w:t>
      </w:r>
      <w:r w:rsidRPr="0037203F">
        <w:t>adapted from Table 2 of Scully et al. 2023, p547</w:t>
      </w:r>
    </w:p>
    <w:p w14:paraId="44F4A00E" w14:textId="2F55D409" w:rsidR="00C55C62" w:rsidRDefault="00C55C62" w:rsidP="00970A43">
      <w:pPr>
        <w:pStyle w:val="Tablenotes"/>
        <w:spacing w:after="240"/>
      </w:pPr>
      <w:r>
        <w:t xml:space="preserve">TTP = </w:t>
      </w:r>
      <w:r w:rsidR="00FA48C9" w:rsidRPr="00FA48C9">
        <w:t>thrombotic thrombocytopenic purpura</w:t>
      </w:r>
      <w:r w:rsidR="002527DB">
        <w:t>.</w:t>
      </w:r>
    </w:p>
    <w:p w14:paraId="4AE147B0" w14:textId="31796F5D" w:rsidR="00B3399B" w:rsidRDefault="00F0023E" w:rsidP="00270E57">
      <w:r>
        <w:t>Historically, T</w:t>
      </w:r>
      <w:r w:rsidR="00130261">
        <w:t xml:space="preserve">MA </w:t>
      </w:r>
      <w:r w:rsidR="00836F9C">
        <w:t xml:space="preserve">was </w:t>
      </w:r>
      <w:r w:rsidR="00ED288E">
        <w:t>divided into two syndromes</w:t>
      </w:r>
      <w:r w:rsidR="00B365F3">
        <w:t>:</w:t>
      </w:r>
      <w:r w:rsidR="00ED288E">
        <w:t xml:space="preserve"> T</w:t>
      </w:r>
      <w:r w:rsidR="00184DF6">
        <w:t>T</w:t>
      </w:r>
      <w:r w:rsidR="00ED288E">
        <w:t>P and HUS on the basis of clinical and laboratory features</w:t>
      </w:r>
      <w:r w:rsidR="00D335F6">
        <w:t>.</w:t>
      </w:r>
      <w:r w:rsidR="006E1370">
        <w:t xml:space="preserve"> </w:t>
      </w:r>
      <w:r w:rsidR="00D335F6">
        <w:t xml:space="preserve">However, </w:t>
      </w:r>
      <w:r w:rsidR="00C630C8">
        <w:t xml:space="preserve">this has </w:t>
      </w:r>
      <w:r w:rsidR="00E621BB">
        <w:t>evolved</w:t>
      </w:r>
      <w:r w:rsidR="00C630C8">
        <w:t xml:space="preserve"> </w:t>
      </w:r>
      <w:r w:rsidR="006E05B3">
        <w:t>with the discovery of</w:t>
      </w:r>
      <w:r w:rsidR="00941295">
        <w:t xml:space="preserve"> underlying genetic and molecular </w:t>
      </w:r>
      <w:r w:rsidR="00C972BD">
        <w:t>mechanisms</w:t>
      </w:r>
      <w:r w:rsidR="00DC3C76">
        <w:t>.</w:t>
      </w:r>
    </w:p>
    <w:p w14:paraId="461BF026" w14:textId="32E25793" w:rsidR="00C316DE" w:rsidRDefault="00D14609" w:rsidP="00270E57">
      <w:bookmarkStart w:id="12" w:name="_Ref192507092"/>
      <w:r>
        <w:lastRenderedPageBreak/>
        <w:t xml:space="preserve">Patients presenting with symptoms undergo </w:t>
      </w:r>
      <w:r w:rsidR="008A4921">
        <w:t>a series of</w:t>
      </w:r>
      <w:r w:rsidR="00E77A05">
        <w:t xml:space="preserve"> tests to rule </w:t>
      </w:r>
      <w:r w:rsidR="00EC759D">
        <w:t>out</w:t>
      </w:r>
      <w:r w:rsidR="00657609">
        <w:t xml:space="preserve"> alternative </w:t>
      </w:r>
      <w:r w:rsidR="00E02144">
        <w:t>pathologies and to assess the probability of TTP</w:t>
      </w:r>
      <w:r w:rsidR="006638B9">
        <w:t xml:space="preserve"> (</w:t>
      </w:r>
      <w:r w:rsidR="00221517">
        <w:fldChar w:fldCharType="begin"/>
      </w:r>
      <w:r w:rsidR="00221517">
        <w:instrText xml:space="preserve"> REF _Ref192507101 \h </w:instrText>
      </w:r>
      <w:r w:rsidR="00221517">
        <w:fldChar w:fldCharType="separate"/>
      </w:r>
      <w:r w:rsidR="00AE1C62">
        <w:t xml:space="preserve">Table </w:t>
      </w:r>
      <w:r w:rsidR="00AE1C62">
        <w:rPr>
          <w:noProof/>
        </w:rPr>
        <w:t>8</w:t>
      </w:r>
      <w:r w:rsidR="00221517">
        <w:fldChar w:fldCharType="end"/>
      </w:r>
      <w:r w:rsidR="00221517">
        <w:t>)</w:t>
      </w:r>
      <w:r w:rsidR="00383845">
        <w:t>.</w:t>
      </w:r>
      <w:r w:rsidR="004B60E5">
        <w:t xml:space="preserve"> PEX is commenced </w:t>
      </w:r>
      <w:r w:rsidR="001B437B">
        <w:t xml:space="preserve">immediately on suspicion of </w:t>
      </w:r>
      <w:r w:rsidR="00383845">
        <w:t>TTP</w:t>
      </w:r>
      <w:r w:rsidR="001B437B">
        <w:t>.</w:t>
      </w:r>
      <w:r w:rsidR="00631D62">
        <w:t xml:space="preserve"> </w:t>
      </w:r>
      <w:r w:rsidR="001B437B">
        <w:t>W</w:t>
      </w:r>
      <w:r w:rsidR="00631D62">
        <w:t>here ADAMTS13 testing is not available, the diagnosis of TTP relies on the</w:t>
      </w:r>
      <w:r w:rsidR="0012634D">
        <w:t>se</w:t>
      </w:r>
      <w:r w:rsidR="001B437B">
        <w:t xml:space="preserve"> tests</w:t>
      </w:r>
      <w:r w:rsidR="009E33F6">
        <w:t>, captured in the PLASMIC score (</w:t>
      </w:r>
      <w:r w:rsidR="009E33F6">
        <w:fldChar w:fldCharType="begin"/>
      </w:r>
      <w:r w:rsidR="009E33F6">
        <w:instrText xml:space="preserve"> REF _Ref192507525 \h </w:instrText>
      </w:r>
      <w:r w:rsidR="009E33F6">
        <w:fldChar w:fldCharType="separate"/>
      </w:r>
      <w:r w:rsidR="00AE1C62">
        <w:t xml:space="preserve">Table </w:t>
      </w:r>
      <w:r w:rsidR="00AE1C62">
        <w:rPr>
          <w:noProof/>
        </w:rPr>
        <w:t>4</w:t>
      </w:r>
      <w:r w:rsidR="009E33F6">
        <w:fldChar w:fldCharType="end"/>
      </w:r>
      <w:r w:rsidR="009E33F6">
        <w:t>)</w:t>
      </w:r>
      <w:r w:rsidR="0012634D">
        <w:t xml:space="preserve"> and</w:t>
      </w:r>
      <w:r w:rsidR="00631D62">
        <w:t xml:space="preserve"> clinical response to treatment (</w:t>
      </w:r>
      <w:r w:rsidR="00631D62">
        <w:fldChar w:fldCharType="begin"/>
      </w:r>
      <w:r w:rsidR="00631D62">
        <w:instrText xml:space="preserve"> REF _Ref192504094 \h </w:instrText>
      </w:r>
      <w:r w:rsidR="00631D62">
        <w:fldChar w:fldCharType="separate"/>
      </w:r>
      <w:r w:rsidR="00AE1C62">
        <w:t xml:space="preserve">Figure </w:t>
      </w:r>
      <w:r w:rsidR="00AE1C62">
        <w:rPr>
          <w:noProof/>
        </w:rPr>
        <w:t>5</w:t>
      </w:r>
      <w:r w:rsidR="00631D62">
        <w:fldChar w:fldCharType="end"/>
      </w:r>
      <w:r w:rsidR="00631D62">
        <w:t>)</w:t>
      </w:r>
      <w:r w:rsidR="00637A08">
        <w:t>.</w:t>
      </w:r>
      <w:r w:rsidR="00AA6B21">
        <w:t xml:space="preserve"> Without molecular testing, clinical response to treatment is based on a platelet count. </w:t>
      </w:r>
    </w:p>
    <w:p w14:paraId="65A459C2" w14:textId="0A00E8E1" w:rsidR="007E3B2F" w:rsidRDefault="007E3B2F" w:rsidP="007E3B2F">
      <w:pPr>
        <w:pStyle w:val="Caption"/>
      </w:pPr>
      <w:bookmarkStart w:id="13" w:name="_Ref192507101"/>
      <w:r>
        <w:t xml:space="preserve">Table </w:t>
      </w:r>
      <w:r>
        <w:fldChar w:fldCharType="begin"/>
      </w:r>
      <w:r>
        <w:instrText xml:space="preserve"> SEQ Table \* ARABIC </w:instrText>
      </w:r>
      <w:r>
        <w:fldChar w:fldCharType="separate"/>
      </w:r>
      <w:r w:rsidR="00AE1C62">
        <w:rPr>
          <w:noProof/>
        </w:rPr>
        <w:t>8</w:t>
      </w:r>
      <w:r>
        <w:fldChar w:fldCharType="end"/>
      </w:r>
      <w:bookmarkEnd w:id="12"/>
      <w:bookmarkEnd w:id="13"/>
      <w:r>
        <w:tab/>
      </w:r>
      <w:r w:rsidR="003409C4">
        <w:t>Routine testing for the diagnosis of TTP</w:t>
      </w:r>
    </w:p>
    <w:tbl>
      <w:tblPr>
        <w:tblStyle w:val="TableGrid"/>
        <w:tblW w:w="0" w:type="auto"/>
        <w:tblInd w:w="0" w:type="dxa"/>
        <w:tblLook w:val="04A0" w:firstRow="1" w:lastRow="0" w:firstColumn="1" w:lastColumn="0" w:noHBand="0" w:noVBand="1"/>
      </w:tblPr>
      <w:tblGrid>
        <w:gridCol w:w="2689"/>
        <w:gridCol w:w="6882"/>
      </w:tblGrid>
      <w:tr w:rsidR="00637A08" w:rsidRPr="00B365F3" w14:paraId="2EFF4EE8" w14:textId="77777777" w:rsidTr="003F0E9A">
        <w:trPr>
          <w:tblHeader/>
        </w:trPr>
        <w:tc>
          <w:tcPr>
            <w:tcW w:w="2689" w:type="dxa"/>
          </w:tcPr>
          <w:p w14:paraId="4D9D6B26" w14:textId="63F6BED6" w:rsidR="00637A08" w:rsidRPr="003F0E9A" w:rsidRDefault="00637A08" w:rsidP="003F0E9A">
            <w:pPr>
              <w:pStyle w:val="011TableHeading9pt"/>
              <w:spacing w:before="40"/>
              <w:rPr>
                <w:rFonts w:ascii="Arial Narrow" w:hAnsi="Arial Narrow"/>
                <w:sz w:val="20"/>
                <w:szCs w:val="20"/>
              </w:rPr>
            </w:pPr>
            <w:r w:rsidRPr="003F0E9A">
              <w:rPr>
                <w:rFonts w:ascii="Arial Narrow" w:hAnsi="Arial Narrow"/>
                <w:sz w:val="20"/>
                <w:szCs w:val="20"/>
              </w:rPr>
              <w:t>Essential investigation</w:t>
            </w:r>
          </w:p>
        </w:tc>
        <w:tc>
          <w:tcPr>
            <w:tcW w:w="6882" w:type="dxa"/>
          </w:tcPr>
          <w:p w14:paraId="2B2469E5" w14:textId="167023E0" w:rsidR="00637A08" w:rsidRPr="003F0E9A" w:rsidRDefault="00847166" w:rsidP="003F0E9A">
            <w:pPr>
              <w:pStyle w:val="011TableHeading9pt"/>
              <w:spacing w:before="40"/>
              <w:rPr>
                <w:rFonts w:ascii="Arial Narrow" w:hAnsi="Arial Narrow"/>
                <w:sz w:val="20"/>
                <w:szCs w:val="20"/>
              </w:rPr>
            </w:pPr>
            <w:r w:rsidRPr="003F0E9A">
              <w:rPr>
                <w:rFonts w:ascii="Arial Narrow" w:hAnsi="Arial Narrow"/>
                <w:sz w:val="20"/>
                <w:szCs w:val="20"/>
              </w:rPr>
              <w:t>Expected results in TTP</w:t>
            </w:r>
          </w:p>
        </w:tc>
      </w:tr>
      <w:tr w:rsidR="00637A08" w:rsidRPr="00B365F3" w14:paraId="5CCF58B7" w14:textId="77777777" w:rsidTr="00E70C2F">
        <w:tc>
          <w:tcPr>
            <w:tcW w:w="2689" w:type="dxa"/>
          </w:tcPr>
          <w:p w14:paraId="1382F685" w14:textId="0BEF52C7" w:rsidR="00637A08" w:rsidRPr="003F0E9A" w:rsidRDefault="00637A08" w:rsidP="00B365F3">
            <w:pPr>
              <w:pStyle w:val="051Tabletext229pt"/>
              <w:rPr>
                <w:rFonts w:ascii="Arial Narrow" w:hAnsi="Arial Narrow"/>
                <w:sz w:val="20"/>
                <w:szCs w:val="20"/>
              </w:rPr>
            </w:pPr>
            <w:r w:rsidRPr="003F0E9A">
              <w:rPr>
                <w:rFonts w:ascii="Arial Narrow" w:hAnsi="Arial Narrow"/>
                <w:sz w:val="20"/>
                <w:szCs w:val="20"/>
              </w:rPr>
              <w:t>Full blood count</w:t>
            </w:r>
          </w:p>
        </w:tc>
        <w:tc>
          <w:tcPr>
            <w:tcW w:w="6882" w:type="dxa"/>
          </w:tcPr>
          <w:p w14:paraId="223816CC" w14:textId="05026346" w:rsidR="00637A08" w:rsidRPr="003F0E9A" w:rsidRDefault="0037707B" w:rsidP="00B365F3">
            <w:pPr>
              <w:pStyle w:val="051Tabletext229pt"/>
              <w:rPr>
                <w:rFonts w:ascii="Arial Narrow" w:hAnsi="Arial Narrow"/>
                <w:sz w:val="20"/>
                <w:szCs w:val="20"/>
              </w:rPr>
            </w:pPr>
            <w:r w:rsidRPr="003F0E9A">
              <w:rPr>
                <w:rFonts w:ascii="Arial Narrow" w:hAnsi="Arial Narrow"/>
                <w:sz w:val="20"/>
                <w:szCs w:val="20"/>
              </w:rPr>
              <w:t>Platelets &lt;150 × 10</w:t>
            </w:r>
            <w:r w:rsidRPr="003F0E9A">
              <w:rPr>
                <w:rFonts w:ascii="Arial Narrow" w:hAnsi="Arial Narrow"/>
                <w:sz w:val="20"/>
                <w:szCs w:val="20"/>
                <w:vertAlign w:val="superscript"/>
              </w:rPr>
              <w:t>9</w:t>
            </w:r>
            <w:r w:rsidRPr="003F0E9A">
              <w:rPr>
                <w:rFonts w:ascii="Arial Narrow" w:hAnsi="Arial Narrow"/>
                <w:sz w:val="20"/>
                <w:szCs w:val="20"/>
              </w:rPr>
              <w:t>/L or &gt;25% fall from baseline</w:t>
            </w:r>
            <w:r w:rsidRPr="003F0E9A">
              <w:rPr>
                <w:rFonts w:ascii="Arial Narrow" w:hAnsi="Arial Narrow"/>
                <w:sz w:val="20"/>
                <w:szCs w:val="20"/>
              </w:rPr>
              <w:br/>
              <w:t>Haemoglobin &lt;100 g/L</w:t>
            </w:r>
          </w:p>
        </w:tc>
      </w:tr>
      <w:tr w:rsidR="00637A08" w:rsidRPr="00B365F3" w14:paraId="71B916B5" w14:textId="77777777" w:rsidTr="00E70C2F">
        <w:tc>
          <w:tcPr>
            <w:tcW w:w="2689" w:type="dxa"/>
          </w:tcPr>
          <w:p w14:paraId="198B3EB2" w14:textId="5AE5F26B" w:rsidR="00637A08" w:rsidRPr="003F0E9A" w:rsidRDefault="00B934EE" w:rsidP="00B365F3">
            <w:pPr>
              <w:pStyle w:val="051Tabletext229pt"/>
              <w:rPr>
                <w:rFonts w:ascii="Arial Narrow" w:hAnsi="Arial Narrow"/>
                <w:sz w:val="20"/>
                <w:szCs w:val="20"/>
              </w:rPr>
            </w:pPr>
            <w:r w:rsidRPr="003F0E9A">
              <w:rPr>
                <w:rFonts w:ascii="Arial Narrow" w:hAnsi="Arial Narrow"/>
                <w:sz w:val="20"/>
                <w:szCs w:val="20"/>
              </w:rPr>
              <w:t>Peripheral blood film</w:t>
            </w:r>
          </w:p>
        </w:tc>
        <w:tc>
          <w:tcPr>
            <w:tcW w:w="6882" w:type="dxa"/>
          </w:tcPr>
          <w:p w14:paraId="0DF100D1" w14:textId="69F82196" w:rsidR="00637A08" w:rsidRPr="003F0E9A" w:rsidRDefault="001A05D6" w:rsidP="00B365F3">
            <w:pPr>
              <w:pStyle w:val="051Tabletext229pt"/>
              <w:rPr>
                <w:rFonts w:ascii="Arial Narrow" w:hAnsi="Arial Narrow"/>
                <w:sz w:val="20"/>
                <w:szCs w:val="20"/>
              </w:rPr>
            </w:pPr>
            <w:r w:rsidRPr="003F0E9A">
              <w:rPr>
                <w:rFonts w:ascii="Arial Narrow" w:hAnsi="Arial Narrow"/>
                <w:sz w:val="20"/>
                <w:szCs w:val="20"/>
              </w:rPr>
              <w:t>Fragments/schistocytes on blood film</w:t>
            </w:r>
          </w:p>
        </w:tc>
      </w:tr>
      <w:tr w:rsidR="00637A08" w:rsidRPr="00B365F3" w14:paraId="5CC70D52" w14:textId="77777777" w:rsidTr="00E70C2F">
        <w:tc>
          <w:tcPr>
            <w:tcW w:w="2689" w:type="dxa"/>
          </w:tcPr>
          <w:p w14:paraId="64A91437" w14:textId="50652875" w:rsidR="00637A08" w:rsidRPr="003F0E9A" w:rsidRDefault="00847166" w:rsidP="00B365F3">
            <w:pPr>
              <w:pStyle w:val="051Tabletext229pt"/>
              <w:rPr>
                <w:rFonts w:ascii="Arial Narrow" w:hAnsi="Arial Narrow"/>
                <w:sz w:val="20"/>
                <w:szCs w:val="20"/>
              </w:rPr>
            </w:pPr>
            <w:r w:rsidRPr="003F0E9A">
              <w:rPr>
                <w:rFonts w:ascii="Arial Narrow" w:hAnsi="Arial Narrow"/>
                <w:sz w:val="20"/>
                <w:szCs w:val="20"/>
              </w:rPr>
              <w:t>Reticulocyte count</w:t>
            </w:r>
          </w:p>
        </w:tc>
        <w:tc>
          <w:tcPr>
            <w:tcW w:w="6882" w:type="dxa"/>
          </w:tcPr>
          <w:p w14:paraId="45796290" w14:textId="65A74555" w:rsidR="00637A08" w:rsidRPr="003F0E9A" w:rsidRDefault="00847166" w:rsidP="00B365F3">
            <w:pPr>
              <w:pStyle w:val="051Tabletext229pt"/>
              <w:rPr>
                <w:rFonts w:ascii="Arial Narrow" w:hAnsi="Arial Narrow"/>
                <w:sz w:val="20"/>
                <w:szCs w:val="20"/>
              </w:rPr>
            </w:pPr>
            <w:r w:rsidRPr="003F0E9A">
              <w:rPr>
                <w:rFonts w:ascii="Arial Narrow" w:hAnsi="Arial Narrow"/>
                <w:sz w:val="20"/>
                <w:szCs w:val="20"/>
              </w:rPr>
              <w:t>Raised</w:t>
            </w:r>
          </w:p>
        </w:tc>
      </w:tr>
      <w:tr w:rsidR="00637A08" w:rsidRPr="00B365F3" w14:paraId="14257A5B" w14:textId="77777777" w:rsidTr="00E70C2F">
        <w:tc>
          <w:tcPr>
            <w:tcW w:w="2689" w:type="dxa"/>
          </w:tcPr>
          <w:p w14:paraId="5B56E8EA" w14:textId="79B4A582" w:rsidR="00637A08" w:rsidRPr="003F0E9A" w:rsidRDefault="00067FD4" w:rsidP="00B365F3">
            <w:pPr>
              <w:pStyle w:val="051Tabletext229pt"/>
              <w:rPr>
                <w:rFonts w:ascii="Arial Narrow" w:hAnsi="Arial Narrow"/>
                <w:sz w:val="20"/>
                <w:szCs w:val="20"/>
              </w:rPr>
            </w:pPr>
            <w:r w:rsidRPr="003F0E9A">
              <w:rPr>
                <w:rFonts w:ascii="Arial Narrow" w:hAnsi="Arial Narrow"/>
                <w:sz w:val="20"/>
                <w:szCs w:val="20"/>
              </w:rPr>
              <w:t>Lactate dehydrog</w:t>
            </w:r>
            <w:r w:rsidR="007C2B11" w:rsidRPr="003F0E9A">
              <w:rPr>
                <w:rFonts w:ascii="Arial Narrow" w:hAnsi="Arial Narrow"/>
                <w:sz w:val="20"/>
                <w:szCs w:val="20"/>
              </w:rPr>
              <w:t>enase</w:t>
            </w:r>
          </w:p>
        </w:tc>
        <w:tc>
          <w:tcPr>
            <w:tcW w:w="6882" w:type="dxa"/>
          </w:tcPr>
          <w:p w14:paraId="303248F4" w14:textId="272787EE" w:rsidR="00637A08" w:rsidRPr="003F0E9A" w:rsidRDefault="007C2B11" w:rsidP="00B365F3">
            <w:pPr>
              <w:pStyle w:val="051Tabletext229pt"/>
              <w:rPr>
                <w:rFonts w:ascii="Arial Narrow" w:hAnsi="Arial Narrow"/>
                <w:sz w:val="20"/>
                <w:szCs w:val="20"/>
              </w:rPr>
            </w:pPr>
            <w:r w:rsidRPr="003F0E9A">
              <w:rPr>
                <w:rFonts w:ascii="Arial Narrow" w:hAnsi="Arial Narrow"/>
                <w:sz w:val="20"/>
                <w:szCs w:val="20"/>
              </w:rPr>
              <w:t>Raised due to haemolysis</w:t>
            </w:r>
          </w:p>
        </w:tc>
      </w:tr>
      <w:tr w:rsidR="00637A08" w:rsidRPr="00B365F3" w14:paraId="6EBD4EC9" w14:textId="77777777" w:rsidTr="00E70C2F">
        <w:tc>
          <w:tcPr>
            <w:tcW w:w="2689" w:type="dxa"/>
          </w:tcPr>
          <w:p w14:paraId="7CD3B3FF" w14:textId="6F8C6EED" w:rsidR="00637A08" w:rsidRPr="003F0E9A" w:rsidRDefault="00786A4F" w:rsidP="00B365F3">
            <w:pPr>
              <w:pStyle w:val="051Tabletext229pt"/>
              <w:rPr>
                <w:rFonts w:ascii="Arial Narrow" w:hAnsi="Arial Narrow"/>
                <w:sz w:val="20"/>
                <w:szCs w:val="20"/>
              </w:rPr>
            </w:pPr>
            <w:r w:rsidRPr="003F0E9A">
              <w:rPr>
                <w:rFonts w:ascii="Arial Narrow" w:hAnsi="Arial Narrow"/>
                <w:sz w:val="20"/>
                <w:szCs w:val="20"/>
              </w:rPr>
              <w:t>Haptoglobin</w:t>
            </w:r>
          </w:p>
        </w:tc>
        <w:tc>
          <w:tcPr>
            <w:tcW w:w="6882" w:type="dxa"/>
          </w:tcPr>
          <w:p w14:paraId="60AD2DA7" w14:textId="67B83B10" w:rsidR="00637A08" w:rsidRPr="003F0E9A" w:rsidRDefault="00786A4F" w:rsidP="00B365F3">
            <w:pPr>
              <w:pStyle w:val="051Tabletext229pt"/>
              <w:rPr>
                <w:rFonts w:ascii="Arial Narrow" w:hAnsi="Arial Narrow"/>
                <w:sz w:val="20"/>
                <w:szCs w:val="20"/>
              </w:rPr>
            </w:pPr>
            <w:r w:rsidRPr="003F0E9A">
              <w:rPr>
                <w:rFonts w:ascii="Arial Narrow" w:hAnsi="Arial Narrow"/>
                <w:sz w:val="20"/>
                <w:szCs w:val="20"/>
              </w:rPr>
              <w:t>Reduced</w:t>
            </w:r>
          </w:p>
        </w:tc>
      </w:tr>
      <w:tr w:rsidR="00637A08" w:rsidRPr="00B365F3" w14:paraId="7BA1A48A" w14:textId="77777777" w:rsidTr="00E70C2F">
        <w:tc>
          <w:tcPr>
            <w:tcW w:w="2689" w:type="dxa"/>
          </w:tcPr>
          <w:p w14:paraId="6F845D2B" w14:textId="6CA31C3F" w:rsidR="00637A08" w:rsidRPr="003F0E9A" w:rsidRDefault="000D6FFB" w:rsidP="00B365F3">
            <w:pPr>
              <w:pStyle w:val="051Tabletext229pt"/>
              <w:rPr>
                <w:rFonts w:ascii="Arial Narrow" w:hAnsi="Arial Narrow"/>
                <w:sz w:val="20"/>
                <w:szCs w:val="20"/>
              </w:rPr>
            </w:pPr>
            <w:r w:rsidRPr="003F0E9A">
              <w:rPr>
                <w:rFonts w:ascii="Arial Narrow" w:hAnsi="Arial Narrow"/>
                <w:sz w:val="20"/>
                <w:szCs w:val="20"/>
              </w:rPr>
              <w:t>Urea and electrolytes</w:t>
            </w:r>
          </w:p>
        </w:tc>
        <w:tc>
          <w:tcPr>
            <w:tcW w:w="6882" w:type="dxa"/>
          </w:tcPr>
          <w:p w14:paraId="43F7270B" w14:textId="7C529088" w:rsidR="00637A08" w:rsidRPr="003F0E9A" w:rsidRDefault="0099305A" w:rsidP="00B365F3">
            <w:pPr>
              <w:pStyle w:val="051Tabletext229pt"/>
              <w:rPr>
                <w:rFonts w:ascii="Arial Narrow" w:hAnsi="Arial Narrow"/>
                <w:sz w:val="20"/>
                <w:szCs w:val="20"/>
              </w:rPr>
            </w:pPr>
            <w:r w:rsidRPr="003F0E9A">
              <w:rPr>
                <w:rFonts w:ascii="Arial Narrow" w:hAnsi="Arial Narrow"/>
                <w:sz w:val="20"/>
                <w:szCs w:val="20"/>
              </w:rPr>
              <w:t>Renal impairment</w:t>
            </w:r>
          </w:p>
        </w:tc>
      </w:tr>
      <w:tr w:rsidR="00637A08" w:rsidRPr="00B365F3" w14:paraId="4F2A307E" w14:textId="77777777" w:rsidTr="00E70C2F">
        <w:tc>
          <w:tcPr>
            <w:tcW w:w="2689" w:type="dxa"/>
          </w:tcPr>
          <w:p w14:paraId="03323048" w14:textId="26A16F5A" w:rsidR="00637A08" w:rsidRPr="003F0E9A" w:rsidRDefault="008C4245" w:rsidP="00B365F3">
            <w:pPr>
              <w:pStyle w:val="051Tabletext229pt"/>
              <w:rPr>
                <w:rFonts w:ascii="Arial Narrow" w:hAnsi="Arial Narrow"/>
                <w:sz w:val="20"/>
                <w:szCs w:val="20"/>
              </w:rPr>
            </w:pPr>
            <w:r w:rsidRPr="003F0E9A">
              <w:rPr>
                <w:rFonts w:ascii="Arial Narrow" w:hAnsi="Arial Narrow"/>
                <w:sz w:val="20"/>
                <w:szCs w:val="20"/>
              </w:rPr>
              <w:t>Troponin T/Troponin I</w:t>
            </w:r>
          </w:p>
        </w:tc>
        <w:tc>
          <w:tcPr>
            <w:tcW w:w="6882" w:type="dxa"/>
          </w:tcPr>
          <w:p w14:paraId="3772EE3B" w14:textId="08EB6104" w:rsidR="00637A08" w:rsidRPr="003F0E9A" w:rsidRDefault="008C4245" w:rsidP="00B365F3">
            <w:pPr>
              <w:pStyle w:val="051Tabletext229pt"/>
              <w:rPr>
                <w:rFonts w:ascii="Arial Narrow" w:hAnsi="Arial Narrow"/>
                <w:sz w:val="20"/>
                <w:szCs w:val="20"/>
              </w:rPr>
            </w:pPr>
            <w:r w:rsidRPr="003F0E9A">
              <w:rPr>
                <w:rFonts w:ascii="Arial Narrow" w:hAnsi="Arial Narrow"/>
                <w:sz w:val="20"/>
                <w:szCs w:val="20"/>
              </w:rPr>
              <w:t>Cardiac involvement</w:t>
            </w:r>
          </w:p>
        </w:tc>
      </w:tr>
      <w:tr w:rsidR="008C4245" w:rsidRPr="00B365F3" w14:paraId="204B4A0C" w14:textId="77777777" w:rsidTr="00E70C2F">
        <w:tc>
          <w:tcPr>
            <w:tcW w:w="2689" w:type="dxa"/>
          </w:tcPr>
          <w:p w14:paraId="237CA4E1" w14:textId="19323A0C" w:rsidR="008C4245" w:rsidRPr="003F0E9A" w:rsidRDefault="006838B7" w:rsidP="00B365F3">
            <w:pPr>
              <w:pStyle w:val="051Tabletext229pt"/>
              <w:rPr>
                <w:rFonts w:ascii="Arial Narrow" w:hAnsi="Arial Narrow"/>
                <w:sz w:val="20"/>
                <w:szCs w:val="20"/>
              </w:rPr>
            </w:pPr>
            <w:r w:rsidRPr="003F0E9A">
              <w:rPr>
                <w:rFonts w:ascii="Arial Narrow" w:hAnsi="Arial Narrow"/>
                <w:sz w:val="20"/>
                <w:szCs w:val="20"/>
              </w:rPr>
              <w:t>Bilirubin</w:t>
            </w:r>
          </w:p>
        </w:tc>
        <w:tc>
          <w:tcPr>
            <w:tcW w:w="6882" w:type="dxa"/>
          </w:tcPr>
          <w:p w14:paraId="7FCE16BD" w14:textId="50EEC545" w:rsidR="008C4245" w:rsidRPr="003F0E9A" w:rsidRDefault="006838B7" w:rsidP="00B365F3">
            <w:pPr>
              <w:pStyle w:val="051Tabletext229pt"/>
              <w:rPr>
                <w:rFonts w:ascii="Arial Narrow" w:hAnsi="Arial Narrow"/>
                <w:sz w:val="20"/>
                <w:szCs w:val="20"/>
              </w:rPr>
            </w:pPr>
            <w:r w:rsidRPr="003F0E9A">
              <w:rPr>
                <w:rFonts w:ascii="Arial Narrow" w:hAnsi="Arial Narrow"/>
                <w:sz w:val="20"/>
                <w:szCs w:val="20"/>
              </w:rPr>
              <w:t>Raised</w:t>
            </w:r>
          </w:p>
        </w:tc>
      </w:tr>
      <w:tr w:rsidR="006838B7" w:rsidRPr="00B365F3" w14:paraId="7E7A2450" w14:textId="77777777" w:rsidTr="00E70C2F">
        <w:tc>
          <w:tcPr>
            <w:tcW w:w="2689" w:type="dxa"/>
          </w:tcPr>
          <w:p w14:paraId="48F68106" w14:textId="6C9839C0" w:rsidR="006838B7" w:rsidRPr="003F0E9A" w:rsidRDefault="00645EBB" w:rsidP="00B365F3">
            <w:pPr>
              <w:pStyle w:val="051Tabletext229pt"/>
              <w:rPr>
                <w:rFonts w:ascii="Arial Narrow" w:hAnsi="Arial Narrow"/>
                <w:sz w:val="20"/>
                <w:szCs w:val="20"/>
              </w:rPr>
            </w:pPr>
            <w:r w:rsidRPr="003F0E9A">
              <w:rPr>
                <w:rFonts w:ascii="Arial Narrow" w:hAnsi="Arial Narrow"/>
                <w:sz w:val="20"/>
                <w:szCs w:val="20"/>
              </w:rPr>
              <w:t>Direct anti</w:t>
            </w:r>
            <w:r w:rsidR="00663CE5" w:rsidRPr="003F0E9A">
              <w:rPr>
                <w:rFonts w:ascii="Arial Narrow" w:hAnsi="Arial Narrow"/>
                <w:sz w:val="20"/>
                <w:szCs w:val="20"/>
              </w:rPr>
              <w:t>g</w:t>
            </w:r>
            <w:r w:rsidRPr="003F0E9A">
              <w:rPr>
                <w:rFonts w:ascii="Arial Narrow" w:hAnsi="Arial Narrow"/>
                <w:sz w:val="20"/>
                <w:szCs w:val="20"/>
              </w:rPr>
              <w:t>lobulin (Coombs)</w:t>
            </w:r>
          </w:p>
        </w:tc>
        <w:tc>
          <w:tcPr>
            <w:tcW w:w="6882" w:type="dxa"/>
          </w:tcPr>
          <w:p w14:paraId="33C09753" w14:textId="4DA501BE" w:rsidR="006838B7" w:rsidRPr="003F0E9A" w:rsidRDefault="008E1644" w:rsidP="00B365F3">
            <w:pPr>
              <w:pStyle w:val="051Tabletext229pt"/>
              <w:rPr>
                <w:rFonts w:ascii="Arial Narrow" w:hAnsi="Arial Narrow"/>
                <w:sz w:val="20"/>
                <w:szCs w:val="20"/>
              </w:rPr>
            </w:pPr>
            <w:r w:rsidRPr="003F0E9A">
              <w:rPr>
                <w:rFonts w:ascii="Arial Narrow" w:hAnsi="Arial Narrow"/>
                <w:sz w:val="20"/>
                <w:szCs w:val="20"/>
              </w:rPr>
              <w:t>Negative (with few exceptions)</w:t>
            </w:r>
          </w:p>
        </w:tc>
      </w:tr>
      <w:tr w:rsidR="00663CE5" w:rsidRPr="00B365F3" w14:paraId="1379C134" w14:textId="77777777" w:rsidTr="00E70C2F">
        <w:tc>
          <w:tcPr>
            <w:tcW w:w="2689" w:type="dxa"/>
          </w:tcPr>
          <w:p w14:paraId="7F144785" w14:textId="53FE84EE" w:rsidR="00663CE5" w:rsidRPr="003F0E9A" w:rsidRDefault="006D5447" w:rsidP="00B365F3">
            <w:pPr>
              <w:pStyle w:val="051Tabletext229pt"/>
              <w:rPr>
                <w:rFonts w:ascii="Arial Narrow" w:hAnsi="Arial Narrow"/>
                <w:sz w:val="20"/>
                <w:szCs w:val="20"/>
              </w:rPr>
            </w:pPr>
            <w:r w:rsidRPr="003F0E9A">
              <w:rPr>
                <w:rFonts w:ascii="Arial Narrow" w:hAnsi="Arial Narrow"/>
                <w:sz w:val="20"/>
                <w:szCs w:val="20"/>
              </w:rPr>
              <w:t xml:space="preserve">Coagulation profile </w:t>
            </w:r>
          </w:p>
        </w:tc>
        <w:tc>
          <w:tcPr>
            <w:tcW w:w="6882" w:type="dxa"/>
          </w:tcPr>
          <w:p w14:paraId="4808C4FC" w14:textId="4C8687C4" w:rsidR="00663CE5" w:rsidRPr="003F0E9A" w:rsidRDefault="002F6AE7" w:rsidP="00B365F3">
            <w:pPr>
              <w:pStyle w:val="051Tabletext229pt"/>
              <w:rPr>
                <w:rFonts w:ascii="Arial Narrow" w:hAnsi="Arial Narrow"/>
                <w:sz w:val="20"/>
                <w:szCs w:val="20"/>
              </w:rPr>
            </w:pPr>
            <w:r w:rsidRPr="003F0E9A">
              <w:rPr>
                <w:rFonts w:ascii="Arial Narrow" w:hAnsi="Arial Narrow"/>
                <w:sz w:val="20"/>
                <w:szCs w:val="20"/>
              </w:rPr>
              <w:t>Normal</w:t>
            </w:r>
          </w:p>
        </w:tc>
      </w:tr>
      <w:tr w:rsidR="007E3B2F" w:rsidRPr="00B365F3" w14:paraId="5AAE3DB6" w14:textId="77777777" w:rsidTr="00E70C2F">
        <w:tc>
          <w:tcPr>
            <w:tcW w:w="2689" w:type="dxa"/>
          </w:tcPr>
          <w:p w14:paraId="29A4272E" w14:textId="4F82A316" w:rsidR="007E3B2F" w:rsidRPr="003F0E9A" w:rsidRDefault="007E3B2F" w:rsidP="00B365F3">
            <w:pPr>
              <w:pStyle w:val="051Tabletext229pt"/>
              <w:rPr>
                <w:rFonts w:ascii="Arial Narrow" w:hAnsi="Arial Narrow"/>
                <w:sz w:val="20"/>
                <w:szCs w:val="20"/>
              </w:rPr>
            </w:pPr>
            <w:r w:rsidRPr="003F0E9A">
              <w:rPr>
                <w:rFonts w:ascii="Arial Narrow" w:hAnsi="Arial Narrow"/>
                <w:sz w:val="20"/>
                <w:szCs w:val="20"/>
              </w:rPr>
              <w:t>Glucose</w:t>
            </w:r>
          </w:p>
        </w:tc>
        <w:tc>
          <w:tcPr>
            <w:tcW w:w="6882" w:type="dxa"/>
          </w:tcPr>
          <w:p w14:paraId="197FE62E" w14:textId="5DF0CC0F" w:rsidR="007E3B2F" w:rsidRPr="003F0E9A" w:rsidRDefault="007E3B2F" w:rsidP="00B365F3">
            <w:pPr>
              <w:pStyle w:val="051Tabletext229pt"/>
              <w:rPr>
                <w:rFonts w:ascii="Arial Narrow" w:hAnsi="Arial Narrow"/>
                <w:sz w:val="20"/>
                <w:szCs w:val="20"/>
              </w:rPr>
            </w:pPr>
            <w:r w:rsidRPr="003F0E9A">
              <w:rPr>
                <w:rFonts w:ascii="Arial Narrow" w:hAnsi="Arial Narrow"/>
                <w:sz w:val="20"/>
                <w:szCs w:val="20"/>
              </w:rPr>
              <w:t>Exclude diabetes</w:t>
            </w:r>
          </w:p>
        </w:tc>
      </w:tr>
    </w:tbl>
    <w:p w14:paraId="4BB8098A" w14:textId="54C6ABAA" w:rsidR="009A7451" w:rsidRDefault="00727545" w:rsidP="00AB51E5">
      <w:pPr>
        <w:pStyle w:val="Tablenotes"/>
        <w:spacing w:after="0"/>
      </w:pPr>
      <w:r>
        <w:t xml:space="preserve">Source: </w:t>
      </w:r>
      <w:r w:rsidR="00C62824">
        <w:t>adapted from Application 1796 for ADAMTS13 testing for TTP, p 3</w:t>
      </w:r>
      <w:r w:rsidR="007B7A27">
        <w:t>.</w:t>
      </w:r>
    </w:p>
    <w:p w14:paraId="407A7463" w14:textId="7476CD66" w:rsidR="009A6D7A" w:rsidRDefault="009A6D7A" w:rsidP="00424A82">
      <w:pPr>
        <w:pStyle w:val="Tablenotes"/>
        <w:spacing w:after="240"/>
      </w:pPr>
      <w:r>
        <w:t xml:space="preserve">TTP = </w:t>
      </w:r>
      <w:r w:rsidRPr="009A6D7A">
        <w:t>thrombotic thrombocytopenic purpura</w:t>
      </w:r>
      <w:r>
        <w:t>.</w:t>
      </w:r>
    </w:p>
    <w:p w14:paraId="32EF5325" w14:textId="26C88E40" w:rsidR="00270E57" w:rsidRPr="00270E57" w:rsidRDefault="00550A7C" w:rsidP="00270E57">
      <w:r>
        <w:t xml:space="preserve">Although </w:t>
      </w:r>
      <w:r w:rsidR="009A7451">
        <w:t>a</w:t>
      </w:r>
      <w:r>
        <w:t xml:space="preserve"> management pathway </w:t>
      </w:r>
      <w:r w:rsidR="009A7451">
        <w:t xml:space="preserve">without ADAMTS13 testing </w:t>
      </w:r>
      <w:r>
        <w:t>is presented</w:t>
      </w:r>
      <w:r w:rsidR="009A7451">
        <w:t xml:space="preserve"> (</w:t>
      </w:r>
      <w:r w:rsidR="009A7451">
        <w:fldChar w:fldCharType="begin"/>
      </w:r>
      <w:r w:rsidR="009A7451">
        <w:instrText xml:space="preserve"> REF _Ref192504094 \h </w:instrText>
      </w:r>
      <w:r w:rsidR="009A7451">
        <w:fldChar w:fldCharType="separate"/>
      </w:r>
      <w:r w:rsidR="00AE1C62">
        <w:t xml:space="preserve">Figure </w:t>
      </w:r>
      <w:r w:rsidR="00AE1C62">
        <w:rPr>
          <w:noProof/>
        </w:rPr>
        <w:t>5</w:t>
      </w:r>
      <w:r w:rsidR="009A7451">
        <w:fldChar w:fldCharType="end"/>
      </w:r>
      <w:r w:rsidR="009A7451">
        <w:t>)</w:t>
      </w:r>
      <w:r>
        <w:t xml:space="preserve">, it is noted that </w:t>
      </w:r>
      <w:r w:rsidR="00183A09">
        <w:t xml:space="preserve">ADAMTS13 testing is in </w:t>
      </w:r>
      <w:r w:rsidR="00A0123A">
        <w:t>routine</w:t>
      </w:r>
      <w:r w:rsidR="00183A09">
        <w:t xml:space="preserve"> use </w:t>
      </w:r>
      <w:r w:rsidR="00FE767D">
        <w:t xml:space="preserve">and is a requirement for access to the PBS-listed drugs </w:t>
      </w:r>
      <w:r w:rsidR="00417A52">
        <w:t>eculizumab and r</w:t>
      </w:r>
      <w:r w:rsidR="00417A52" w:rsidRPr="0006519D">
        <w:t>avulizumab</w:t>
      </w:r>
      <w:r w:rsidR="00880368">
        <w:t xml:space="preserve"> for </w:t>
      </w:r>
      <w:r w:rsidR="00B00806">
        <w:t xml:space="preserve">the </w:t>
      </w:r>
      <w:r w:rsidR="00880368">
        <w:t>treatment of aHUS</w:t>
      </w:r>
      <w:r w:rsidR="00B93C8C">
        <w:t>.</w:t>
      </w:r>
      <w:r w:rsidR="00FB7097">
        <w:t xml:space="preserve"> </w:t>
      </w:r>
    </w:p>
    <w:p w14:paraId="0F96F358" w14:textId="1E52BEA4" w:rsidR="004977B9" w:rsidRDefault="00606BD5" w:rsidP="00543D7C">
      <w:pPr>
        <w:keepNext/>
        <w:spacing w:after="0"/>
        <w:jc w:val="center"/>
      </w:pPr>
      <w:r>
        <w:rPr>
          <w:noProof/>
        </w:rPr>
        <w:lastRenderedPageBreak/>
        <w:drawing>
          <wp:inline distT="0" distB="0" distL="0" distR="0" wp14:anchorId="67684E8D" wp14:editId="77B46727">
            <wp:extent cx="4429456" cy="6304689"/>
            <wp:effectExtent l="0" t="0" r="9525" b="1270"/>
            <wp:docPr id="702599011" name="Picture 3" descr="Figure 5 Current clinical management pathway for a patient with suspected 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599011" name="Picture 3" descr="Figure 5 Current clinical management pathway for a patient with suspected TT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39331" cy="6318744"/>
                    </a:xfrm>
                    <a:prstGeom prst="rect">
                      <a:avLst/>
                    </a:prstGeom>
                  </pic:spPr>
                </pic:pic>
              </a:graphicData>
            </a:graphic>
          </wp:inline>
        </w:drawing>
      </w:r>
    </w:p>
    <w:p w14:paraId="6DF104DD" w14:textId="20CA869A" w:rsidR="00543D7C" w:rsidRDefault="00543D7C" w:rsidP="00543D7C">
      <w:pPr>
        <w:pStyle w:val="Caption"/>
        <w:spacing w:before="0"/>
      </w:pPr>
      <w:bookmarkStart w:id="14" w:name="_Ref192504094"/>
      <w:r>
        <w:t xml:space="preserve">Figure </w:t>
      </w:r>
      <w:r>
        <w:fldChar w:fldCharType="begin"/>
      </w:r>
      <w:r>
        <w:instrText xml:space="preserve"> SEQ Figure \* ARABIC </w:instrText>
      </w:r>
      <w:r>
        <w:fldChar w:fldCharType="separate"/>
      </w:r>
      <w:r w:rsidR="00AE1C62">
        <w:rPr>
          <w:noProof/>
        </w:rPr>
        <w:t>5</w:t>
      </w:r>
      <w:r>
        <w:fldChar w:fldCharType="end"/>
      </w:r>
      <w:bookmarkEnd w:id="14"/>
      <w:r>
        <w:tab/>
        <w:t>Current clinical management pathway for a patient with suspected TTP</w:t>
      </w:r>
    </w:p>
    <w:p w14:paraId="39FC0647" w14:textId="0CD1DAF9" w:rsidR="00084C8B" w:rsidRDefault="00084C8B" w:rsidP="00020D19">
      <w:pPr>
        <w:pStyle w:val="Tablenotes"/>
        <w:spacing w:after="0"/>
        <w:rPr>
          <w:lang w:val="en-GB" w:eastAsia="ja-JP"/>
        </w:rPr>
      </w:pPr>
      <w:r>
        <w:rPr>
          <w:lang w:val="en-GB" w:eastAsia="ja-JP"/>
        </w:rPr>
        <w:t>Source: prepared by the assessment group</w:t>
      </w:r>
      <w:r w:rsidR="00E03878">
        <w:rPr>
          <w:lang w:val="en-GB" w:eastAsia="ja-JP"/>
        </w:rPr>
        <w:t xml:space="preserve"> based on </w:t>
      </w:r>
      <w:r w:rsidR="009F3837">
        <w:rPr>
          <w:lang w:val="en-GB" w:eastAsia="ja-JP"/>
        </w:rPr>
        <w:t>Application 1796</w:t>
      </w:r>
      <w:r w:rsidR="00B205E3">
        <w:rPr>
          <w:lang w:val="en-GB" w:eastAsia="ja-JP"/>
        </w:rPr>
        <w:t xml:space="preserve"> and</w:t>
      </w:r>
      <w:r w:rsidR="00E03878">
        <w:rPr>
          <w:lang w:val="en-GB" w:eastAsia="ja-JP"/>
        </w:rPr>
        <w:t xml:space="preserve"> information from the applica</w:t>
      </w:r>
      <w:r w:rsidR="009F49FC">
        <w:rPr>
          <w:lang w:val="en-GB" w:eastAsia="ja-JP"/>
        </w:rPr>
        <w:t>nt</w:t>
      </w:r>
      <w:r w:rsidR="00E03878">
        <w:rPr>
          <w:lang w:val="en-GB" w:eastAsia="ja-JP"/>
        </w:rPr>
        <w:t xml:space="preserve"> and </w:t>
      </w:r>
      <w:r w:rsidR="009F3837">
        <w:rPr>
          <w:lang w:val="en-GB" w:eastAsia="ja-JP"/>
        </w:rPr>
        <w:t>clinical guidelines (Scully et al. 2023</w:t>
      </w:r>
      <w:r w:rsidR="001930A6">
        <w:rPr>
          <w:lang w:val="en-GB" w:eastAsia="ja-JP"/>
        </w:rPr>
        <w:t>, Fox et al., 2018)</w:t>
      </w:r>
      <w:r>
        <w:rPr>
          <w:lang w:val="en-GB" w:eastAsia="ja-JP"/>
        </w:rPr>
        <w:t>.</w:t>
      </w:r>
    </w:p>
    <w:p w14:paraId="776F5896" w14:textId="2A99FB40" w:rsidR="00543D7C" w:rsidRDefault="005F1B04" w:rsidP="005F1B04">
      <w:pPr>
        <w:pStyle w:val="Tablenotes"/>
        <w:spacing w:after="240"/>
      </w:pPr>
      <w:r>
        <w:t>aHUS = atypical haemolytic uraemic syndrome; PEX = Plasma exchange therapy; TMA = thrombotic microangiopathy; TTP = thrombotic thrombocytopenic purpura; Tx = treatment</w:t>
      </w:r>
      <w:r w:rsidR="00A641E8">
        <w:t>.</w:t>
      </w:r>
    </w:p>
    <w:p w14:paraId="15400751" w14:textId="77777777" w:rsidR="00670C91" w:rsidRDefault="00670C91" w:rsidP="00425D88">
      <w:pPr>
        <w:pStyle w:val="Heading4"/>
      </w:pPr>
      <w:r>
        <w:br w:type="page"/>
      </w:r>
    </w:p>
    <w:p w14:paraId="5785C0DE" w14:textId="2BCDE7BD" w:rsidR="00425D88" w:rsidRDefault="00343A69" w:rsidP="00425D88">
      <w:pPr>
        <w:pStyle w:val="Heading4"/>
      </w:pPr>
      <w:r>
        <w:lastRenderedPageBreak/>
        <w:t>Proposed clinical management</w:t>
      </w:r>
      <w:r w:rsidR="00742273">
        <w:t xml:space="preserve"> – PICO Set 1</w:t>
      </w:r>
    </w:p>
    <w:p w14:paraId="4168094D" w14:textId="4D97D808" w:rsidR="00B56D88" w:rsidRDefault="001A39E2">
      <w:pPr>
        <w:spacing w:after="160" w:line="259" w:lineRule="auto"/>
      </w:pPr>
      <w:r>
        <w:t xml:space="preserve">The intervention (ADAMTS13 testing) </w:t>
      </w:r>
      <w:r w:rsidR="00911323">
        <w:t xml:space="preserve">is additional to the current diagnosis and management of TTP. </w:t>
      </w:r>
      <w:r w:rsidR="00C45398">
        <w:t>Therefore,</w:t>
      </w:r>
      <w:r w:rsidR="00CB541A">
        <w:t xml:space="preserve"> </w:t>
      </w:r>
      <w:r w:rsidR="00C45398">
        <w:t xml:space="preserve">all testing described for current clinical management will also be undertaken </w:t>
      </w:r>
      <w:r w:rsidR="0030699D">
        <w:t>with the introduction of ADAMTS13 testing.</w:t>
      </w:r>
      <w:r w:rsidR="00710391">
        <w:t xml:space="preserve"> </w:t>
      </w:r>
    </w:p>
    <w:p w14:paraId="020A39FF" w14:textId="1AB42377" w:rsidR="000B1C59" w:rsidRDefault="0034196F">
      <w:pPr>
        <w:spacing w:after="160" w:line="259" w:lineRule="auto"/>
      </w:pPr>
      <w:r>
        <w:t xml:space="preserve">In the proposed </w:t>
      </w:r>
      <w:r w:rsidR="00B90F11">
        <w:t>pathway, blood samples for ADAMTS13 testing are taken prior to the initiation of PEX therapy</w:t>
      </w:r>
      <w:r w:rsidR="00E45F6C">
        <w:t>; h</w:t>
      </w:r>
      <w:r w:rsidR="002E305F">
        <w:t xml:space="preserve">owever, </w:t>
      </w:r>
      <w:r w:rsidR="00B90F11">
        <w:t xml:space="preserve">treatment is not delayed while awaiting the results. </w:t>
      </w:r>
      <w:r w:rsidR="0064020C">
        <w:t xml:space="preserve">The application notes that </w:t>
      </w:r>
      <w:r w:rsidR="00345685">
        <w:t>rapid turn</w:t>
      </w:r>
      <w:r w:rsidR="00A51E82">
        <w:t xml:space="preserve">around </w:t>
      </w:r>
      <w:r w:rsidR="00B40F5F">
        <w:t xml:space="preserve">using AcuStar may </w:t>
      </w:r>
      <w:r w:rsidR="00666CAD">
        <w:t xml:space="preserve">enable PEX to be avoided altogether, however the </w:t>
      </w:r>
      <w:r w:rsidR="008955AD">
        <w:t>clinical algorithm</w:t>
      </w:r>
      <w:r w:rsidR="00575BD1">
        <w:t xml:space="preserve"> </w:t>
      </w:r>
      <w:r w:rsidR="008955AD">
        <w:t xml:space="preserve">shows </w:t>
      </w:r>
      <w:r w:rsidR="00B00CC8">
        <w:t>all patients with</w:t>
      </w:r>
      <w:r w:rsidR="00780BD1">
        <w:t xml:space="preserve"> suspected TTP</w:t>
      </w:r>
      <w:r w:rsidR="00B00CC8">
        <w:t xml:space="preserve"> receive </w:t>
      </w:r>
      <w:r w:rsidR="003D096B">
        <w:t>PEX</w:t>
      </w:r>
      <w:r w:rsidR="00123753">
        <w:t>, which is</w:t>
      </w:r>
      <w:r w:rsidR="003D096B">
        <w:t xml:space="preserve"> </w:t>
      </w:r>
      <w:r w:rsidR="00123753">
        <w:t>discontinued</w:t>
      </w:r>
      <w:r w:rsidR="00F546B2">
        <w:t xml:space="preserve"> if ADAMTS13 activity is</w:t>
      </w:r>
      <w:r w:rsidR="00123753">
        <w:t xml:space="preserve"> later found to be</w:t>
      </w:r>
      <w:r w:rsidR="00F546B2">
        <w:t xml:space="preserve"> </w:t>
      </w:r>
      <w:r w:rsidR="00786514">
        <w:t>&gt;10%</w:t>
      </w:r>
      <w:r w:rsidR="004157B6">
        <w:t xml:space="preserve"> (</w:t>
      </w:r>
      <w:r w:rsidR="0024166A">
        <w:t>i.e.</w:t>
      </w:r>
      <w:r w:rsidR="004157B6">
        <w:t xml:space="preserve"> </w:t>
      </w:r>
      <w:r w:rsidR="00D079F2">
        <w:t>TTP</w:t>
      </w:r>
      <w:r w:rsidR="004157B6">
        <w:t xml:space="preserve"> is excluded)</w:t>
      </w:r>
      <w:r w:rsidR="00786514">
        <w:t xml:space="preserve">. </w:t>
      </w:r>
      <w:r w:rsidR="006764D1">
        <w:t xml:space="preserve">This is consistent with the algorithm presented in the application and clinical guidelines (Scully et al. 2023; Fox et al. 2018). </w:t>
      </w:r>
      <w:r w:rsidR="00144BED">
        <w:t>Duration of</w:t>
      </w:r>
      <w:r w:rsidR="000B1C59">
        <w:t xml:space="preserve"> PEX is an outcome measure for the assessment.</w:t>
      </w:r>
      <w:r w:rsidR="003351B0">
        <w:t xml:space="preserve"> The exclusion of TTP may also lead to uptake of </w:t>
      </w:r>
      <w:r w:rsidR="008A140E">
        <w:t xml:space="preserve">treatments specific to aHUS, </w:t>
      </w:r>
      <w:r w:rsidR="00E66F16">
        <w:t>such as</w:t>
      </w:r>
      <w:r w:rsidR="008A140E">
        <w:t xml:space="preserve"> eculizumab</w:t>
      </w:r>
      <w:r w:rsidR="00366F2B">
        <w:t xml:space="preserve"> or ravulizumab</w:t>
      </w:r>
      <w:r w:rsidR="00E66F16">
        <w:t>.</w:t>
      </w:r>
    </w:p>
    <w:p w14:paraId="399560A8" w14:textId="28D906FE" w:rsidR="003351B0" w:rsidRDefault="003D59D7">
      <w:pPr>
        <w:spacing w:after="160" w:line="259" w:lineRule="auto"/>
      </w:pPr>
      <w:r>
        <w:t xml:space="preserve">For </w:t>
      </w:r>
      <w:r w:rsidR="00B90F11">
        <w:t xml:space="preserve">both ADAMTS13 activity testing and anti-ADAMTS13 </w:t>
      </w:r>
      <w:r w:rsidR="00AE5F3E">
        <w:t xml:space="preserve">autoantibody </w:t>
      </w:r>
      <w:r w:rsidR="00B90F11">
        <w:t>testing</w:t>
      </w:r>
      <w:r>
        <w:t xml:space="preserve">, </w:t>
      </w:r>
      <w:r w:rsidR="0073190F">
        <w:t xml:space="preserve">blood </w:t>
      </w:r>
      <w:r>
        <w:t xml:space="preserve">samples </w:t>
      </w:r>
      <w:r w:rsidR="004A7B6E">
        <w:t>should be</w:t>
      </w:r>
      <w:r>
        <w:t xml:space="preserve"> taken</w:t>
      </w:r>
      <w:r w:rsidR="00E26DBC">
        <w:t xml:space="preserve"> prior to PEX initiation</w:t>
      </w:r>
      <w:r w:rsidR="003923AD">
        <w:t>;</w:t>
      </w:r>
      <w:r w:rsidR="00333611" w:rsidRPr="00333611">
        <w:t xml:space="preserve"> </w:t>
      </w:r>
      <w:r w:rsidR="00333611">
        <w:t>however</w:t>
      </w:r>
      <w:r w:rsidR="003923AD">
        <w:t>,</w:t>
      </w:r>
      <w:r w:rsidR="00333611">
        <w:t xml:space="preserve"> only activity testing is undertaken initially</w:t>
      </w:r>
      <w:r w:rsidR="004157B6">
        <w:t xml:space="preserve">. If ADAMTS13 activity is </w:t>
      </w:r>
      <w:r w:rsidR="00BF7F10">
        <w:t>&lt;10%</w:t>
      </w:r>
      <w:r w:rsidR="00333611">
        <w:t xml:space="preserve"> (</w:t>
      </w:r>
      <w:r w:rsidR="00FE2A5F">
        <w:t>i.e.</w:t>
      </w:r>
      <w:r w:rsidR="00333611">
        <w:t xml:space="preserve"> diagnostic of TTP) </w:t>
      </w:r>
      <w:r w:rsidR="00A614B5">
        <w:t>then ADAMTS</w:t>
      </w:r>
      <w:r w:rsidR="00A753A3">
        <w:t>13</w:t>
      </w:r>
      <w:r w:rsidR="00A614B5">
        <w:t xml:space="preserve"> </w:t>
      </w:r>
      <w:r w:rsidR="009C4DF8">
        <w:t xml:space="preserve">autoantibody testing </w:t>
      </w:r>
      <w:r w:rsidR="00A614B5">
        <w:t>is undertaken</w:t>
      </w:r>
      <w:r w:rsidR="00333611">
        <w:t xml:space="preserve"> to distinguish iTTP from </w:t>
      </w:r>
      <w:r w:rsidR="009C4DF8">
        <w:t>suspe</w:t>
      </w:r>
      <w:r w:rsidR="00333611">
        <w:t>c</w:t>
      </w:r>
      <w:r w:rsidR="00A753A3">
        <w:t>ted c</w:t>
      </w:r>
      <w:r w:rsidR="00333611">
        <w:t>TTP</w:t>
      </w:r>
      <w:r w:rsidR="00A614B5">
        <w:t xml:space="preserve">. </w:t>
      </w:r>
      <w:r w:rsidR="00A753A3">
        <w:t xml:space="preserve">ADAMTS13 autoantibody testing </w:t>
      </w:r>
      <w:r w:rsidR="0095130F">
        <w:t xml:space="preserve">is </w:t>
      </w:r>
      <w:r w:rsidR="002121F9">
        <w:t>currently</w:t>
      </w:r>
      <w:r w:rsidR="0095130F">
        <w:t xml:space="preserve"> </w:t>
      </w:r>
      <w:r w:rsidR="00BF1FF9">
        <w:t>occurring</w:t>
      </w:r>
      <w:r w:rsidR="00037C5B">
        <w:t xml:space="preserve"> infrequently</w:t>
      </w:r>
      <w:r w:rsidR="0095130F">
        <w:t xml:space="preserve"> in Australia</w:t>
      </w:r>
      <w:r w:rsidR="00037C5B">
        <w:t xml:space="preserve"> (</w:t>
      </w:r>
      <w:r w:rsidR="00277CAF">
        <w:t xml:space="preserve">16% of </w:t>
      </w:r>
      <w:r w:rsidR="006E054C">
        <w:t xml:space="preserve">TTP </w:t>
      </w:r>
      <w:r w:rsidR="00277CAF">
        <w:t>patients)</w:t>
      </w:r>
      <w:r w:rsidR="0095130F">
        <w:t xml:space="preserve"> </w:t>
      </w:r>
      <w:r w:rsidR="00277CAF">
        <w:t>(Fox et al. 2018)</w:t>
      </w:r>
      <w:r w:rsidR="00BE174A">
        <w:t xml:space="preserve">. </w:t>
      </w:r>
      <w:r w:rsidR="00A574EA">
        <w:t xml:space="preserve">A suspected diagnosis of cTTP changes management to plasma </w:t>
      </w:r>
      <w:r w:rsidR="00F137CA">
        <w:t>infusions rather than PEX</w:t>
      </w:r>
      <w:r w:rsidR="00E57CF2">
        <w:t xml:space="preserve"> and </w:t>
      </w:r>
      <w:r w:rsidR="00D3688B">
        <w:t>the</w:t>
      </w:r>
      <w:r w:rsidR="00E57CF2">
        <w:t xml:space="preserve"> avoid</w:t>
      </w:r>
      <w:r w:rsidR="00D3688B">
        <w:t>ance of</w:t>
      </w:r>
      <w:r w:rsidR="00E57CF2">
        <w:t xml:space="preserve"> immunosuppressive therapy.</w:t>
      </w:r>
    </w:p>
    <w:p w14:paraId="2F735DDA" w14:textId="1AB20480" w:rsidR="00667AF0" w:rsidRDefault="007115D9">
      <w:pPr>
        <w:spacing w:after="160" w:line="259" w:lineRule="auto"/>
      </w:pPr>
      <w:r>
        <w:t>C</w:t>
      </w:r>
      <w:r w:rsidR="003351B0">
        <w:t>onfirm</w:t>
      </w:r>
      <w:r>
        <w:t>ation of</w:t>
      </w:r>
      <w:r w:rsidR="003351B0">
        <w:t xml:space="preserve"> cTTP</w:t>
      </w:r>
      <w:r w:rsidR="00367CD3">
        <w:t xml:space="preserve"> requires </w:t>
      </w:r>
      <w:r w:rsidR="00B325DA">
        <w:t>the final test in the diagnostic pathway</w:t>
      </w:r>
      <w:r w:rsidR="009743A3">
        <w:t>;</w:t>
      </w:r>
      <w:r w:rsidR="00B325DA">
        <w:t xml:space="preserve"> </w:t>
      </w:r>
      <w:r w:rsidR="001B0671">
        <w:rPr>
          <w:i/>
          <w:iCs/>
        </w:rPr>
        <w:t>ADAMTS13</w:t>
      </w:r>
      <w:r w:rsidR="001B0671">
        <w:t xml:space="preserve"> genetic testing. This occurs </w:t>
      </w:r>
      <w:r w:rsidR="007954A5">
        <w:t xml:space="preserve">after a </w:t>
      </w:r>
      <w:r w:rsidR="00E00F90">
        <w:t xml:space="preserve">clinical response has been achieved </w:t>
      </w:r>
      <w:r w:rsidR="0020350D">
        <w:t xml:space="preserve">(i.e. &gt;150 </w:t>
      </w:r>
      <w:r w:rsidR="004F4665">
        <w:t>x 10</w:t>
      </w:r>
      <w:r w:rsidR="004F4665" w:rsidRPr="004F4665">
        <w:rPr>
          <w:vertAlign w:val="superscript"/>
        </w:rPr>
        <w:t>9</w:t>
      </w:r>
      <w:r w:rsidR="0020350D">
        <w:t>/L for at least</w:t>
      </w:r>
      <w:r w:rsidR="0020350D" w:rsidDel="00AC4045">
        <w:t xml:space="preserve"> </w:t>
      </w:r>
      <w:r w:rsidR="00AC4045">
        <w:t>2</w:t>
      </w:r>
      <w:r w:rsidR="0020350D">
        <w:t xml:space="preserve"> days) </w:t>
      </w:r>
      <w:r w:rsidR="001B0671">
        <w:t>and after patients have commenced a period of monitoring</w:t>
      </w:r>
      <w:r w:rsidR="00CB324D">
        <w:t xml:space="preserve"> to confirm persistently low ADAMTS13 activity </w:t>
      </w:r>
      <w:r w:rsidR="001B0671">
        <w:t xml:space="preserve">(i.e. PICO Set 3). </w:t>
      </w:r>
      <w:r w:rsidR="005549E2">
        <w:t>ADAMTS13 activity testing is repeated upon withdrawal of PEX or plasma</w:t>
      </w:r>
      <w:r w:rsidR="005254DB">
        <w:t xml:space="preserve"> infusion and if </w:t>
      </w:r>
      <w:r w:rsidR="00BF2132">
        <w:t>activity levels</w:t>
      </w:r>
      <w:r w:rsidR="005254DB">
        <w:t xml:space="preserve"> remain low, then </w:t>
      </w:r>
      <w:r w:rsidR="00BF0F8F">
        <w:t xml:space="preserve">genetic testing can be undertaken to confirm cTTP. This may lead to </w:t>
      </w:r>
      <w:r w:rsidR="00EA0BC1">
        <w:t xml:space="preserve">prophylactic </w:t>
      </w:r>
      <w:r w:rsidR="00834074">
        <w:t xml:space="preserve">plasma infusions and is anticipated to be treated with recombinant </w:t>
      </w:r>
      <w:r w:rsidR="00834074" w:rsidRPr="003F0E9A">
        <w:rPr>
          <w:iCs/>
        </w:rPr>
        <w:t>ADAMTS13</w:t>
      </w:r>
      <w:r w:rsidR="00834074">
        <w:t xml:space="preserve"> in the future</w:t>
      </w:r>
      <w:r w:rsidR="00D03C44">
        <w:t xml:space="preserve"> (Scully et al. 2024)</w:t>
      </w:r>
      <w:r w:rsidR="00834074">
        <w:t>.</w:t>
      </w:r>
    </w:p>
    <w:p w14:paraId="153CB8F8" w14:textId="13723E4E" w:rsidR="00C10DFE" w:rsidRDefault="00F84216" w:rsidP="00020D19">
      <w:pPr>
        <w:keepNext/>
        <w:spacing w:after="0"/>
        <w:rPr>
          <w:lang w:val="en-GB" w:eastAsia="ja-JP"/>
        </w:rPr>
      </w:pPr>
      <w:r>
        <w:rPr>
          <w:noProof/>
        </w:rPr>
        <w:lastRenderedPageBreak/>
        <w:drawing>
          <wp:inline distT="0" distB="0" distL="0" distR="0" wp14:anchorId="20CCE89D" wp14:editId="01BDEA07">
            <wp:extent cx="5667630" cy="7904697"/>
            <wp:effectExtent l="0" t="0" r="9525" b="1270"/>
            <wp:docPr id="42550111" name="Picture 1" descr="Figure 6 PICO Set 1: Differential diagnosis of TTP vs not TTP and iTTP vs cT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50111" name="Picture 1" descr="Figure 6 PICO Set 1: Differential diagnosis of TTP vs not TTP and iTTP vs cTT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67630" cy="7904697"/>
                    </a:xfrm>
                    <a:prstGeom prst="rect">
                      <a:avLst/>
                    </a:prstGeom>
                  </pic:spPr>
                </pic:pic>
              </a:graphicData>
            </a:graphic>
          </wp:inline>
        </w:drawing>
      </w:r>
    </w:p>
    <w:p w14:paraId="029561A8" w14:textId="418F8899" w:rsidR="00086F48" w:rsidRDefault="00086F48" w:rsidP="00020D19">
      <w:pPr>
        <w:pStyle w:val="Caption"/>
        <w:spacing w:before="0"/>
      </w:pPr>
      <w:r>
        <w:t xml:space="preserve">Figure </w:t>
      </w:r>
      <w:r>
        <w:fldChar w:fldCharType="begin"/>
      </w:r>
      <w:r>
        <w:instrText xml:space="preserve"> SEQ Figure \* ARABIC </w:instrText>
      </w:r>
      <w:r>
        <w:fldChar w:fldCharType="separate"/>
      </w:r>
      <w:r w:rsidR="00AE1C62">
        <w:rPr>
          <w:noProof/>
        </w:rPr>
        <w:t>6</w:t>
      </w:r>
      <w:r>
        <w:fldChar w:fldCharType="end"/>
      </w:r>
      <w:r>
        <w:tab/>
        <w:t>PICO Set 1: Differential diagnosis of TTP vs not TTP and iTTP vs cTTP</w:t>
      </w:r>
    </w:p>
    <w:p w14:paraId="59144C6F" w14:textId="0AE89F05" w:rsidR="00205C44" w:rsidRDefault="00205C44" w:rsidP="00020D19">
      <w:pPr>
        <w:pStyle w:val="Tablenotes"/>
        <w:spacing w:after="0"/>
        <w:rPr>
          <w:lang w:val="en-GB" w:eastAsia="ja-JP"/>
        </w:rPr>
      </w:pPr>
      <w:r>
        <w:rPr>
          <w:lang w:val="en-GB" w:eastAsia="ja-JP"/>
        </w:rPr>
        <w:t>Source: prepared by the assessment group</w:t>
      </w:r>
      <w:r w:rsidR="00B205E3">
        <w:rPr>
          <w:lang w:val="en-GB" w:eastAsia="ja-JP"/>
        </w:rPr>
        <w:t xml:space="preserve"> based on Application 1796 and information from the applicant and clinical guidelines (Scully et al. 2023, Fox et al., 2018)</w:t>
      </w:r>
      <w:r>
        <w:rPr>
          <w:lang w:val="en-GB" w:eastAsia="ja-JP"/>
        </w:rPr>
        <w:t>.</w:t>
      </w:r>
    </w:p>
    <w:p w14:paraId="0F45C4A3" w14:textId="3A2C0ABB" w:rsidR="00086F48" w:rsidRPr="00C10DFE" w:rsidRDefault="005041B1" w:rsidP="005041B1">
      <w:pPr>
        <w:pStyle w:val="Tablenotes"/>
        <w:rPr>
          <w:lang w:val="en-GB" w:eastAsia="ja-JP"/>
        </w:rPr>
      </w:pPr>
      <w:r w:rsidRPr="005041B1">
        <w:rPr>
          <w:lang w:val="en-GB" w:eastAsia="ja-JP"/>
        </w:rPr>
        <w:t>aHUS = atypical haemolytic uraemic syndrome;</w:t>
      </w:r>
      <w:r w:rsidR="00E35934">
        <w:rPr>
          <w:lang w:val="en-GB" w:eastAsia="ja-JP"/>
        </w:rPr>
        <w:t xml:space="preserve"> </w:t>
      </w:r>
      <w:r w:rsidRPr="005041B1">
        <w:rPr>
          <w:lang w:val="en-GB" w:eastAsia="ja-JP"/>
        </w:rPr>
        <w:t>cTTP = congenital TTP;</w:t>
      </w:r>
      <w:r>
        <w:rPr>
          <w:lang w:val="en-GB" w:eastAsia="ja-JP"/>
        </w:rPr>
        <w:t xml:space="preserve"> </w:t>
      </w:r>
      <w:r w:rsidRPr="005041B1">
        <w:rPr>
          <w:lang w:val="en-GB" w:eastAsia="ja-JP"/>
        </w:rPr>
        <w:t>iTTP = immune-mediated TTP;</w:t>
      </w:r>
      <w:r>
        <w:rPr>
          <w:lang w:val="en-GB" w:eastAsia="ja-JP"/>
        </w:rPr>
        <w:t xml:space="preserve"> </w:t>
      </w:r>
      <w:r w:rsidRPr="005041B1">
        <w:rPr>
          <w:lang w:val="en-GB" w:eastAsia="ja-JP"/>
        </w:rPr>
        <w:t>PBS = Pharmaceutical Benefits Scheme;</w:t>
      </w:r>
      <w:r>
        <w:rPr>
          <w:lang w:val="en-GB" w:eastAsia="ja-JP"/>
        </w:rPr>
        <w:t xml:space="preserve"> </w:t>
      </w:r>
      <w:r w:rsidRPr="005041B1">
        <w:rPr>
          <w:lang w:val="en-GB" w:eastAsia="ja-JP"/>
        </w:rPr>
        <w:t>PEX = Plasma exchange therapy;</w:t>
      </w:r>
      <w:r>
        <w:rPr>
          <w:lang w:val="en-GB" w:eastAsia="ja-JP"/>
        </w:rPr>
        <w:t xml:space="preserve"> </w:t>
      </w:r>
      <w:r w:rsidRPr="005041B1">
        <w:rPr>
          <w:lang w:val="en-GB" w:eastAsia="ja-JP"/>
        </w:rPr>
        <w:t xml:space="preserve">PICO = </w:t>
      </w:r>
      <w:r w:rsidR="00001A4B">
        <w:rPr>
          <w:lang w:val="en-GB" w:eastAsia="ja-JP"/>
        </w:rPr>
        <w:t>Population, Intervention, Comparator, Outcomes</w:t>
      </w:r>
      <w:r w:rsidRPr="005041B1">
        <w:rPr>
          <w:lang w:val="en-GB" w:eastAsia="ja-JP"/>
        </w:rPr>
        <w:t>;</w:t>
      </w:r>
      <w:r>
        <w:rPr>
          <w:lang w:val="en-GB" w:eastAsia="ja-JP"/>
        </w:rPr>
        <w:t xml:space="preserve"> </w:t>
      </w:r>
      <w:r w:rsidRPr="005041B1">
        <w:rPr>
          <w:lang w:val="en-GB" w:eastAsia="ja-JP"/>
        </w:rPr>
        <w:t>TMA = thrombotic microangiopathy;</w:t>
      </w:r>
      <w:r>
        <w:rPr>
          <w:lang w:val="en-GB" w:eastAsia="ja-JP"/>
        </w:rPr>
        <w:t xml:space="preserve"> </w:t>
      </w:r>
      <w:r w:rsidRPr="005041B1">
        <w:rPr>
          <w:lang w:val="en-GB" w:eastAsia="ja-JP"/>
        </w:rPr>
        <w:t>TTP = thrombotic thrombocytopenic purpura</w:t>
      </w:r>
      <w:r w:rsidR="00DE48DC">
        <w:rPr>
          <w:lang w:val="en-GB" w:eastAsia="ja-JP"/>
        </w:rPr>
        <w:t xml:space="preserve">; </w:t>
      </w:r>
      <w:r w:rsidR="00201948" w:rsidRPr="00201948">
        <w:rPr>
          <w:lang w:val="en-GB" w:eastAsia="ja-JP"/>
        </w:rPr>
        <w:t>Tx = treatment</w:t>
      </w:r>
      <w:r>
        <w:rPr>
          <w:lang w:val="en-GB" w:eastAsia="ja-JP"/>
        </w:rPr>
        <w:t>.</w:t>
      </w:r>
    </w:p>
    <w:p w14:paraId="1922B23E" w14:textId="7DE3578C" w:rsidR="00742273" w:rsidRDefault="00742273" w:rsidP="00742273">
      <w:pPr>
        <w:pStyle w:val="Heading4"/>
      </w:pPr>
      <w:r>
        <w:lastRenderedPageBreak/>
        <w:t>Proposed clinical management – PICO Set 2</w:t>
      </w:r>
    </w:p>
    <w:p w14:paraId="7B128E2D" w14:textId="7EC79944" w:rsidR="0026270A" w:rsidRDefault="00DD3D9F" w:rsidP="00742273">
      <w:r>
        <w:t xml:space="preserve">cTTP is </w:t>
      </w:r>
      <w:r w:rsidR="00842E9E">
        <w:t>estimated to account for 2-10% of all TTP cases</w:t>
      </w:r>
      <w:r w:rsidR="00077FD2">
        <w:t xml:space="preserve">. </w:t>
      </w:r>
      <w:r w:rsidR="007F3D89">
        <w:t xml:space="preserve">A UK cohort </w:t>
      </w:r>
      <w:r w:rsidR="00591624">
        <w:t>study found t</w:t>
      </w:r>
      <w:r w:rsidR="00077FD2">
        <w:t xml:space="preserve">he </w:t>
      </w:r>
      <w:r w:rsidR="00F635C6">
        <w:t>majority of cases</w:t>
      </w:r>
      <w:r w:rsidR="004716F4">
        <w:t xml:space="preserve"> (62%)</w:t>
      </w:r>
      <w:r w:rsidR="00627D60">
        <w:t xml:space="preserve"> are </w:t>
      </w:r>
      <w:r w:rsidR="00500D43">
        <w:t>diagnosed</w:t>
      </w:r>
      <w:r w:rsidR="00627D60">
        <w:t xml:space="preserve"> in adulthood</w:t>
      </w:r>
      <w:r w:rsidR="00F635C6">
        <w:t xml:space="preserve"> </w:t>
      </w:r>
      <w:r w:rsidR="00691A1F">
        <w:t>(Scully et al. 2023)</w:t>
      </w:r>
      <w:r w:rsidR="007716BD">
        <w:t xml:space="preserve"> as </w:t>
      </w:r>
      <w:r w:rsidR="00D05052">
        <w:t xml:space="preserve">patients can be asymptomatic </w:t>
      </w:r>
      <w:r w:rsidR="006164CE">
        <w:t xml:space="preserve">until </w:t>
      </w:r>
      <w:r w:rsidR="003A02E4">
        <w:t>precipitated by</w:t>
      </w:r>
      <w:r w:rsidR="006164CE">
        <w:t xml:space="preserve"> an acute event </w:t>
      </w:r>
      <w:r w:rsidR="00B83F68">
        <w:t>(e.g. by viral infection</w:t>
      </w:r>
      <w:r w:rsidR="002372FE">
        <w:t>, vaccination</w:t>
      </w:r>
      <w:r w:rsidR="00B83F68">
        <w:t xml:space="preserve"> or pregnancy)</w:t>
      </w:r>
      <w:r w:rsidR="00F635C6">
        <w:t>.</w:t>
      </w:r>
      <w:r w:rsidR="00D5636D">
        <w:t xml:space="preserve"> Late recognition can lead to other medical co-morbidities such as stroke and obstetric complications</w:t>
      </w:r>
      <w:r w:rsidR="009904D7">
        <w:t>.</w:t>
      </w:r>
    </w:p>
    <w:p w14:paraId="020DDC03" w14:textId="5E334302" w:rsidR="003A02E4" w:rsidRDefault="000D22FD" w:rsidP="006E52AF">
      <w:r>
        <w:t xml:space="preserve">Without access to </w:t>
      </w:r>
      <w:r w:rsidRPr="001304EF">
        <w:rPr>
          <w:i/>
          <w:iCs/>
        </w:rPr>
        <w:t>ADAMTS13</w:t>
      </w:r>
      <w:r>
        <w:t xml:space="preserve"> genetic testing, first-degree </w:t>
      </w:r>
      <w:r w:rsidR="00A94496">
        <w:t xml:space="preserve">siblings </w:t>
      </w:r>
      <w:r>
        <w:t>of patients diagnosed with cTTP who are overtly symptomatic may be assumed to also have cTTP</w:t>
      </w:r>
      <w:r w:rsidR="003A02E4">
        <w:t xml:space="preserve"> </w:t>
      </w:r>
      <w:r w:rsidR="00A94CA2">
        <w:t>and</w:t>
      </w:r>
      <w:r w:rsidR="003A02E4">
        <w:t xml:space="preserve"> those without overt symptoms are less likely to be identified</w:t>
      </w:r>
      <w:r>
        <w:t xml:space="preserve">. </w:t>
      </w:r>
    </w:p>
    <w:p w14:paraId="433FE2E9" w14:textId="3004612D" w:rsidR="00EB7103" w:rsidRPr="00742273" w:rsidRDefault="003A02E4" w:rsidP="00742273">
      <w:r>
        <w:t>I</w:t>
      </w:r>
      <w:r w:rsidR="000D22FD">
        <w:t xml:space="preserve">f the </w:t>
      </w:r>
      <w:r w:rsidR="0008787F">
        <w:t xml:space="preserve">proposed </w:t>
      </w:r>
      <w:r w:rsidR="000D22FD">
        <w:t xml:space="preserve">intervention, </w:t>
      </w:r>
      <w:r w:rsidR="000D22FD" w:rsidRPr="001304EF">
        <w:rPr>
          <w:i/>
          <w:iCs/>
        </w:rPr>
        <w:t>ADAMTS13</w:t>
      </w:r>
      <w:r w:rsidR="000D22FD">
        <w:t xml:space="preserve"> cascade testing, is available, then first-degree </w:t>
      </w:r>
      <w:r w:rsidR="0038587A">
        <w:t>siblings</w:t>
      </w:r>
      <w:r w:rsidR="000D22FD">
        <w:t>, including those with non-overt symptoms and no symptom</w:t>
      </w:r>
      <w:r w:rsidR="004A171A">
        <w:t>s</w:t>
      </w:r>
      <w:r w:rsidR="00DD4B61">
        <w:t>,</w:t>
      </w:r>
      <w:r w:rsidR="000D22FD">
        <w:t xml:space="preserve"> can also be tested</w:t>
      </w:r>
      <w:r w:rsidR="005B2684">
        <w:t xml:space="preserve"> (</w:t>
      </w:r>
      <w:r w:rsidR="005B2684">
        <w:fldChar w:fldCharType="begin"/>
      </w:r>
      <w:r w:rsidR="005B2684">
        <w:instrText xml:space="preserve"> REF _Ref192592201 \h </w:instrText>
      </w:r>
      <w:r w:rsidR="005B2684">
        <w:fldChar w:fldCharType="separate"/>
      </w:r>
      <w:r w:rsidR="00AE1C62">
        <w:t xml:space="preserve">Figure </w:t>
      </w:r>
      <w:r w:rsidR="00AE1C62">
        <w:rPr>
          <w:noProof/>
        </w:rPr>
        <w:t>7</w:t>
      </w:r>
      <w:r w:rsidR="005B2684">
        <w:fldChar w:fldCharType="end"/>
      </w:r>
      <w:r w:rsidR="005B2684">
        <w:t>)</w:t>
      </w:r>
      <w:r w:rsidR="000D22FD">
        <w:t xml:space="preserve">. </w:t>
      </w:r>
      <w:r w:rsidR="00EB7103">
        <w:t>Confirmation of pathogenic variant</w:t>
      </w:r>
      <w:r w:rsidR="00B932C3">
        <w:t>s</w:t>
      </w:r>
      <w:r w:rsidR="00144179">
        <w:t xml:space="preserve"> (homozygous or compound heterozygous)</w:t>
      </w:r>
      <w:r w:rsidR="00EB7103">
        <w:t xml:space="preserve"> c</w:t>
      </w:r>
      <w:r w:rsidR="00AD7342">
        <w:t>an</w:t>
      </w:r>
      <w:r w:rsidR="00EB7103">
        <w:t xml:space="preserve"> lead to improved clinical management</w:t>
      </w:r>
      <w:r w:rsidR="001C1B7B">
        <w:t>.</w:t>
      </w:r>
      <w:r w:rsidR="00912559">
        <w:t xml:space="preserve"> Patients without overt symptoms may have </w:t>
      </w:r>
      <w:r w:rsidR="00CB6491">
        <w:t xml:space="preserve">symptoms such as headaches, lethargy and </w:t>
      </w:r>
      <w:r w:rsidR="00053BBA">
        <w:t xml:space="preserve">abdominal </w:t>
      </w:r>
      <w:r w:rsidR="00CB6491">
        <w:t xml:space="preserve">pain that </w:t>
      </w:r>
      <w:r w:rsidR="001152CD">
        <w:t>are respons</w:t>
      </w:r>
      <w:r w:rsidR="00AD7342">
        <w:t>ive</w:t>
      </w:r>
      <w:r w:rsidR="001152CD">
        <w:t xml:space="preserve"> to prophylactic treatment with plasma infusions</w:t>
      </w:r>
      <w:r w:rsidR="00936A09">
        <w:t xml:space="preserve"> (Alwyn et al. 2019)</w:t>
      </w:r>
      <w:r w:rsidR="001152CD">
        <w:t xml:space="preserve">. </w:t>
      </w:r>
      <w:r w:rsidR="00AB241B">
        <w:t xml:space="preserve">This may also prevent </w:t>
      </w:r>
      <w:r w:rsidR="00B63411">
        <w:t xml:space="preserve">acute </w:t>
      </w:r>
      <w:r w:rsidR="00CF566F">
        <w:t>episode</w:t>
      </w:r>
      <w:r w:rsidR="00404725">
        <w:t>s</w:t>
      </w:r>
      <w:r w:rsidR="00CF566F">
        <w:t xml:space="preserve"> and other medical co-morbidities.</w:t>
      </w:r>
      <w:r w:rsidR="001152CD">
        <w:t xml:space="preserve"> </w:t>
      </w:r>
      <w:r w:rsidR="003E1DDF">
        <w:t>If</w:t>
      </w:r>
      <w:r w:rsidR="00647C0F">
        <w:t xml:space="preserve"> the </w:t>
      </w:r>
      <w:r w:rsidR="0038587A">
        <w:t xml:space="preserve">siblings </w:t>
      </w:r>
      <w:r w:rsidR="00647C0F">
        <w:t>are found to be</w:t>
      </w:r>
      <w:r w:rsidR="00AD7342" w:rsidRPr="00AD7342">
        <w:t xml:space="preserve"> </w:t>
      </w:r>
      <w:r w:rsidR="00AD7342">
        <w:t>homozygous or compound heterozygous</w:t>
      </w:r>
      <w:r w:rsidR="003E1DDF">
        <w:t xml:space="preserve"> </w:t>
      </w:r>
      <w:r w:rsidR="00647C0F">
        <w:t xml:space="preserve">for </w:t>
      </w:r>
      <w:r w:rsidR="00AD7342">
        <w:t>pathogenic variant</w:t>
      </w:r>
      <w:r w:rsidR="00B932C3">
        <w:t>s</w:t>
      </w:r>
      <w:r w:rsidR="001152CD">
        <w:t xml:space="preserve"> </w:t>
      </w:r>
      <w:r w:rsidR="00647C0F">
        <w:t>and are</w:t>
      </w:r>
      <w:r w:rsidR="00AD7342">
        <w:t xml:space="preserve"> asymptomatic, t</w:t>
      </w:r>
      <w:r w:rsidR="00B932C3">
        <w:t xml:space="preserve">hen additional treatment or monitoring can be initiated during high-risk periods such as pregnancy. </w:t>
      </w:r>
    </w:p>
    <w:p w14:paraId="4A3F07E7" w14:textId="3310B7D1" w:rsidR="00B962BA" w:rsidRDefault="00AF431D" w:rsidP="00CD1A8E">
      <w:pPr>
        <w:spacing w:after="0"/>
      </w:pPr>
      <w:r>
        <w:rPr>
          <w:noProof/>
        </w:rPr>
        <w:lastRenderedPageBreak/>
        <w:drawing>
          <wp:inline distT="0" distB="0" distL="0" distR="0" wp14:anchorId="4D5DC4BE" wp14:editId="2449BD1B">
            <wp:extent cx="6083935" cy="7251700"/>
            <wp:effectExtent l="0" t="0" r="0" b="6350"/>
            <wp:docPr id="1184630011" name="Picture 1" descr="Figure 7 PICO Set 2: Cascade testing for first-degree biological sibl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30011" name="Picture 1" descr="Figure 7 PICO Set 2: Cascade testing for first-degree biological sibling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083935" cy="7251700"/>
                    </a:xfrm>
                    <a:prstGeom prst="rect">
                      <a:avLst/>
                    </a:prstGeom>
                  </pic:spPr>
                </pic:pic>
              </a:graphicData>
            </a:graphic>
          </wp:inline>
        </w:drawing>
      </w:r>
    </w:p>
    <w:p w14:paraId="04B52C1F" w14:textId="0079F36F" w:rsidR="00CD1A8E" w:rsidRDefault="00CD1A8E" w:rsidP="00CD1A8E">
      <w:pPr>
        <w:pStyle w:val="Caption"/>
        <w:spacing w:before="0"/>
      </w:pPr>
      <w:bookmarkStart w:id="15" w:name="_Ref192592201"/>
      <w:r>
        <w:t xml:space="preserve">Figure </w:t>
      </w:r>
      <w:r>
        <w:fldChar w:fldCharType="begin"/>
      </w:r>
      <w:r>
        <w:instrText xml:space="preserve"> SEQ Figure \* ARABIC </w:instrText>
      </w:r>
      <w:r>
        <w:fldChar w:fldCharType="separate"/>
      </w:r>
      <w:r w:rsidR="00AE1C62">
        <w:rPr>
          <w:noProof/>
        </w:rPr>
        <w:t>7</w:t>
      </w:r>
      <w:r>
        <w:fldChar w:fldCharType="end"/>
      </w:r>
      <w:bookmarkEnd w:id="15"/>
      <w:r>
        <w:tab/>
        <w:t xml:space="preserve">PICO Set 2: Cascade testing for first-degree biological </w:t>
      </w:r>
      <w:r w:rsidR="0038587A">
        <w:t>siblings</w:t>
      </w:r>
    </w:p>
    <w:p w14:paraId="550C5204" w14:textId="2D22F3DA" w:rsidR="00084C8B" w:rsidRDefault="00084C8B" w:rsidP="00020D19">
      <w:pPr>
        <w:pStyle w:val="Tablenotes"/>
        <w:spacing w:after="0"/>
        <w:rPr>
          <w:lang w:val="en-GB" w:eastAsia="ja-JP"/>
        </w:rPr>
      </w:pPr>
      <w:r>
        <w:rPr>
          <w:lang w:val="en-GB" w:eastAsia="ja-JP"/>
        </w:rPr>
        <w:t>Source: prepared by the assessment group</w:t>
      </w:r>
      <w:r w:rsidR="00B205E3">
        <w:rPr>
          <w:lang w:val="en-GB" w:eastAsia="ja-JP"/>
        </w:rPr>
        <w:t xml:space="preserve"> based on Application 1796 and information from the applicant and clinical guidelines (Scully et al. 2023, Fox et al., 2018)</w:t>
      </w:r>
      <w:r>
        <w:rPr>
          <w:lang w:val="en-GB" w:eastAsia="ja-JP"/>
        </w:rPr>
        <w:t>.</w:t>
      </w:r>
    </w:p>
    <w:p w14:paraId="70E462F4" w14:textId="3060F71C" w:rsidR="00CD1A8E" w:rsidRDefault="008F4791" w:rsidP="008F4791">
      <w:pPr>
        <w:pStyle w:val="Tablenotes"/>
        <w:spacing w:after="360"/>
      </w:pPr>
      <w:r>
        <w:t xml:space="preserve">cTTP = congenital TTP; PICO = </w:t>
      </w:r>
      <w:r w:rsidR="00001A4B">
        <w:t>Population, Intervention, Comparator, Outcomes</w:t>
      </w:r>
      <w:r>
        <w:t>; Tx = treatment.</w:t>
      </w:r>
    </w:p>
    <w:p w14:paraId="68E6054D" w14:textId="77777777" w:rsidR="00670C91" w:rsidRDefault="00670C91" w:rsidP="0096106B">
      <w:pPr>
        <w:pStyle w:val="Heading4"/>
      </w:pPr>
      <w:r>
        <w:br w:type="page"/>
      </w:r>
    </w:p>
    <w:p w14:paraId="7A845F31" w14:textId="539727FD" w:rsidR="0096106B" w:rsidRDefault="00821CE2" w:rsidP="0096106B">
      <w:pPr>
        <w:pStyle w:val="Heading4"/>
      </w:pPr>
      <w:r>
        <w:lastRenderedPageBreak/>
        <w:t>Proposed clinical management – PICO Set 3</w:t>
      </w:r>
    </w:p>
    <w:p w14:paraId="431BBDC8" w14:textId="3FC1EEC8" w:rsidR="000E0576" w:rsidRDefault="007A6D52" w:rsidP="000E0576">
      <w:r>
        <w:t xml:space="preserve">Once a clinical response has been achieved </w:t>
      </w:r>
      <w:r w:rsidR="00373BD4">
        <w:t>with PEX treatment (or plasma infusions for suspected cTTP)</w:t>
      </w:r>
      <w:r w:rsidR="006E17FF">
        <w:t>,</w:t>
      </w:r>
      <w:r w:rsidR="00943A4E">
        <w:t xml:space="preserve"> patients </w:t>
      </w:r>
      <w:r w:rsidR="00B96EAB">
        <w:t>require long-term follow-up. This includes monitoring of end-organ damage</w:t>
      </w:r>
      <w:r w:rsidR="00B35946">
        <w:t xml:space="preserve"> (brain, heart and renal function) and anxiety and depression (Scully et al. 2023). </w:t>
      </w:r>
      <w:r w:rsidR="007C19DD">
        <w:t>Ongoing management of organ damage and psychological impacts is not included in the clinical management algorithm</w:t>
      </w:r>
      <w:r w:rsidR="005C753B">
        <w:t xml:space="preserve"> and would not be altered by the introduction of ADAMTS13 testing</w:t>
      </w:r>
      <w:r w:rsidR="007C19DD">
        <w:t xml:space="preserve">. </w:t>
      </w:r>
    </w:p>
    <w:p w14:paraId="4074169F" w14:textId="1786E86C" w:rsidR="00E6323B" w:rsidRDefault="007C19DD" w:rsidP="000E0576">
      <w:r>
        <w:t>In the absence of ADAMTS13 activity testing, ongoing monitoring of disease activity is undertaken via repeated measure</w:t>
      </w:r>
      <w:r w:rsidR="009C0945">
        <w:t>s</w:t>
      </w:r>
      <w:r>
        <w:t xml:space="preserve"> of platelet count</w:t>
      </w:r>
      <w:r w:rsidR="003E2EC8">
        <w:t xml:space="preserve"> a</w:t>
      </w:r>
      <w:r w:rsidR="0039136C">
        <w:t>nd LDH levels (</w:t>
      </w:r>
      <w:r w:rsidR="009C0945">
        <w:t>Cuker et al. 2021)</w:t>
      </w:r>
      <w:r>
        <w:t xml:space="preserve">. </w:t>
      </w:r>
      <w:r w:rsidR="00B843B7">
        <w:t>ADAMTS13 activity testing is proposed as an additional test for monitoring ongoing disease activity</w:t>
      </w:r>
      <w:r w:rsidR="003729E7">
        <w:t>, as changes i</w:t>
      </w:r>
      <w:r w:rsidR="00D63477">
        <w:t>n</w:t>
      </w:r>
      <w:r w:rsidR="003729E7">
        <w:t xml:space="preserve"> ADAMSTS</w:t>
      </w:r>
      <w:r w:rsidR="00877A98">
        <w:t xml:space="preserve">13 activity precede </w:t>
      </w:r>
      <w:r w:rsidR="00F93E96">
        <w:t xml:space="preserve">a </w:t>
      </w:r>
      <w:r w:rsidR="0081782E">
        <w:t>drop in platelet count</w:t>
      </w:r>
      <w:r w:rsidR="008C77A1">
        <w:t xml:space="preserve">. </w:t>
      </w:r>
    </w:p>
    <w:p w14:paraId="2024E39B" w14:textId="79DA739C" w:rsidR="00DD39ED" w:rsidRDefault="00300895" w:rsidP="00453C25">
      <w:r>
        <w:t>M</w:t>
      </w:r>
      <w:r w:rsidR="00E6323B">
        <w:t>onitoring</w:t>
      </w:r>
      <w:r>
        <w:t xml:space="preserve"> frequency is proposed to alter over time</w:t>
      </w:r>
      <w:r w:rsidR="007A4D98">
        <w:t xml:space="preserve"> (</w:t>
      </w:r>
      <w:r w:rsidR="007A4D98">
        <w:fldChar w:fldCharType="begin"/>
      </w:r>
      <w:r w:rsidR="007A4D98">
        <w:instrText xml:space="preserve"> REF _Ref192592272 \h </w:instrText>
      </w:r>
      <w:r w:rsidR="007A4D98">
        <w:fldChar w:fldCharType="separate"/>
      </w:r>
      <w:r w:rsidR="00AE1C62">
        <w:t xml:space="preserve">Figure </w:t>
      </w:r>
      <w:r w:rsidR="00AE1C62">
        <w:rPr>
          <w:noProof/>
        </w:rPr>
        <w:t>8</w:t>
      </w:r>
      <w:r w:rsidR="007A4D98">
        <w:fldChar w:fldCharType="end"/>
      </w:r>
      <w:r w:rsidR="007A4D98">
        <w:t>)</w:t>
      </w:r>
      <w:r>
        <w:t xml:space="preserve">. </w:t>
      </w:r>
      <w:r w:rsidR="006923B1">
        <w:t>For patients i</w:t>
      </w:r>
      <w:r w:rsidR="00E6323B">
        <w:t xml:space="preserve">n the first </w:t>
      </w:r>
      <w:r>
        <w:t>month</w:t>
      </w:r>
      <w:r w:rsidR="00E6323B">
        <w:t xml:space="preserve"> post-PEX</w:t>
      </w:r>
      <w:r w:rsidR="004C1324">
        <w:t>,</w:t>
      </w:r>
      <w:r w:rsidR="000216E7">
        <w:t xml:space="preserve"> </w:t>
      </w:r>
      <w:r w:rsidR="006923B1">
        <w:t>(i.e.</w:t>
      </w:r>
      <w:r w:rsidR="00741F3E">
        <w:t xml:space="preserve"> in clinical</w:t>
      </w:r>
      <w:r w:rsidR="000216E7">
        <w:t xml:space="preserve"> </w:t>
      </w:r>
      <w:r w:rsidR="00C16E5B">
        <w:t>response</w:t>
      </w:r>
      <w:r w:rsidR="006923B1">
        <w:t>)</w:t>
      </w:r>
      <w:r w:rsidR="004740F4">
        <w:t xml:space="preserve">, </w:t>
      </w:r>
      <w:r>
        <w:t xml:space="preserve">monitoring occurs weekly and is directed at </w:t>
      </w:r>
      <w:r w:rsidR="008E617D">
        <w:t xml:space="preserve">identifying and preventing disease exacerbations. If no exacerbations occur over this time, the patient is in remission and monitoring frequency is reduced and aimed at </w:t>
      </w:r>
      <w:r w:rsidR="00244E51">
        <w:t>identifying</w:t>
      </w:r>
      <w:r w:rsidR="008E617D">
        <w:t xml:space="preserve"> and preventing recurrence. </w:t>
      </w:r>
      <w:r w:rsidR="00046F3B">
        <w:t xml:space="preserve">In both cases, low levels of ADAMTS13 </w:t>
      </w:r>
      <w:r w:rsidR="00A8660C">
        <w:t xml:space="preserve">activity </w:t>
      </w:r>
      <w:r w:rsidR="00046F3B">
        <w:t xml:space="preserve">may trigger changes in treatment, particularly </w:t>
      </w:r>
      <w:r w:rsidR="001E4E08">
        <w:t xml:space="preserve">resumption or changes in immunomodulatory therapies and potentially </w:t>
      </w:r>
      <w:r w:rsidR="006F4344">
        <w:t>resu</w:t>
      </w:r>
      <w:r w:rsidR="00A16262">
        <w:t>mption</w:t>
      </w:r>
      <w:r w:rsidR="001E4E08">
        <w:t xml:space="preserve"> of PEX. </w:t>
      </w:r>
      <w:r w:rsidR="00034B8F">
        <w:t>Levels of ADAMTS</w:t>
      </w:r>
      <w:r w:rsidR="00E527C9">
        <w:t xml:space="preserve">13 activity that trigger changes in treatment may be higher than those that are used for diagnosis with a </w:t>
      </w:r>
      <w:r w:rsidR="00EC4539">
        <w:t xml:space="preserve">level of 20% selected in </w:t>
      </w:r>
      <w:r w:rsidR="00BD1B4A">
        <w:t xml:space="preserve">consensus guidelines </w:t>
      </w:r>
      <w:r w:rsidR="00D357DA">
        <w:t>as defining ADAMTS13</w:t>
      </w:r>
      <w:r w:rsidR="0059771A">
        <w:t xml:space="preserve"> relapse </w:t>
      </w:r>
      <w:r w:rsidR="00BD1B4A">
        <w:t>(Cuker et al. 2021)</w:t>
      </w:r>
      <w:r w:rsidR="001D6781">
        <w:t xml:space="preserve">. </w:t>
      </w:r>
    </w:p>
    <w:p w14:paraId="57FCB55C" w14:textId="7F11C561" w:rsidR="00DD39ED" w:rsidRDefault="00B47A16" w:rsidP="003F0E9A">
      <w:pPr>
        <w:keepNext/>
        <w:spacing w:after="0"/>
      </w:pPr>
      <w:r>
        <w:rPr>
          <w:noProof/>
        </w:rPr>
        <w:lastRenderedPageBreak/>
        <w:drawing>
          <wp:inline distT="0" distB="0" distL="0" distR="0" wp14:anchorId="6B8C72A7" wp14:editId="4249B918">
            <wp:extent cx="5319423" cy="5489263"/>
            <wp:effectExtent l="0" t="0" r="0" b="0"/>
            <wp:docPr id="1147750863" name="Picture 3" descr="Figure 8 PICO Set 3: Monitoring ADAMTS13 activity in TTP patients during the post-acute and remission p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750863" name="Picture 3" descr="Figure 8 PICO Set 3: Monitoring ADAMTS13 activity in TTP patients during the post-acute and remission phases."/>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339560" cy="5510043"/>
                    </a:xfrm>
                    <a:prstGeom prst="rect">
                      <a:avLst/>
                    </a:prstGeom>
                  </pic:spPr>
                </pic:pic>
              </a:graphicData>
            </a:graphic>
          </wp:inline>
        </w:drawing>
      </w:r>
    </w:p>
    <w:p w14:paraId="54277E50" w14:textId="7E408CF8" w:rsidR="00CD1A8E" w:rsidRDefault="00CD1A8E" w:rsidP="00CD1A8E">
      <w:pPr>
        <w:pStyle w:val="Caption"/>
        <w:spacing w:before="0"/>
      </w:pPr>
      <w:bookmarkStart w:id="16" w:name="_Ref192592272"/>
      <w:r>
        <w:t xml:space="preserve">Figure </w:t>
      </w:r>
      <w:r>
        <w:fldChar w:fldCharType="begin"/>
      </w:r>
      <w:r>
        <w:instrText xml:space="preserve"> SEQ Figure \* ARABIC </w:instrText>
      </w:r>
      <w:r>
        <w:fldChar w:fldCharType="separate"/>
      </w:r>
      <w:r w:rsidR="00AE1C62">
        <w:rPr>
          <w:noProof/>
        </w:rPr>
        <w:t>8</w:t>
      </w:r>
      <w:r>
        <w:fldChar w:fldCharType="end"/>
      </w:r>
      <w:bookmarkEnd w:id="16"/>
      <w:r>
        <w:tab/>
        <w:t xml:space="preserve">PICO Set 3: Monitoring ADAMTS13 activity in TTP patients during </w:t>
      </w:r>
      <w:r>
        <w:rPr>
          <w:bCs/>
          <w:lang w:val="en-AU"/>
        </w:rPr>
        <w:t>the p</w:t>
      </w:r>
      <w:r w:rsidRPr="00E360C6">
        <w:rPr>
          <w:bCs/>
          <w:lang w:val="en-AU"/>
        </w:rPr>
        <w:t xml:space="preserve">ost-acute </w:t>
      </w:r>
      <w:r>
        <w:rPr>
          <w:bCs/>
          <w:lang w:val="en-AU"/>
        </w:rPr>
        <w:t>and</w:t>
      </w:r>
      <w:r w:rsidRPr="00E360C6">
        <w:rPr>
          <w:bCs/>
          <w:lang w:val="en-AU"/>
        </w:rPr>
        <w:t xml:space="preserve"> remission</w:t>
      </w:r>
      <w:r>
        <w:rPr>
          <w:bCs/>
          <w:lang w:val="en-AU"/>
        </w:rPr>
        <w:t xml:space="preserve"> phases</w:t>
      </w:r>
    </w:p>
    <w:p w14:paraId="7F846BEA" w14:textId="5D30C1CB" w:rsidR="00084C8B" w:rsidRDefault="00084C8B" w:rsidP="00020D19">
      <w:pPr>
        <w:pStyle w:val="Tablenotes"/>
        <w:spacing w:after="0"/>
        <w:rPr>
          <w:lang w:val="en-GB" w:eastAsia="ja-JP"/>
        </w:rPr>
      </w:pPr>
      <w:r>
        <w:rPr>
          <w:lang w:val="en-GB" w:eastAsia="ja-JP"/>
        </w:rPr>
        <w:t>Source: prepared by the assessment group</w:t>
      </w:r>
      <w:r w:rsidR="00B205E3" w:rsidRPr="00B205E3">
        <w:rPr>
          <w:lang w:val="en-GB" w:eastAsia="ja-JP"/>
        </w:rPr>
        <w:t xml:space="preserve"> </w:t>
      </w:r>
      <w:r w:rsidR="00B205E3">
        <w:rPr>
          <w:lang w:val="en-GB" w:eastAsia="ja-JP"/>
        </w:rPr>
        <w:t>based on Application 1796 and information from the applicant and clinical guidelines (Scully et al. 2023, Fox et al., 2018)</w:t>
      </w:r>
      <w:r>
        <w:rPr>
          <w:lang w:val="en-GB" w:eastAsia="ja-JP"/>
        </w:rPr>
        <w:t>.</w:t>
      </w:r>
    </w:p>
    <w:p w14:paraId="5013ADCD" w14:textId="5404E9F1" w:rsidR="00DD39ED" w:rsidRDefault="00814C43" w:rsidP="00814C43">
      <w:pPr>
        <w:pStyle w:val="Tablenotes"/>
      </w:pPr>
      <w:r>
        <w:t xml:space="preserve">cTTP = congenital TTP; iTTP = immune-mediated TTP; PEX = Plasma exchange therapy; PICO = </w:t>
      </w:r>
      <w:r w:rsidR="00001A4B">
        <w:t>Population, Intervention, Comparator, Outcomes</w:t>
      </w:r>
      <w:r>
        <w:t>; TTP = thrombotic thrombocytopenic purpura.</w:t>
      </w:r>
    </w:p>
    <w:p w14:paraId="79A3E38E" w14:textId="5EE237C0" w:rsidR="00706C0C" w:rsidRDefault="00706C0C" w:rsidP="00706C0C">
      <w:r>
        <w:rPr>
          <w:rFonts w:asciiTheme="minorHAnsi" w:hAnsiTheme="minorHAnsi" w:cstheme="minorHAnsi"/>
          <w:i/>
          <w:iCs/>
        </w:rPr>
        <w:t>PASC accepted the clinical management algorithms.</w:t>
      </w:r>
    </w:p>
    <w:p w14:paraId="2BDE22B9" w14:textId="77777777" w:rsidR="00D73332" w:rsidRDefault="00D73332" w:rsidP="00713728">
      <w:pPr>
        <w:pStyle w:val="Heading2"/>
        <w:rPr>
          <w:b/>
          <w:bCs/>
          <w:i/>
        </w:rPr>
      </w:pPr>
      <w:r w:rsidRPr="00490FBB">
        <w:t>Proposed economic evaluation</w:t>
      </w:r>
    </w:p>
    <w:p w14:paraId="41398072" w14:textId="594ED952" w:rsidR="008C15B9" w:rsidRDefault="008C15B9" w:rsidP="008C15B9">
      <w:pPr>
        <w:pStyle w:val="Heading4"/>
      </w:pPr>
      <w:r>
        <w:t>PICO Set 1</w:t>
      </w:r>
    </w:p>
    <w:p w14:paraId="165504EC" w14:textId="5BDB2DF9" w:rsidR="008C15B9" w:rsidRPr="003A5B9D" w:rsidRDefault="008C15B9" w:rsidP="008C15B9">
      <w:pPr>
        <w:spacing w:before="200"/>
      </w:pPr>
      <w:r>
        <w:rPr>
          <w:iCs/>
        </w:rPr>
        <w:t xml:space="preserve">The clinical claim in the application is that </w:t>
      </w:r>
      <w:r w:rsidRPr="002B5222">
        <w:rPr>
          <w:iCs/>
        </w:rPr>
        <w:t>ADAMTS13</w:t>
      </w:r>
      <w:r>
        <w:rPr>
          <w:iCs/>
        </w:rPr>
        <w:t xml:space="preserve"> testing results in superior health outcomes compared to no </w:t>
      </w:r>
      <w:r w:rsidRPr="002B5222">
        <w:rPr>
          <w:iCs/>
        </w:rPr>
        <w:t>ADAMTS13</w:t>
      </w:r>
      <w:r>
        <w:rPr>
          <w:iCs/>
        </w:rPr>
        <w:t xml:space="preserve"> testing for patients with suspected TTP.</w:t>
      </w:r>
      <w:r w:rsidR="00AB03EC">
        <w:rPr>
          <w:iCs/>
        </w:rPr>
        <w:t xml:space="preserve"> </w:t>
      </w:r>
      <w:r w:rsidR="004B62F9">
        <w:rPr>
          <w:iCs/>
        </w:rPr>
        <w:t>T</w:t>
      </w:r>
      <w:r w:rsidR="007A39BB">
        <w:rPr>
          <w:iCs/>
        </w:rPr>
        <w:t xml:space="preserve">he main clinical benefit </w:t>
      </w:r>
      <w:r w:rsidR="00AF0753">
        <w:t>of ADAMTS13 testing is for patients who test negative for TTP via ADAMTS13 activity testing as they can cease PEX early</w:t>
      </w:r>
      <w:r w:rsidR="00AF0753">
        <w:rPr>
          <w:iCs/>
        </w:rPr>
        <w:t xml:space="preserve"> and avoid the associated complications</w:t>
      </w:r>
      <w:r w:rsidR="006A43F8">
        <w:rPr>
          <w:iCs/>
        </w:rPr>
        <w:t xml:space="preserve"> and cost</w:t>
      </w:r>
      <w:r w:rsidR="00AF0753">
        <w:rPr>
          <w:iCs/>
        </w:rPr>
        <w:t xml:space="preserve"> of th</w:t>
      </w:r>
      <w:r w:rsidR="006A43F8">
        <w:rPr>
          <w:iCs/>
        </w:rPr>
        <w:t>is</w:t>
      </w:r>
      <w:r w:rsidR="00AF0753">
        <w:rPr>
          <w:iCs/>
        </w:rPr>
        <w:t xml:space="preserve"> therapy.</w:t>
      </w:r>
    </w:p>
    <w:p w14:paraId="50AB55CA" w14:textId="3E3AE206" w:rsidR="007C53B8" w:rsidRDefault="005802D1" w:rsidP="008C15B9">
      <w:pPr>
        <w:spacing w:before="200"/>
      </w:pPr>
      <w:r>
        <w:t>The clinical claim in the application leads to a cost-effectiveness analysis (CEA) or a cost-utility analysis (CUA) for the economic evaluation (</w:t>
      </w:r>
      <w:r>
        <w:fldChar w:fldCharType="begin"/>
      </w:r>
      <w:r>
        <w:instrText xml:space="preserve"> REF _Ref54260209 \h </w:instrText>
      </w:r>
      <w:r>
        <w:fldChar w:fldCharType="separate"/>
      </w:r>
      <w:r w:rsidR="00AE1C62" w:rsidRPr="00490FBB">
        <w:t>Table</w:t>
      </w:r>
      <w:r w:rsidR="00AE1C62">
        <w:t> </w:t>
      </w:r>
      <w:r w:rsidR="00AE1C62">
        <w:rPr>
          <w:noProof/>
        </w:rPr>
        <w:t>9</w:t>
      </w:r>
      <w:r>
        <w:fldChar w:fldCharType="end"/>
      </w:r>
      <w:r>
        <w:t>).</w:t>
      </w:r>
      <w:r w:rsidR="003F12AC">
        <w:t xml:space="preserve"> </w:t>
      </w:r>
      <w:r w:rsidR="00B61FE6">
        <w:t xml:space="preserve">The comparative cost-effectiveness assessment should </w:t>
      </w:r>
      <w:r w:rsidR="009D3614">
        <w:t xml:space="preserve">incorporate the </w:t>
      </w:r>
      <w:r w:rsidR="00816A66">
        <w:t xml:space="preserve">comparative </w:t>
      </w:r>
      <w:r w:rsidR="009E5388">
        <w:t xml:space="preserve">costs and benefits of </w:t>
      </w:r>
      <w:r w:rsidR="002E6122">
        <w:t>ADAMTS13 testing</w:t>
      </w:r>
      <w:r w:rsidR="00337C60">
        <w:t xml:space="preserve"> </w:t>
      </w:r>
      <w:r w:rsidR="00D4706E">
        <w:t xml:space="preserve">strategy </w:t>
      </w:r>
      <w:r w:rsidR="00337C60">
        <w:t xml:space="preserve">as an </w:t>
      </w:r>
      <w:r w:rsidR="007E201E">
        <w:t xml:space="preserve">additional testing </w:t>
      </w:r>
      <w:r w:rsidR="00EE2B80">
        <w:lastRenderedPageBreak/>
        <w:t>strategy to current best practice</w:t>
      </w:r>
      <w:r w:rsidR="00FD77D6">
        <w:t xml:space="preserve"> in the differential diagnosis of TTP v</w:t>
      </w:r>
      <w:r w:rsidR="00BD7534">
        <w:t>ersus</w:t>
      </w:r>
      <w:r w:rsidR="00FD77D6">
        <w:t xml:space="preserve"> non-TTP</w:t>
      </w:r>
      <w:r w:rsidR="00447440">
        <w:t xml:space="preserve"> and iTTP</w:t>
      </w:r>
      <w:r w:rsidR="002E6299">
        <w:t xml:space="preserve"> v</w:t>
      </w:r>
      <w:r w:rsidR="00BD7534">
        <w:t>ersus</w:t>
      </w:r>
      <w:r w:rsidR="002E6299">
        <w:t xml:space="preserve"> </w:t>
      </w:r>
      <w:r w:rsidR="00FE016C">
        <w:t>cTTP</w:t>
      </w:r>
      <w:r w:rsidR="00E00D1F">
        <w:t xml:space="preserve">, including </w:t>
      </w:r>
      <w:r w:rsidR="00010051">
        <w:t xml:space="preserve">considerations of </w:t>
      </w:r>
      <w:r w:rsidR="00EC7B03">
        <w:t xml:space="preserve">AEs from testing (e.g., </w:t>
      </w:r>
      <w:r w:rsidR="00651A17">
        <w:t xml:space="preserve">false </w:t>
      </w:r>
      <w:r w:rsidR="00415628">
        <w:t>positives</w:t>
      </w:r>
      <w:r w:rsidR="00EC7B03">
        <w:t>,</w:t>
      </w:r>
      <w:r w:rsidR="00415628">
        <w:t xml:space="preserve"> false negatives</w:t>
      </w:r>
      <w:r w:rsidR="00EC7B03">
        <w:t>)</w:t>
      </w:r>
      <w:r w:rsidR="00607615">
        <w:t xml:space="preserve"> and downstream </w:t>
      </w:r>
      <w:r w:rsidR="008035B0">
        <w:t>treatment</w:t>
      </w:r>
      <w:r w:rsidR="00415628">
        <w:t>.</w:t>
      </w:r>
    </w:p>
    <w:p w14:paraId="64CB3FC5" w14:textId="5E62CE06" w:rsidR="000825D8" w:rsidRDefault="000825D8" w:rsidP="000825D8">
      <w:pPr>
        <w:autoSpaceDE w:val="0"/>
        <w:autoSpaceDN w:val="0"/>
        <w:adjustRightInd w:val="0"/>
        <w:spacing w:line="23" w:lineRule="atLeast"/>
        <w:rPr>
          <w:rFonts w:asciiTheme="minorHAnsi" w:hAnsiTheme="minorHAnsi" w:cstheme="minorHAnsi"/>
          <w:i/>
          <w:iCs/>
        </w:rPr>
      </w:pPr>
      <w:r>
        <w:rPr>
          <w:rFonts w:asciiTheme="minorHAnsi" w:hAnsiTheme="minorHAnsi" w:cstheme="minorHAnsi"/>
          <w:i/>
          <w:iCs/>
        </w:rPr>
        <w:t xml:space="preserve">The PASC discussed whether the 3 sequential tests in PICO Set 1 could be considered in a single economic evaluation or whether they should be split out. It was agreed that since the activity and antibody testing are both performed </w:t>
      </w:r>
      <w:r w:rsidRPr="001323BF">
        <w:rPr>
          <w:rFonts w:asciiTheme="minorHAnsi" w:hAnsiTheme="minorHAnsi" w:cstheme="minorHAnsi"/>
          <w:i/>
          <w:iCs/>
        </w:rPr>
        <w:t>during an acute presentation</w:t>
      </w:r>
      <w:r>
        <w:rPr>
          <w:rFonts w:asciiTheme="minorHAnsi" w:hAnsiTheme="minorHAnsi" w:cstheme="minorHAnsi"/>
          <w:i/>
          <w:iCs/>
        </w:rPr>
        <w:t xml:space="preserve">, they can be considered in a single economic evaluation. A cost-utility analysis was considered appropriate. </w:t>
      </w:r>
    </w:p>
    <w:p w14:paraId="2B486CCB" w14:textId="6EFA9AB3" w:rsidR="00DD03A2" w:rsidRPr="003A5B9D" w:rsidRDefault="00DD03A2" w:rsidP="00A42D86">
      <w:pPr>
        <w:autoSpaceDE w:val="0"/>
        <w:autoSpaceDN w:val="0"/>
        <w:adjustRightInd w:val="0"/>
        <w:spacing w:line="23" w:lineRule="atLeast"/>
      </w:pPr>
      <w:r>
        <w:rPr>
          <w:rFonts w:asciiTheme="minorHAnsi" w:hAnsiTheme="minorHAnsi" w:cstheme="minorHAnsi"/>
          <w:i/>
          <w:iCs/>
        </w:rPr>
        <w:t>PASC requested that the financial analysis for PICO Set 1 should consider the costs of testing patients for investigation of suspected TMA (as per the revised item descriptor). An economic evaluation of this broader testing is not required.</w:t>
      </w:r>
    </w:p>
    <w:p w14:paraId="39133DC5" w14:textId="5CB4BB84" w:rsidR="00AF6936" w:rsidRDefault="00AF6936" w:rsidP="00AF6936">
      <w:pPr>
        <w:pStyle w:val="Heading4"/>
      </w:pPr>
      <w:r>
        <w:t>PICO Set 2</w:t>
      </w:r>
    </w:p>
    <w:p w14:paraId="269FA905" w14:textId="617C9575" w:rsidR="00AF6936" w:rsidRDefault="0088303D" w:rsidP="00AF6936">
      <w:r>
        <w:t xml:space="preserve">The application suggested that cascade testing of </w:t>
      </w:r>
      <w:r w:rsidR="00AC4D35">
        <w:t xml:space="preserve">first-degree </w:t>
      </w:r>
      <w:r w:rsidR="0038587A">
        <w:t xml:space="preserve">siblings </w:t>
      </w:r>
      <w:r w:rsidR="00FF1AAF">
        <w:t xml:space="preserve">is superior in </w:t>
      </w:r>
      <w:r w:rsidR="007734BC">
        <w:t>effectiveness</w:t>
      </w:r>
      <w:r w:rsidR="00FF1AAF">
        <w:t xml:space="preserve"> and </w:t>
      </w:r>
      <w:r w:rsidR="007734BC">
        <w:t xml:space="preserve">safety compared to no genetic testing for the proposed population. </w:t>
      </w:r>
      <w:r w:rsidR="000463EF">
        <w:t>A CEA or CUA can be used fo</w:t>
      </w:r>
      <w:r w:rsidR="00456283">
        <w:t xml:space="preserve">r </w:t>
      </w:r>
      <w:r w:rsidR="00144400">
        <w:t>this claim</w:t>
      </w:r>
      <w:r w:rsidR="00A76F35">
        <w:t>;</w:t>
      </w:r>
      <w:r w:rsidR="00144400">
        <w:t xml:space="preserve"> however, </w:t>
      </w:r>
      <w:r w:rsidR="00861ACE">
        <w:t xml:space="preserve">MSAC has previously recommended </w:t>
      </w:r>
      <w:r w:rsidR="00CC1CD6">
        <w:t xml:space="preserve">a refined approach to </w:t>
      </w:r>
      <w:r w:rsidR="00CC568E">
        <w:t xml:space="preserve">the </w:t>
      </w:r>
      <w:r w:rsidR="00CC1CD6">
        <w:t>assessment</w:t>
      </w:r>
      <w:r w:rsidR="00CC568E">
        <w:t xml:space="preserve"> of</w:t>
      </w:r>
      <w:r w:rsidR="00CC1CD6">
        <w:t xml:space="preserve"> </w:t>
      </w:r>
      <w:r w:rsidR="003872E0">
        <w:t xml:space="preserve">genetic testing </w:t>
      </w:r>
      <w:r w:rsidR="00D51477">
        <w:t xml:space="preserve">with a CEA </w:t>
      </w:r>
      <w:r w:rsidR="00406CBC">
        <w:t xml:space="preserve">focus on the proportion of patients who received </w:t>
      </w:r>
      <w:r w:rsidR="00B22469">
        <w:t>prognostic or predictive information</w:t>
      </w:r>
      <w:r w:rsidR="00081E51">
        <w:t xml:space="preserve"> (</w:t>
      </w:r>
      <w:r w:rsidR="00EE6F20">
        <w:t>f</w:t>
      </w:r>
      <w:r w:rsidR="00904D64">
        <w:t>or examp</w:t>
      </w:r>
      <w:r w:rsidR="00325F49">
        <w:t xml:space="preserve">le, </w:t>
      </w:r>
      <w:r w:rsidR="001E092E">
        <w:t xml:space="preserve">PICO Confirmation </w:t>
      </w:r>
      <w:hyperlink r:id="rId18" w:tooltip="Link to pdf for PICO Confirmation 1675; application considered by MSAC in November 2022" w:history="1">
        <w:r w:rsidR="001E092E" w:rsidRPr="00E16BFC">
          <w:rPr>
            <w:rStyle w:val="Hyperlink"/>
            <w:rFonts w:ascii="Calibri" w:hAnsi="Calibri"/>
          </w:rPr>
          <w:t>1675</w:t>
        </w:r>
      </w:hyperlink>
      <w:r w:rsidR="00325F49">
        <w:t>)</w:t>
      </w:r>
      <w:r w:rsidR="00B22469">
        <w:t xml:space="preserve">. The appropriate </w:t>
      </w:r>
      <w:r w:rsidR="00F913B1">
        <w:t xml:space="preserve">economic evaluation </w:t>
      </w:r>
      <w:r w:rsidR="000B7804">
        <w:t xml:space="preserve">using this approach </w:t>
      </w:r>
      <w:r w:rsidR="007E4818">
        <w:t>is an analysis of the cost per proband detected</w:t>
      </w:r>
      <w:r w:rsidR="000F7392">
        <w:t xml:space="preserve"> and/or cost per pathogenic variant detected. </w:t>
      </w:r>
      <w:r w:rsidR="00A31EFB">
        <w:t xml:space="preserve">This approach does not require an assessment of health outcomes. </w:t>
      </w:r>
    </w:p>
    <w:p w14:paraId="6AD0E99C" w14:textId="40B6FA66" w:rsidR="00DD03A2" w:rsidRPr="00AF6936" w:rsidRDefault="00DD03A2" w:rsidP="00AF6936">
      <w:r>
        <w:rPr>
          <w:rFonts w:asciiTheme="minorHAnsi" w:hAnsiTheme="minorHAnsi" w:cstheme="minorHAnsi"/>
          <w:i/>
          <w:iCs/>
        </w:rPr>
        <w:t>For PICO Set 2 (cascade testing), PASC considered a cost-per-diagnosis approach acceptable.</w:t>
      </w:r>
    </w:p>
    <w:p w14:paraId="5030FD6A" w14:textId="416B6D44" w:rsidR="008C15B9" w:rsidRDefault="004A3740" w:rsidP="004A3740">
      <w:pPr>
        <w:pStyle w:val="Heading4"/>
      </w:pPr>
      <w:r>
        <w:t xml:space="preserve">PICO Set </w:t>
      </w:r>
      <w:r w:rsidR="00B63D8B">
        <w:t>3</w:t>
      </w:r>
    </w:p>
    <w:p w14:paraId="1532067B" w14:textId="6DF51582" w:rsidR="004A69EA" w:rsidRDefault="004A69EA" w:rsidP="004A69EA">
      <w:r>
        <w:t xml:space="preserve">The clinical claim in the application for PICO Set 3 is that ADAMTS13 </w:t>
      </w:r>
      <w:r w:rsidR="000255AB">
        <w:t xml:space="preserve">activity testing for monitoring </w:t>
      </w:r>
      <w:r w:rsidR="00660872">
        <w:t>results in superior health outcomes compared to no ADAMTS</w:t>
      </w:r>
      <w:r w:rsidR="00146644">
        <w:t>13</w:t>
      </w:r>
      <w:r w:rsidR="00B37439">
        <w:t xml:space="preserve"> </w:t>
      </w:r>
      <w:r w:rsidR="009016C3">
        <w:t xml:space="preserve">activity testing </w:t>
      </w:r>
      <w:r w:rsidR="00B37439">
        <w:t xml:space="preserve">in </w:t>
      </w:r>
      <w:r w:rsidR="009016C3">
        <w:t xml:space="preserve">the monitoring </w:t>
      </w:r>
      <w:r w:rsidR="00456567">
        <w:t xml:space="preserve">of </w:t>
      </w:r>
      <w:r w:rsidR="00B37439">
        <w:t>patient</w:t>
      </w:r>
      <w:r w:rsidR="0054038B">
        <w:t>s</w:t>
      </w:r>
      <w:r w:rsidR="00B37439">
        <w:t xml:space="preserve"> with TTP. </w:t>
      </w:r>
      <w:r w:rsidR="00B70275">
        <w:t xml:space="preserve">Testing </w:t>
      </w:r>
      <w:r w:rsidR="005C382B">
        <w:t>predicts disease exacerbations and relapse, and treatment can be commenced before symptoms begin. Therefore, the clinical claim leads to a CEA or a CUA for the economic evaluation.</w:t>
      </w:r>
    </w:p>
    <w:p w14:paraId="65D30717" w14:textId="3C3210D5" w:rsidR="00DD03A2" w:rsidRPr="004A69EA" w:rsidRDefault="00DD03A2" w:rsidP="00330D1E">
      <w:pPr>
        <w:autoSpaceDE w:val="0"/>
        <w:autoSpaceDN w:val="0"/>
        <w:adjustRightInd w:val="0"/>
        <w:spacing w:line="23" w:lineRule="atLeast"/>
      </w:pPr>
      <w:r>
        <w:rPr>
          <w:rFonts w:asciiTheme="minorHAnsi" w:hAnsiTheme="minorHAnsi" w:cstheme="minorHAnsi"/>
          <w:i/>
          <w:iCs/>
        </w:rPr>
        <w:t>PASC stated the appropriate economic analysis for PICO Set 3 (monitoring) is a cost-utility analysis. PASC noted that uncertainty in the frequency of monitoring will present a challenge for the economic evaluation.</w:t>
      </w:r>
    </w:p>
    <w:p w14:paraId="265BFBE7" w14:textId="326A9882" w:rsidR="000939E0" w:rsidRPr="00490FBB" w:rsidRDefault="000939E0" w:rsidP="00C40CC4">
      <w:pPr>
        <w:pStyle w:val="Caption"/>
      </w:pPr>
      <w:bookmarkStart w:id="17" w:name="_Ref54260209"/>
      <w:bookmarkStart w:id="18" w:name="_Toc423450289"/>
      <w:r w:rsidRPr="00490FBB">
        <w:t>Table</w:t>
      </w:r>
      <w:r w:rsidR="00DE762F">
        <w:t> </w:t>
      </w:r>
      <w:r w:rsidRPr="00490FBB">
        <w:fldChar w:fldCharType="begin"/>
      </w:r>
      <w:r w:rsidRPr="00490FBB">
        <w:instrText xml:space="preserve"> SEQ Table \* ARABIC </w:instrText>
      </w:r>
      <w:r w:rsidRPr="00490FBB">
        <w:fldChar w:fldCharType="separate"/>
      </w:r>
      <w:r w:rsidR="00AE1C62">
        <w:rPr>
          <w:noProof/>
        </w:rPr>
        <w:t>9</w:t>
      </w:r>
      <w:r w:rsidRPr="00490FBB">
        <w:fldChar w:fldCharType="end"/>
      </w:r>
      <w:bookmarkEnd w:id="17"/>
      <w:r w:rsidR="001A5D2F">
        <w:tab/>
        <w:t>Classification of</w:t>
      </w:r>
      <w:r w:rsidRPr="00490FBB">
        <w:t xml:space="preserve"> comparative effectiveness and safety of the proposed intervention</w:t>
      </w:r>
      <w:r w:rsidR="001A5D2F">
        <w:t>,</w:t>
      </w:r>
      <w:r w:rsidRPr="00490FBB">
        <w:t xml:space="preserve"> compared with its main comparator</w:t>
      </w:r>
      <w:r w:rsidR="001A5D2F">
        <w:t>,</w:t>
      </w:r>
      <w:r w:rsidRPr="00490FBB">
        <w:t xml:space="preserve"> and guide to the suitable type of economic evaluation</w:t>
      </w:r>
      <w:bookmarkEnd w:id="18"/>
    </w:p>
    <w:tbl>
      <w:tblPr>
        <w:tblW w:w="5000" w:type="pct"/>
        <w:tblCellMar>
          <w:left w:w="115" w:type="dxa"/>
          <w:right w:w="115" w:type="dxa"/>
        </w:tblCellMar>
        <w:tblLook w:val="01E0" w:firstRow="1" w:lastRow="1" w:firstColumn="1" w:lastColumn="1" w:noHBand="0" w:noVBand="0"/>
        <w:tblCaption w:val="Table 19 Classification of the comparative effectiveness and safety of the proposed therapeutic medical service compared with its main comparator and guide to the suitable type of economic evaluation"/>
        <w:tblDescription w:val="The table presents a matrix of comparative safety (inferior, unccertain, non-inferior, superior) against comparative effectiveness (inferior, uncertain, non-inmferior, superior). Superior comparative safety and superior comparative effectiveness has been selected resulting in a cost-effectiveness analysis or cost-utility analysis. "/>
      </w:tblPr>
      <w:tblGrid>
        <w:gridCol w:w="1415"/>
        <w:gridCol w:w="2408"/>
        <w:gridCol w:w="2408"/>
        <w:gridCol w:w="1987"/>
        <w:gridCol w:w="1353"/>
      </w:tblGrid>
      <w:tr w:rsidR="00466CFE" w:rsidRPr="00490FBB" w14:paraId="5238F44C" w14:textId="77777777" w:rsidTr="00466CFE">
        <w:trPr>
          <w:tblHeader/>
        </w:trPr>
        <w:tc>
          <w:tcPr>
            <w:tcW w:w="739" w:type="pct"/>
            <w:vMerge w:val="restart"/>
            <w:tcBorders>
              <w:top w:val="single" w:sz="4" w:space="0" w:color="auto"/>
              <w:left w:val="single" w:sz="4" w:space="0" w:color="auto"/>
              <w:right w:val="single" w:sz="4" w:space="0" w:color="auto"/>
            </w:tcBorders>
          </w:tcPr>
          <w:p w14:paraId="5B06A6EA" w14:textId="730AFFCD" w:rsidR="00686EED" w:rsidRPr="00490FBB" w:rsidRDefault="00686EED" w:rsidP="00C40CC4">
            <w:pPr>
              <w:pStyle w:val="TableHeading"/>
            </w:pPr>
            <w:bookmarkStart w:id="19" w:name="Title_Table2" w:colFirst="0" w:colLast="0"/>
            <w:r w:rsidRPr="00490FBB">
              <w:t>Comparative safety</w:t>
            </w:r>
            <w:r w:rsidRPr="00F82E8B">
              <w:rPr>
                <w:color w:val="767171" w:themeColor="background2" w:themeShade="80"/>
              </w:rPr>
              <w:t>-</w:t>
            </w:r>
          </w:p>
        </w:tc>
        <w:tc>
          <w:tcPr>
            <w:tcW w:w="1258" w:type="pct"/>
            <w:tcBorders>
              <w:top w:val="single" w:sz="4" w:space="0" w:color="auto"/>
              <w:left w:val="single" w:sz="4" w:space="0" w:color="auto"/>
              <w:bottom w:val="single" w:sz="4" w:space="0" w:color="auto"/>
              <w:right w:val="nil"/>
            </w:tcBorders>
          </w:tcPr>
          <w:p w14:paraId="293E5792" w14:textId="77777777" w:rsidR="00686EED" w:rsidRPr="00490FBB" w:rsidRDefault="00686EED" w:rsidP="00C40CC4">
            <w:pPr>
              <w:pStyle w:val="TableHeading"/>
              <w:jc w:val="center"/>
            </w:pPr>
          </w:p>
        </w:tc>
        <w:tc>
          <w:tcPr>
            <w:tcW w:w="1258" w:type="pct"/>
            <w:tcBorders>
              <w:top w:val="single" w:sz="4" w:space="0" w:color="auto"/>
              <w:left w:val="nil"/>
              <w:bottom w:val="single" w:sz="4" w:space="0" w:color="auto"/>
            </w:tcBorders>
          </w:tcPr>
          <w:p w14:paraId="57B2397B" w14:textId="77777777" w:rsidR="00686EED" w:rsidRPr="00490FBB" w:rsidRDefault="00686EED" w:rsidP="00C40CC4">
            <w:pPr>
              <w:pStyle w:val="TableHeading"/>
              <w:ind w:left="-75" w:right="-127"/>
              <w:jc w:val="center"/>
            </w:pPr>
            <w:r w:rsidRPr="00490FBB">
              <w:t>Comparative effectiveness</w:t>
            </w:r>
          </w:p>
        </w:tc>
        <w:tc>
          <w:tcPr>
            <w:tcW w:w="1038" w:type="pct"/>
            <w:tcBorders>
              <w:top w:val="single" w:sz="4" w:space="0" w:color="auto"/>
              <w:left w:val="nil"/>
              <w:bottom w:val="single" w:sz="4" w:space="0" w:color="auto"/>
            </w:tcBorders>
          </w:tcPr>
          <w:p w14:paraId="6B53FB6C" w14:textId="77777777" w:rsidR="00686EED" w:rsidRPr="00490FBB" w:rsidRDefault="00686EED" w:rsidP="00C40CC4">
            <w:pPr>
              <w:pStyle w:val="TableHeading"/>
              <w:jc w:val="center"/>
            </w:pPr>
          </w:p>
        </w:tc>
        <w:tc>
          <w:tcPr>
            <w:tcW w:w="707" w:type="pct"/>
            <w:tcBorders>
              <w:top w:val="single" w:sz="4" w:space="0" w:color="auto"/>
              <w:left w:val="nil"/>
              <w:bottom w:val="single" w:sz="4" w:space="0" w:color="auto"/>
              <w:right w:val="single" w:sz="4" w:space="0" w:color="auto"/>
            </w:tcBorders>
          </w:tcPr>
          <w:p w14:paraId="0FE152FA" w14:textId="77777777" w:rsidR="00686EED" w:rsidRPr="00490FBB" w:rsidRDefault="00686EED" w:rsidP="00C40CC4">
            <w:pPr>
              <w:pStyle w:val="TableHeading"/>
              <w:jc w:val="center"/>
            </w:pPr>
          </w:p>
        </w:tc>
      </w:tr>
      <w:bookmarkEnd w:id="19"/>
      <w:tr w:rsidR="00466CFE" w:rsidRPr="00490FBB" w14:paraId="78A8F3F1" w14:textId="77777777" w:rsidTr="00466CFE">
        <w:trPr>
          <w:tblHeader/>
        </w:trPr>
        <w:tc>
          <w:tcPr>
            <w:tcW w:w="739" w:type="pct"/>
            <w:vMerge/>
            <w:tcBorders>
              <w:left w:val="single" w:sz="4" w:space="0" w:color="auto"/>
              <w:bottom w:val="single" w:sz="4" w:space="0" w:color="auto"/>
              <w:right w:val="single" w:sz="4" w:space="0" w:color="auto"/>
            </w:tcBorders>
          </w:tcPr>
          <w:p w14:paraId="6E00D947" w14:textId="57BEC7DE" w:rsidR="00686EED" w:rsidRPr="00490FBB" w:rsidRDefault="00686EED" w:rsidP="00C40CC4">
            <w:pPr>
              <w:pStyle w:val="TableHeading"/>
            </w:pPr>
          </w:p>
        </w:tc>
        <w:tc>
          <w:tcPr>
            <w:tcW w:w="1258" w:type="pct"/>
            <w:tcBorders>
              <w:left w:val="single" w:sz="4" w:space="0" w:color="auto"/>
              <w:bottom w:val="single" w:sz="4" w:space="0" w:color="auto"/>
              <w:right w:val="single" w:sz="4" w:space="0" w:color="auto"/>
            </w:tcBorders>
          </w:tcPr>
          <w:p w14:paraId="319C788C" w14:textId="77777777" w:rsidR="00686EED" w:rsidRPr="00490FBB" w:rsidRDefault="00686EED" w:rsidP="00C40CC4">
            <w:pPr>
              <w:pStyle w:val="TableHeading"/>
              <w:jc w:val="center"/>
            </w:pPr>
            <w:r w:rsidRPr="00490FBB">
              <w:t>Inferior</w:t>
            </w:r>
          </w:p>
        </w:tc>
        <w:tc>
          <w:tcPr>
            <w:tcW w:w="1258" w:type="pct"/>
            <w:tcBorders>
              <w:top w:val="single" w:sz="4" w:space="0" w:color="auto"/>
              <w:left w:val="single" w:sz="4" w:space="0" w:color="auto"/>
              <w:bottom w:val="single" w:sz="4" w:space="0" w:color="auto"/>
              <w:right w:val="single" w:sz="4" w:space="0" w:color="auto"/>
            </w:tcBorders>
          </w:tcPr>
          <w:p w14:paraId="5AC96128" w14:textId="77777777" w:rsidR="00686EED" w:rsidRPr="00490FBB" w:rsidRDefault="00686EED" w:rsidP="00C40CC4">
            <w:pPr>
              <w:pStyle w:val="TableHeading"/>
              <w:jc w:val="center"/>
            </w:pPr>
            <w:r w:rsidRPr="00490FBB">
              <w:t>Uncertain</w:t>
            </w:r>
            <w:r w:rsidRPr="00490FBB">
              <w:rPr>
                <w:vertAlign w:val="superscript"/>
              </w:rPr>
              <w:t>a</w:t>
            </w:r>
          </w:p>
        </w:tc>
        <w:tc>
          <w:tcPr>
            <w:tcW w:w="1038" w:type="pct"/>
            <w:tcBorders>
              <w:top w:val="single" w:sz="4" w:space="0" w:color="auto"/>
              <w:left w:val="single" w:sz="4" w:space="0" w:color="auto"/>
              <w:bottom w:val="single" w:sz="4" w:space="0" w:color="auto"/>
              <w:right w:val="single" w:sz="4" w:space="0" w:color="auto"/>
            </w:tcBorders>
          </w:tcPr>
          <w:p w14:paraId="7AA1349D" w14:textId="4BA1ADFE" w:rsidR="00686EED" w:rsidRPr="00490FBB" w:rsidRDefault="00686EED" w:rsidP="00C40CC4">
            <w:pPr>
              <w:pStyle w:val="TableHeading"/>
              <w:jc w:val="center"/>
            </w:pPr>
            <w:r w:rsidRPr="00490FBB">
              <w:t>Noninferior</w:t>
            </w:r>
            <w:r w:rsidRPr="00490FBB">
              <w:rPr>
                <w:vertAlign w:val="superscript"/>
              </w:rPr>
              <w:t>b</w:t>
            </w:r>
          </w:p>
        </w:tc>
        <w:tc>
          <w:tcPr>
            <w:tcW w:w="707" w:type="pct"/>
            <w:tcBorders>
              <w:top w:val="single" w:sz="4" w:space="0" w:color="auto"/>
              <w:left w:val="single" w:sz="4" w:space="0" w:color="auto"/>
              <w:bottom w:val="single" w:sz="4" w:space="0" w:color="auto"/>
              <w:right w:val="single" w:sz="4" w:space="0" w:color="auto"/>
            </w:tcBorders>
          </w:tcPr>
          <w:p w14:paraId="156C5942" w14:textId="77777777" w:rsidR="00686EED" w:rsidRPr="00490FBB" w:rsidRDefault="00686EED" w:rsidP="00C40CC4">
            <w:pPr>
              <w:pStyle w:val="TableHeading"/>
              <w:jc w:val="center"/>
            </w:pPr>
            <w:r w:rsidRPr="00490FBB">
              <w:t>Superior</w:t>
            </w:r>
          </w:p>
        </w:tc>
      </w:tr>
      <w:tr w:rsidR="00466CFE" w:rsidRPr="00490FBB" w14:paraId="1E111DC3" w14:textId="77777777" w:rsidTr="00466CFE">
        <w:tc>
          <w:tcPr>
            <w:tcW w:w="739" w:type="pct"/>
            <w:tcBorders>
              <w:top w:val="single" w:sz="4" w:space="0" w:color="auto"/>
              <w:left w:val="single" w:sz="4" w:space="0" w:color="auto"/>
              <w:bottom w:val="single" w:sz="4" w:space="0" w:color="auto"/>
              <w:right w:val="single" w:sz="4" w:space="0" w:color="auto"/>
            </w:tcBorders>
            <w:vAlign w:val="center"/>
          </w:tcPr>
          <w:p w14:paraId="04A362E2" w14:textId="77777777" w:rsidR="000939E0" w:rsidRPr="00490FBB" w:rsidRDefault="000939E0" w:rsidP="00C40CC4">
            <w:pPr>
              <w:pStyle w:val="Tabletext"/>
              <w:keepNext/>
            </w:pPr>
            <w:r w:rsidRPr="00490FBB">
              <w:t>Inferior</w:t>
            </w:r>
          </w:p>
        </w:tc>
        <w:tc>
          <w:tcPr>
            <w:tcW w:w="1258" w:type="pct"/>
            <w:tcBorders>
              <w:top w:val="single" w:sz="4" w:space="0" w:color="auto"/>
              <w:left w:val="single" w:sz="4" w:space="0" w:color="auto"/>
              <w:bottom w:val="single" w:sz="4" w:space="0" w:color="auto"/>
              <w:right w:val="single" w:sz="4" w:space="0" w:color="auto"/>
            </w:tcBorders>
            <w:vAlign w:val="center"/>
          </w:tcPr>
          <w:p w14:paraId="0B15352C" w14:textId="77777777" w:rsidR="000939E0" w:rsidRPr="00490FBB" w:rsidRDefault="000939E0" w:rsidP="00C40CC4">
            <w:pPr>
              <w:pStyle w:val="Tabletext"/>
              <w:keepNext/>
            </w:pPr>
            <w:r w:rsidRPr="00490FBB">
              <w:t>Health forgone: need other supportive factors</w:t>
            </w:r>
          </w:p>
        </w:tc>
        <w:tc>
          <w:tcPr>
            <w:tcW w:w="1258" w:type="pct"/>
            <w:tcBorders>
              <w:top w:val="single" w:sz="4" w:space="0" w:color="auto"/>
              <w:left w:val="single" w:sz="4" w:space="0" w:color="auto"/>
              <w:bottom w:val="single" w:sz="4" w:space="0" w:color="auto"/>
              <w:right w:val="single" w:sz="4" w:space="0" w:color="auto"/>
            </w:tcBorders>
            <w:vAlign w:val="center"/>
          </w:tcPr>
          <w:p w14:paraId="47A58DE2" w14:textId="77777777" w:rsidR="000939E0" w:rsidRPr="00490FBB" w:rsidRDefault="000939E0" w:rsidP="00C40CC4">
            <w:pPr>
              <w:pStyle w:val="Tabletext"/>
              <w:keepNext/>
            </w:pPr>
            <w:r w:rsidRPr="00490FBB">
              <w:t>Health forgone possible: need other supportive factors</w:t>
            </w:r>
          </w:p>
        </w:tc>
        <w:tc>
          <w:tcPr>
            <w:tcW w:w="1038" w:type="pct"/>
            <w:tcBorders>
              <w:top w:val="single" w:sz="4" w:space="0" w:color="auto"/>
              <w:left w:val="single" w:sz="4" w:space="0" w:color="auto"/>
              <w:bottom w:val="single" w:sz="4" w:space="0" w:color="auto"/>
              <w:right w:val="single" w:sz="4" w:space="0" w:color="auto"/>
            </w:tcBorders>
            <w:vAlign w:val="center"/>
          </w:tcPr>
          <w:p w14:paraId="3540FA15" w14:textId="77777777" w:rsidR="000939E0" w:rsidRPr="00490FBB" w:rsidRDefault="000939E0" w:rsidP="00C40CC4">
            <w:pPr>
              <w:pStyle w:val="Tabletext"/>
              <w:keepNext/>
            </w:pPr>
            <w:r w:rsidRPr="00490FBB">
              <w:t>Health forgone: need other supportive factors</w:t>
            </w:r>
          </w:p>
        </w:tc>
        <w:tc>
          <w:tcPr>
            <w:tcW w:w="707" w:type="pct"/>
            <w:tcBorders>
              <w:top w:val="single" w:sz="4" w:space="0" w:color="auto"/>
              <w:left w:val="single" w:sz="4" w:space="0" w:color="auto"/>
              <w:bottom w:val="single" w:sz="4" w:space="0" w:color="auto"/>
              <w:right w:val="single" w:sz="4" w:space="0" w:color="auto"/>
            </w:tcBorders>
            <w:vAlign w:val="center"/>
          </w:tcPr>
          <w:p w14:paraId="18C6CF73" w14:textId="77777777" w:rsidR="000939E0" w:rsidRPr="00490FBB" w:rsidRDefault="000939E0" w:rsidP="00C40CC4">
            <w:pPr>
              <w:pStyle w:val="Tabletext"/>
              <w:keepNext/>
            </w:pPr>
            <w:r w:rsidRPr="00490FBB">
              <w:t>? Likely CUA</w:t>
            </w:r>
          </w:p>
        </w:tc>
      </w:tr>
      <w:tr w:rsidR="00466CFE" w:rsidRPr="00490FBB" w14:paraId="463C2753" w14:textId="77777777" w:rsidTr="00466CFE">
        <w:tc>
          <w:tcPr>
            <w:tcW w:w="739" w:type="pct"/>
            <w:tcBorders>
              <w:top w:val="single" w:sz="4" w:space="0" w:color="auto"/>
              <w:left w:val="single" w:sz="4" w:space="0" w:color="auto"/>
              <w:bottom w:val="single" w:sz="4" w:space="0" w:color="auto"/>
              <w:right w:val="single" w:sz="4" w:space="0" w:color="auto"/>
            </w:tcBorders>
            <w:vAlign w:val="center"/>
          </w:tcPr>
          <w:p w14:paraId="11AF710C" w14:textId="77777777" w:rsidR="000939E0" w:rsidRPr="00490FBB" w:rsidRDefault="000939E0" w:rsidP="00C40CC4">
            <w:pPr>
              <w:pStyle w:val="Tabletext"/>
              <w:keepNext/>
            </w:pPr>
            <w:r w:rsidRPr="00490FBB">
              <w:t>Uncertain</w:t>
            </w:r>
            <w:r w:rsidRPr="00490FBB">
              <w:rPr>
                <w:vertAlign w:val="superscript"/>
              </w:rPr>
              <w:t>a</w:t>
            </w:r>
          </w:p>
        </w:tc>
        <w:tc>
          <w:tcPr>
            <w:tcW w:w="1258" w:type="pct"/>
            <w:tcBorders>
              <w:top w:val="single" w:sz="4" w:space="0" w:color="auto"/>
              <w:left w:val="single" w:sz="4" w:space="0" w:color="auto"/>
              <w:bottom w:val="single" w:sz="4" w:space="0" w:color="auto"/>
              <w:right w:val="single" w:sz="4" w:space="0" w:color="auto"/>
            </w:tcBorders>
            <w:vAlign w:val="center"/>
          </w:tcPr>
          <w:p w14:paraId="12909D79" w14:textId="77777777" w:rsidR="000939E0" w:rsidRPr="00490FBB" w:rsidRDefault="000939E0" w:rsidP="00C40CC4">
            <w:pPr>
              <w:pStyle w:val="Tabletext"/>
              <w:keepNext/>
            </w:pPr>
            <w:r w:rsidRPr="00490FBB">
              <w:t>Health forgone possible: need other supportive factors</w:t>
            </w:r>
          </w:p>
        </w:tc>
        <w:tc>
          <w:tcPr>
            <w:tcW w:w="1258" w:type="pct"/>
            <w:tcBorders>
              <w:top w:val="single" w:sz="4" w:space="0" w:color="auto"/>
              <w:left w:val="single" w:sz="4" w:space="0" w:color="auto"/>
              <w:bottom w:val="single" w:sz="4" w:space="0" w:color="auto"/>
              <w:right w:val="single" w:sz="4" w:space="0" w:color="auto"/>
            </w:tcBorders>
            <w:vAlign w:val="center"/>
          </w:tcPr>
          <w:p w14:paraId="50F5E2B4" w14:textId="77777777" w:rsidR="000939E0" w:rsidRPr="00490FBB" w:rsidRDefault="000939E0" w:rsidP="00C40CC4">
            <w:pPr>
              <w:pStyle w:val="Tabletext"/>
              <w:keepNext/>
            </w:pPr>
            <w:r w:rsidRPr="00490FBB">
              <w:t>?</w:t>
            </w:r>
          </w:p>
        </w:tc>
        <w:tc>
          <w:tcPr>
            <w:tcW w:w="1038" w:type="pct"/>
            <w:tcBorders>
              <w:top w:val="single" w:sz="4" w:space="0" w:color="auto"/>
              <w:left w:val="single" w:sz="4" w:space="0" w:color="auto"/>
              <w:bottom w:val="single" w:sz="4" w:space="0" w:color="auto"/>
              <w:right w:val="single" w:sz="4" w:space="0" w:color="auto"/>
            </w:tcBorders>
            <w:vAlign w:val="center"/>
          </w:tcPr>
          <w:p w14:paraId="0406F2A1" w14:textId="77777777" w:rsidR="000939E0" w:rsidRPr="00490FBB" w:rsidRDefault="000939E0" w:rsidP="00C40CC4">
            <w:pPr>
              <w:pStyle w:val="Tabletext"/>
              <w:keepNext/>
            </w:pPr>
            <w:r w:rsidRPr="00490FBB">
              <w:t>?</w:t>
            </w:r>
          </w:p>
        </w:tc>
        <w:tc>
          <w:tcPr>
            <w:tcW w:w="707" w:type="pct"/>
            <w:tcBorders>
              <w:top w:val="single" w:sz="4" w:space="0" w:color="auto"/>
              <w:left w:val="single" w:sz="4" w:space="0" w:color="auto"/>
              <w:bottom w:val="single" w:sz="4" w:space="0" w:color="auto"/>
              <w:right w:val="single" w:sz="4" w:space="0" w:color="auto"/>
            </w:tcBorders>
            <w:vAlign w:val="center"/>
          </w:tcPr>
          <w:p w14:paraId="1996B8CC" w14:textId="77777777" w:rsidR="000939E0" w:rsidRPr="00490FBB" w:rsidRDefault="000939E0" w:rsidP="00C40CC4">
            <w:pPr>
              <w:pStyle w:val="Tabletext"/>
              <w:keepNext/>
            </w:pPr>
            <w:r w:rsidRPr="00490FBB">
              <w:t>? Likely CEA/CUA</w:t>
            </w:r>
          </w:p>
        </w:tc>
      </w:tr>
      <w:tr w:rsidR="00466CFE" w:rsidRPr="00490FBB" w14:paraId="47335FF9" w14:textId="77777777" w:rsidTr="00466CFE">
        <w:tc>
          <w:tcPr>
            <w:tcW w:w="739" w:type="pct"/>
            <w:tcBorders>
              <w:top w:val="single" w:sz="4" w:space="0" w:color="auto"/>
              <w:left w:val="single" w:sz="4" w:space="0" w:color="auto"/>
              <w:bottom w:val="single" w:sz="4" w:space="0" w:color="auto"/>
              <w:right w:val="single" w:sz="4" w:space="0" w:color="auto"/>
            </w:tcBorders>
            <w:vAlign w:val="center"/>
          </w:tcPr>
          <w:p w14:paraId="0CBD845B" w14:textId="149CC18B" w:rsidR="000939E0" w:rsidRPr="00490FBB" w:rsidRDefault="000939E0" w:rsidP="00C40CC4">
            <w:pPr>
              <w:pStyle w:val="Tabletext"/>
              <w:keepNext/>
            </w:pPr>
            <w:r w:rsidRPr="00490FBB">
              <w:t>Noninferior</w:t>
            </w:r>
            <w:r w:rsidRPr="00490FBB">
              <w:rPr>
                <w:vertAlign w:val="superscript"/>
              </w:rPr>
              <w:t>b</w:t>
            </w:r>
          </w:p>
        </w:tc>
        <w:tc>
          <w:tcPr>
            <w:tcW w:w="1258" w:type="pct"/>
            <w:tcBorders>
              <w:top w:val="single" w:sz="4" w:space="0" w:color="auto"/>
              <w:left w:val="single" w:sz="4" w:space="0" w:color="auto"/>
              <w:bottom w:val="single" w:sz="4" w:space="0" w:color="auto"/>
              <w:right w:val="single" w:sz="4" w:space="0" w:color="auto"/>
            </w:tcBorders>
            <w:vAlign w:val="center"/>
          </w:tcPr>
          <w:p w14:paraId="5D8B4B6F" w14:textId="77777777" w:rsidR="000939E0" w:rsidRPr="00490FBB" w:rsidRDefault="000939E0" w:rsidP="00C40CC4">
            <w:pPr>
              <w:pStyle w:val="Tabletext"/>
              <w:keepNext/>
            </w:pPr>
            <w:r w:rsidRPr="00490FBB">
              <w:t>Health forgone: need other supportive factors</w:t>
            </w:r>
          </w:p>
        </w:tc>
        <w:tc>
          <w:tcPr>
            <w:tcW w:w="1258" w:type="pct"/>
            <w:tcBorders>
              <w:top w:val="single" w:sz="4" w:space="0" w:color="auto"/>
              <w:left w:val="single" w:sz="4" w:space="0" w:color="auto"/>
              <w:bottom w:val="single" w:sz="4" w:space="0" w:color="auto"/>
              <w:right w:val="single" w:sz="4" w:space="0" w:color="auto"/>
            </w:tcBorders>
            <w:vAlign w:val="center"/>
          </w:tcPr>
          <w:p w14:paraId="43D9B9E4" w14:textId="77777777" w:rsidR="000939E0" w:rsidRPr="00490FBB" w:rsidRDefault="000939E0" w:rsidP="00C40CC4">
            <w:pPr>
              <w:pStyle w:val="Tabletext"/>
              <w:keepNext/>
            </w:pPr>
            <w:r w:rsidRPr="00490FBB">
              <w:t>?</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12BD2E22" w14:textId="77777777" w:rsidR="000939E0" w:rsidRPr="00490FBB" w:rsidRDefault="000939E0" w:rsidP="00C40CC4">
            <w:pPr>
              <w:pStyle w:val="Tabletext"/>
              <w:keepNext/>
            </w:pPr>
            <w:r w:rsidRPr="00490FBB">
              <w:t>CMA</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tcPr>
          <w:p w14:paraId="7E9F7AB5" w14:textId="77777777" w:rsidR="000939E0" w:rsidRPr="00490FBB" w:rsidRDefault="000939E0" w:rsidP="00C40CC4">
            <w:pPr>
              <w:pStyle w:val="Tabletext"/>
              <w:keepNext/>
            </w:pPr>
            <w:r w:rsidRPr="00490FBB">
              <w:t>CEA/CUA</w:t>
            </w:r>
          </w:p>
        </w:tc>
      </w:tr>
      <w:tr w:rsidR="00466CFE" w:rsidRPr="00490FBB" w14:paraId="41AB5715" w14:textId="77777777" w:rsidTr="00466CFE">
        <w:tc>
          <w:tcPr>
            <w:tcW w:w="739" w:type="pct"/>
            <w:tcBorders>
              <w:top w:val="single" w:sz="4" w:space="0" w:color="auto"/>
              <w:left w:val="single" w:sz="4" w:space="0" w:color="auto"/>
              <w:bottom w:val="single" w:sz="4" w:space="0" w:color="auto"/>
              <w:right w:val="single" w:sz="4" w:space="0" w:color="auto"/>
            </w:tcBorders>
            <w:vAlign w:val="center"/>
          </w:tcPr>
          <w:p w14:paraId="18F5B4CB" w14:textId="77777777" w:rsidR="000939E0" w:rsidRPr="00490FBB" w:rsidRDefault="000939E0" w:rsidP="00C40CC4">
            <w:pPr>
              <w:pStyle w:val="Tabletext"/>
              <w:keepNext/>
            </w:pPr>
            <w:r w:rsidRPr="00490FBB">
              <w:t>Superior</w:t>
            </w:r>
          </w:p>
        </w:tc>
        <w:tc>
          <w:tcPr>
            <w:tcW w:w="1258" w:type="pct"/>
            <w:tcBorders>
              <w:top w:val="single" w:sz="4" w:space="0" w:color="auto"/>
              <w:left w:val="single" w:sz="4" w:space="0" w:color="auto"/>
              <w:bottom w:val="single" w:sz="4" w:space="0" w:color="auto"/>
              <w:right w:val="single" w:sz="4" w:space="0" w:color="auto"/>
            </w:tcBorders>
            <w:vAlign w:val="center"/>
          </w:tcPr>
          <w:p w14:paraId="2525815A" w14:textId="77777777" w:rsidR="000939E0" w:rsidRPr="00490FBB" w:rsidRDefault="000939E0" w:rsidP="00C40CC4">
            <w:pPr>
              <w:pStyle w:val="Tabletext"/>
              <w:keepNext/>
            </w:pPr>
            <w:r w:rsidRPr="00490FBB">
              <w:t>? Likely CUA</w:t>
            </w:r>
          </w:p>
        </w:tc>
        <w:tc>
          <w:tcPr>
            <w:tcW w:w="1258" w:type="pct"/>
            <w:tcBorders>
              <w:top w:val="single" w:sz="4" w:space="0" w:color="auto"/>
              <w:left w:val="single" w:sz="4" w:space="0" w:color="auto"/>
              <w:bottom w:val="single" w:sz="4" w:space="0" w:color="auto"/>
              <w:right w:val="single" w:sz="4" w:space="0" w:color="auto"/>
            </w:tcBorders>
            <w:vAlign w:val="center"/>
          </w:tcPr>
          <w:p w14:paraId="2AE0169D" w14:textId="77777777" w:rsidR="000939E0" w:rsidRPr="00490FBB" w:rsidRDefault="000939E0" w:rsidP="00C40CC4">
            <w:pPr>
              <w:pStyle w:val="Tabletext"/>
              <w:keepNext/>
            </w:pPr>
            <w:r w:rsidRPr="00490FBB">
              <w:t>? Likely CEA/CUA</w:t>
            </w:r>
          </w:p>
        </w:tc>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71D0525C" w14:textId="77777777" w:rsidR="000939E0" w:rsidRPr="00490FBB" w:rsidRDefault="000939E0" w:rsidP="00C40CC4">
            <w:pPr>
              <w:pStyle w:val="Tabletext"/>
              <w:keepNext/>
            </w:pPr>
            <w:r w:rsidRPr="00490FBB">
              <w:t>CEA/CUA</w:t>
            </w:r>
          </w:p>
        </w:tc>
        <w:tc>
          <w:tcPr>
            <w:tcW w:w="707"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F47EA5" w14:textId="0D1B10E1" w:rsidR="000939E0" w:rsidRPr="00490FBB" w:rsidRDefault="000939E0" w:rsidP="00C40CC4">
            <w:pPr>
              <w:pStyle w:val="Tabletext"/>
              <w:keepNext/>
            </w:pPr>
            <w:r w:rsidRPr="00490FBB">
              <w:t>CEA/CUA</w:t>
            </w:r>
          </w:p>
        </w:tc>
      </w:tr>
    </w:tbl>
    <w:p w14:paraId="6538A3FB" w14:textId="300D9481" w:rsidR="000939E0" w:rsidRPr="00490FBB" w:rsidRDefault="000939E0" w:rsidP="00D60A89">
      <w:pPr>
        <w:pStyle w:val="Tablenotes"/>
        <w:keepNext/>
        <w:spacing w:before="120" w:after="0"/>
        <w:rPr>
          <w:szCs w:val="18"/>
        </w:rPr>
      </w:pPr>
      <w:r w:rsidRPr="00490FBB">
        <w:rPr>
          <w:szCs w:val="18"/>
        </w:rPr>
        <w:t>CEA</w:t>
      </w:r>
      <w:r w:rsidR="0097623D">
        <w:rPr>
          <w:szCs w:val="18"/>
        </w:rPr>
        <w:t xml:space="preserve"> </w:t>
      </w:r>
      <w:r w:rsidRPr="00490FBB">
        <w:rPr>
          <w:szCs w:val="18"/>
        </w:rPr>
        <w:t>=</w:t>
      </w:r>
      <w:r w:rsidR="0097623D">
        <w:rPr>
          <w:szCs w:val="18"/>
        </w:rPr>
        <w:t xml:space="preserve"> </w:t>
      </w:r>
      <w:r w:rsidRPr="00490FBB">
        <w:rPr>
          <w:szCs w:val="18"/>
        </w:rPr>
        <w:t>cost-effectiveness analysis; CMA</w:t>
      </w:r>
      <w:r w:rsidR="0097623D">
        <w:rPr>
          <w:szCs w:val="18"/>
        </w:rPr>
        <w:t xml:space="preserve"> </w:t>
      </w:r>
      <w:r w:rsidRPr="00490FBB">
        <w:rPr>
          <w:szCs w:val="18"/>
        </w:rPr>
        <w:t>=</w:t>
      </w:r>
      <w:r w:rsidR="0097623D">
        <w:rPr>
          <w:szCs w:val="18"/>
        </w:rPr>
        <w:t xml:space="preserve"> </w:t>
      </w:r>
      <w:r w:rsidRPr="00490FBB">
        <w:rPr>
          <w:szCs w:val="18"/>
        </w:rPr>
        <w:t>cost-minimisation analysis; CUA</w:t>
      </w:r>
      <w:r w:rsidR="0097623D">
        <w:rPr>
          <w:szCs w:val="18"/>
        </w:rPr>
        <w:t xml:space="preserve"> </w:t>
      </w:r>
      <w:r w:rsidRPr="00490FBB">
        <w:rPr>
          <w:szCs w:val="18"/>
        </w:rPr>
        <w:t>=</w:t>
      </w:r>
      <w:r w:rsidR="0097623D">
        <w:rPr>
          <w:szCs w:val="18"/>
        </w:rPr>
        <w:t xml:space="preserve"> </w:t>
      </w:r>
      <w:r w:rsidRPr="00490FBB">
        <w:rPr>
          <w:szCs w:val="18"/>
        </w:rPr>
        <w:t>cost-utility analysis</w:t>
      </w:r>
    </w:p>
    <w:p w14:paraId="48F7CED7" w14:textId="77777777" w:rsidR="000939E0" w:rsidRPr="00490FBB" w:rsidRDefault="000939E0" w:rsidP="00D60A89">
      <w:pPr>
        <w:pStyle w:val="Tablenotes"/>
        <w:keepNext/>
        <w:spacing w:after="0"/>
        <w:rPr>
          <w:b/>
          <w:szCs w:val="18"/>
        </w:rPr>
      </w:pPr>
      <w:r w:rsidRPr="00490FBB">
        <w:rPr>
          <w:szCs w:val="18"/>
        </w:rPr>
        <w:t xml:space="preserve">? = reflect uncertainties and any identified health trade-offs in the economic evaluation, as a minimum in a cost-consequences analysis </w:t>
      </w:r>
    </w:p>
    <w:p w14:paraId="65C6F534" w14:textId="77777777" w:rsidR="000939E0" w:rsidRPr="00490FBB" w:rsidRDefault="000939E0" w:rsidP="00D60A89">
      <w:pPr>
        <w:pStyle w:val="Tablenotes"/>
        <w:keepNext/>
        <w:spacing w:after="0"/>
        <w:rPr>
          <w:b/>
          <w:szCs w:val="18"/>
        </w:rPr>
      </w:pPr>
      <w:r w:rsidRPr="007043BD">
        <w:rPr>
          <w:szCs w:val="18"/>
        </w:rPr>
        <w:t>a</w:t>
      </w:r>
      <w:r w:rsidRPr="00490FBB">
        <w:rPr>
          <w:szCs w:val="18"/>
        </w:rPr>
        <w:t> ‘Uncertainty’ covers concepts such as inadequate minimisation of important sources of bias, lack of statistical significance in an underpowered trial, detecting clinically unimportant therapeutic differences, inconsistent results across trials, and trade-offs within the comparative effectiveness and/or the comparative safety considerations</w:t>
      </w:r>
    </w:p>
    <w:p w14:paraId="1CB9C9B3" w14:textId="5CB9A3EC" w:rsidR="000939E0" w:rsidRPr="00490FBB" w:rsidRDefault="000939E0" w:rsidP="000939E0">
      <w:pPr>
        <w:pStyle w:val="Tablenotes"/>
        <w:rPr>
          <w:szCs w:val="18"/>
        </w:rPr>
      </w:pPr>
      <w:r w:rsidRPr="007043BD">
        <w:rPr>
          <w:szCs w:val="18"/>
        </w:rPr>
        <w:t>b</w:t>
      </w:r>
      <w:r w:rsidRPr="00490FBB">
        <w:rPr>
          <w:szCs w:val="18"/>
        </w:rPr>
        <w:t> An adequate assessment of ‘noninferiority’ is the preferred basis for demonstrating equivalence</w:t>
      </w:r>
    </w:p>
    <w:p w14:paraId="047E4738" w14:textId="1D501EE9" w:rsidR="00D73332" w:rsidRPr="00DE762F" w:rsidRDefault="00D73332" w:rsidP="00DE762F">
      <w:pPr>
        <w:pStyle w:val="Heading2"/>
      </w:pPr>
      <w:r w:rsidRPr="00DE762F">
        <w:lastRenderedPageBreak/>
        <w:t>Propos</w:t>
      </w:r>
      <w:r w:rsidR="000D1FCF" w:rsidRPr="00DE762F">
        <w:t>al for public funding</w:t>
      </w:r>
    </w:p>
    <w:p w14:paraId="0B662D2C" w14:textId="4F82CD1A" w:rsidR="00C27EFC" w:rsidRDefault="00B02003" w:rsidP="00C27EFC">
      <w:r>
        <w:t xml:space="preserve">The application requested 5 new MBS items for ADAMTS13 testing; </w:t>
      </w:r>
      <w:r w:rsidR="0076132A">
        <w:t>2</w:t>
      </w:r>
      <w:r>
        <w:t xml:space="preserve"> for ADAMTS13 activity testing (diagnosis and monitoring), </w:t>
      </w:r>
      <w:r w:rsidR="0076132A">
        <w:t xml:space="preserve">one for anti-ADAMTS13 antibody testing and 2 for </w:t>
      </w:r>
      <w:r w:rsidR="008314E6">
        <w:rPr>
          <w:i/>
          <w:iCs/>
        </w:rPr>
        <w:t xml:space="preserve">ADAMTS13 </w:t>
      </w:r>
      <w:r w:rsidR="008314E6">
        <w:t>genetic testing (diagnosis and cascade testing)</w:t>
      </w:r>
      <w:r>
        <w:t xml:space="preserve">. </w:t>
      </w:r>
      <w:r w:rsidR="00D41384">
        <w:t xml:space="preserve">The MBS </w:t>
      </w:r>
      <w:r w:rsidR="00074975">
        <w:t>descriptor</w:t>
      </w:r>
      <w:r>
        <w:t>s</w:t>
      </w:r>
      <w:r w:rsidR="00D41384">
        <w:t xml:space="preserve"> </w:t>
      </w:r>
      <w:r w:rsidR="00074975">
        <w:t xml:space="preserve">proposed in the application </w:t>
      </w:r>
      <w:r w:rsidR="00D41384">
        <w:t>are presented</w:t>
      </w:r>
      <w:r w:rsidR="00074975">
        <w:t xml:space="preserve"> in </w:t>
      </w:r>
      <w:r w:rsidR="00074975">
        <w:fldChar w:fldCharType="begin"/>
      </w:r>
      <w:r w:rsidR="00074975">
        <w:instrText xml:space="preserve"> REF _Ref192593071 \h </w:instrText>
      </w:r>
      <w:r w:rsidR="00074975">
        <w:fldChar w:fldCharType="separate"/>
      </w:r>
      <w:r w:rsidR="00AE1C62">
        <w:t>Table</w:t>
      </w:r>
      <w:r w:rsidR="00B9388F">
        <w:t> </w:t>
      </w:r>
      <w:r w:rsidR="00AE1C62">
        <w:rPr>
          <w:noProof/>
        </w:rPr>
        <w:t>10</w:t>
      </w:r>
      <w:r w:rsidR="00074975">
        <w:fldChar w:fldCharType="end"/>
      </w:r>
      <w:r w:rsidR="00D41384">
        <w:t xml:space="preserve">. </w:t>
      </w:r>
    </w:p>
    <w:p w14:paraId="11B6797D" w14:textId="19560E51" w:rsidR="00AA5E67" w:rsidRDefault="00AA5E67" w:rsidP="00AA5E67">
      <w:pPr>
        <w:pStyle w:val="Caption"/>
      </w:pPr>
      <w:bookmarkStart w:id="20" w:name="_Ref192593071"/>
      <w:r>
        <w:t xml:space="preserve">Table </w:t>
      </w:r>
      <w:r>
        <w:fldChar w:fldCharType="begin"/>
      </w:r>
      <w:r>
        <w:instrText xml:space="preserve"> SEQ Table \* ARABIC </w:instrText>
      </w:r>
      <w:r>
        <w:fldChar w:fldCharType="separate"/>
      </w:r>
      <w:r w:rsidR="00AE1C62">
        <w:rPr>
          <w:noProof/>
        </w:rPr>
        <w:t>10</w:t>
      </w:r>
      <w:r>
        <w:fldChar w:fldCharType="end"/>
      </w:r>
      <w:bookmarkEnd w:id="20"/>
      <w:r>
        <w:tab/>
        <w:t xml:space="preserve">MBS item descriptors proposed </w:t>
      </w:r>
      <w:r w:rsidR="00551AE7">
        <w:t>in</w:t>
      </w:r>
      <w:r>
        <w:t xml:space="preserve"> the </w:t>
      </w:r>
      <w:r w:rsidR="00551AE7">
        <w:t>application for ADAMTS13 testing</w:t>
      </w:r>
    </w:p>
    <w:tbl>
      <w:tblPr>
        <w:tblStyle w:val="TableGrid"/>
        <w:tblW w:w="0" w:type="auto"/>
        <w:tblInd w:w="0" w:type="dxa"/>
        <w:tblLook w:val="04A0" w:firstRow="1" w:lastRow="0" w:firstColumn="1" w:lastColumn="0" w:noHBand="0" w:noVBand="1"/>
      </w:tblPr>
      <w:tblGrid>
        <w:gridCol w:w="9571"/>
      </w:tblGrid>
      <w:tr w:rsidR="00AC4F5B" w:rsidRPr="003F0AC4" w14:paraId="2AAF94A9" w14:textId="77777777" w:rsidTr="00AC4F5B">
        <w:tc>
          <w:tcPr>
            <w:tcW w:w="9571" w:type="dxa"/>
          </w:tcPr>
          <w:p w14:paraId="5F7871B8" w14:textId="54777821" w:rsidR="00AC4F5B" w:rsidRPr="003F0E9A" w:rsidRDefault="00955380" w:rsidP="003F0AC4">
            <w:pPr>
              <w:pStyle w:val="051Tabletext229pt"/>
              <w:keepNext/>
              <w:rPr>
                <w:rFonts w:ascii="Arial Narrow" w:hAnsi="Arial Narrow"/>
                <w:b/>
                <w:bCs/>
                <w:sz w:val="20"/>
                <w:szCs w:val="20"/>
              </w:rPr>
            </w:pPr>
            <w:r w:rsidRPr="003F0E9A">
              <w:rPr>
                <w:rFonts w:ascii="Arial Narrow" w:hAnsi="Arial Narrow"/>
                <w:b/>
                <w:bCs/>
                <w:sz w:val="20"/>
                <w:szCs w:val="20"/>
              </w:rPr>
              <w:t>Category 6 – PATHOLOGY SERVICES</w:t>
            </w:r>
          </w:p>
        </w:tc>
      </w:tr>
      <w:tr w:rsidR="00AC4F5B" w:rsidRPr="003F0AC4" w14:paraId="2E0732EB" w14:textId="77777777" w:rsidTr="00AC4F5B">
        <w:tc>
          <w:tcPr>
            <w:tcW w:w="9571" w:type="dxa"/>
          </w:tcPr>
          <w:p w14:paraId="2D1E3842" w14:textId="77777777" w:rsidR="00AC4F5B" w:rsidRPr="003F0E9A" w:rsidRDefault="004321AA" w:rsidP="003F0AC4">
            <w:pPr>
              <w:pStyle w:val="051Tabletext229pt"/>
              <w:keepNext/>
              <w:ind w:left="720"/>
              <w:jc w:val="right"/>
              <w:rPr>
                <w:rFonts w:ascii="Arial Narrow" w:hAnsi="Arial Narrow"/>
                <w:b/>
                <w:bCs/>
                <w:sz w:val="20"/>
                <w:szCs w:val="20"/>
              </w:rPr>
            </w:pPr>
            <w:r w:rsidRPr="003F0E9A">
              <w:rPr>
                <w:rFonts w:ascii="Arial Narrow" w:hAnsi="Arial Narrow"/>
                <w:b/>
                <w:bCs/>
                <w:sz w:val="20"/>
                <w:szCs w:val="20"/>
              </w:rPr>
              <w:t>Group P1 Haematology</w:t>
            </w:r>
          </w:p>
          <w:p w14:paraId="2AC37A82" w14:textId="310D79AB" w:rsidR="00FB401A" w:rsidRPr="003F0E9A" w:rsidRDefault="00FB401A" w:rsidP="003F0AC4">
            <w:pPr>
              <w:pStyle w:val="051Tabletext229pt"/>
              <w:keepNext/>
              <w:jc w:val="both"/>
              <w:rPr>
                <w:rFonts w:ascii="Arial Narrow" w:hAnsi="Arial Narrow"/>
                <w:sz w:val="20"/>
                <w:szCs w:val="20"/>
              </w:rPr>
            </w:pPr>
            <w:r w:rsidRPr="003F0E9A">
              <w:rPr>
                <w:rFonts w:ascii="Arial Narrow" w:hAnsi="Arial Narrow"/>
                <w:sz w:val="20"/>
                <w:szCs w:val="20"/>
              </w:rPr>
              <w:t>MBS item AAAA</w:t>
            </w:r>
          </w:p>
          <w:p w14:paraId="491D030B" w14:textId="1217812E" w:rsidR="00C710B4" w:rsidRPr="003F0E9A" w:rsidRDefault="00C710B4" w:rsidP="003F0E9A">
            <w:pPr>
              <w:pStyle w:val="051Tabletext229pt"/>
              <w:keepNext/>
              <w:jc w:val="both"/>
              <w:rPr>
                <w:rFonts w:ascii="Arial Narrow" w:hAnsi="Arial Narrow"/>
                <w:sz w:val="20"/>
                <w:szCs w:val="20"/>
              </w:rPr>
            </w:pPr>
            <w:r w:rsidRPr="003F0E9A">
              <w:rPr>
                <w:rFonts w:ascii="Arial Narrow" w:hAnsi="Arial Narrow"/>
                <w:sz w:val="20"/>
                <w:szCs w:val="20"/>
              </w:rPr>
              <w:t>ADAMTS13 activity testing in patients presenting with suspected thrombotic thrombocytopenic purpura (TTP) to be conducted concurrently with BBBB</w:t>
            </w:r>
          </w:p>
          <w:p w14:paraId="2CE6D1B1" w14:textId="790A9389" w:rsidR="00AC4F5B" w:rsidRPr="003F0E9A" w:rsidRDefault="00C710B4" w:rsidP="003F0E9A">
            <w:pPr>
              <w:pStyle w:val="051Tabletext229pt"/>
              <w:keepNext/>
              <w:jc w:val="both"/>
              <w:rPr>
                <w:rFonts w:ascii="Arial Narrow" w:hAnsi="Arial Narrow"/>
                <w:sz w:val="20"/>
                <w:szCs w:val="20"/>
              </w:rPr>
            </w:pPr>
            <w:r w:rsidRPr="003F0E9A">
              <w:rPr>
                <w:rFonts w:ascii="Arial Narrow" w:hAnsi="Arial Narrow"/>
                <w:sz w:val="20"/>
                <w:szCs w:val="20"/>
              </w:rPr>
              <w:t>Once per episode</w:t>
            </w:r>
          </w:p>
        </w:tc>
      </w:tr>
      <w:tr w:rsidR="00AC4F5B" w:rsidRPr="003F0AC4" w14:paraId="5B1AEC68" w14:textId="77777777" w:rsidTr="00AC4F5B">
        <w:tc>
          <w:tcPr>
            <w:tcW w:w="9571" w:type="dxa"/>
          </w:tcPr>
          <w:p w14:paraId="65391D03" w14:textId="743D36CC" w:rsidR="00AC4F5B" w:rsidRPr="003F0E9A" w:rsidRDefault="006E4444" w:rsidP="003F0AC4">
            <w:pPr>
              <w:pStyle w:val="051Tabletext229pt"/>
              <w:rPr>
                <w:rFonts w:ascii="Arial Narrow" w:hAnsi="Arial Narrow"/>
                <w:sz w:val="20"/>
                <w:szCs w:val="20"/>
              </w:rPr>
            </w:pPr>
            <w:r w:rsidRPr="003F0E9A">
              <w:rPr>
                <w:rFonts w:ascii="Arial Narrow" w:hAnsi="Arial Narrow"/>
                <w:sz w:val="20"/>
                <w:szCs w:val="20"/>
              </w:rPr>
              <w:t>Proposed f</w:t>
            </w:r>
            <w:r w:rsidR="000641A0" w:rsidRPr="003F0E9A">
              <w:rPr>
                <w:rFonts w:ascii="Arial Narrow" w:hAnsi="Arial Narrow"/>
                <w:sz w:val="20"/>
                <w:szCs w:val="20"/>
              </w:rPr>
              <w:t xml:space="preserve">ee: </w:t>
            </w:r>
            <w:r w:rsidR="00036ABD" w:rsidRPr="003F0E9A">
              <w:rPr>
                <w:rFonts w:ascii="Arial Narrow" w:hAnsi="Arial Narrow"/>
                <w:sz w:val="20"/>
                <w:szCs w:val="20"/>
              </w:rPr>
              <w:t>$700</w:t>
            </w:r>
            <w:r w:rsidR="008E10A4" w:rsidRPr="003F0E9A">
              <w:rPr>
                <w:rFonts w:ascii="Arial Narrow" w:hAnsi="Arial Narrow"/>
                <w:sz w:val="20"/>
                <w:szCs w:val="20"/>
              </w:rPr>
              <w:t xml:space="preserve"> </w:t>
            </w:r>
            <w:r w:rsidR="00F138C6" w:rsidRPr="003F0E9A">
              <w:rPr>
                <w:rFonts w:ascii="Arial Narrow" w:hAnsi="Arial Narrow"/>
                <w:sz w:val="20"/>
                <w:szCs w:val="20"/>
              </w:rPr>
              <w:t xml:space="preserve">  </w:t>
            </w:r>
            <w:r w:rsidR="008E10A4" w:rsidRPr="003F0E9A">
              <w:rPr>
                <w:rFonts w:ascii="Arial Narrow" w:hAnsi="Arial Narrow"/>
                <w:sz w:val="20"/>
                <w:szCs w:val="20"/>
              </w:rPr>
              <w:t xml:space="preserve">Benefit: 75% = $525.00 </w:t>
            </w:r>
            <w:r w:rsidR="00F138C6" w:rsidRPr="003F0E9A">
              <w:rPr>
                <w:rFonts w:ascii="Arial Narrow" w:hAnsi="Arial Narrow"/>
                <w:sz w:val="20"/>
                <w:szCs w:val="20"/>
              </w:rPr>
              <w:t xml:space="preserve">  </w:t>
            </w:r>
            <w:r w:rsidR="008E10A4" w:rsidRPr="003F0E9A">
              <w:rPr>
                <w:rFonts w:ascii="Arial Narrow" w:hAnsi="Arial Narrow"/>
                <w:sz w:val="20"/>
                <w:szCs w:val="20"/>
              </w:rPr>
              <w:t>85% = $597.60</w:t>
            </w:r>
          </w:p>
        </w:tc>
      </w:tr>
      <w:tr w:rsidR="00AC4F5B" w:rsidRPr="003F0AC4" w14:paraId="2AED51F1" w14:textId="77777777" w:rsidTr="00AC4F5B">
        <w:tc>
          <w:tcPr>
            <w:tcW w:w="9571" w:type="dxa"/>
          </w:tcPr>
          <w:p w14:paraId="0C23D8B9" w14:textId="77777777" w:rsidR="00A24A51" w:rsidRPr="003F0E9A" w:rsidRDefault="00A24A51" w:rsidP="003F0AC4">
            <w:pPr>
              <w:pStyle w:val="051Tabletext229pt"/>
              <w:ind w:left="720"/>
              <w:jc w:val="right"/>
              <w:rPr>
                <w:rFonts w:ascii="Arial Narrow" w:hAnsi="Arial Narrow"/>
                <w:b/>
                <w:bCs/>
                <w:sz w:val="20"/>
                <w:szCs w:val="20"/>
              </w:rPr>
            </w:pPr>
            <w:r w:rsidRPr="003F0E9A">
              <w:rPr>
                <w:rFonts w:ascii="Arial Narrow" w:hAnsi="Arial Narrow"/>
                <w:b/>
                <w:bCs/>
                <w:sz w:val="20"/>
                <w:szCs w:val="20"/>
              </w:rPr>
              <w:t>Group P1 Haematology</w:t>
            </w:r>
          </w:p>
          <w:p w14:paraId="7D478666" w14:textId="6599B123" w:rsidR="00FB401A" w:rsidRPr="003F0E9A" w:rsidRDefault="00FB401A" w:rsidP="003F0AC4">
            <w:pPr>
              <w:pStyle w:val="051Tabletext229pt"/>
              <w:rPr>
                <w:rFonts w:ascii="Arial Narrow" w:hAnsi="Arial Narrow"/>
                <w:sz w:val="20"/>
                <w:szCs w:val="20"/>
              </w:rPr>
            </w:pPr>
            <w:r w:rsidRPr="003F0E9A">
              <w:rPr>
                <w:rFonts w:ascii="Arial Narrow" w:hAnsi="Arial Narrow"/>
                <w:sz w:val="20"/>
                <w:szCs w:val="20"/>
              </w:rPr>
              <w:t>MBS item BBBB</w:t>
            </w:r>
          </w:p>
          <w:p w14:paraId="3665D034" w14:textId="77777777" w:rsidR="00FB401A" w:rsidRPr="003F0E9A" w:rsidRDefault="00FB401A" w:rsidP="003F0E9A">
            <w:pPr>
              <w:pStyle w:val="051Tabletext229pt"/>
              <w:keepNext/>
              <w:jc w:val="both"/>
              <w:rPr>
                <w:rFonts w:ascii="Arial Narrow" w:hAnsi="Arial Narrow"/>
                <w:sz w:val="20"/>
                <w:szCs w:val="20"/>
              </w:rPr>
            </w:pPr>
            <w:r w:rsidRPr="003F0E9A">
              <w:rPr>
                <w:rFonts w:ascii="Arial Narrow" w:hAnsi="Arial Narrow"/>
                <w:sz w:val="20"/>
                <w:szCs w:val="20"/>
              </w:rPr>
              <w:t>Anti-ADAMTS13 antibody testing in patients presenting with suspected thrombotic thrombocytopenic purpura (TTP) to be conducted concurrently with AAAA</w:t>
            </w:r>
          </w:p>
          <w:p w14:paraId="32EC3656" w14:textId="276059E8" w:rsidR="00AC4F5B" w:rsidRPr="003F0E9A" w:rsidRDefault="00A24A51" w:rsidP="003F0E9A">
            <w:pPr>
              <w:pStyle w:val="051Tabletext229pt"/>
              <w:keepNext/>
              <w:jc w:val="both"/>
              <w:rPr>
                <w:rFonts w:ascii="Arial Narrow" w:hAnsi="Arial Narrow"/>
                <w:sz w:val="20"/>
                <w:szCs w:val="20"/>
              </w:rPr>
            </w:pPr>
            <w:r w:rsidRPr="003F0E9A">
              <w:rPr>
                <w:rFonts w:ascii="Arial Narrow" w:hAnsi="Arial Narrow"/>
                <w:sz w:val="20"/>
                <w:szCs w:val="20"/>
              </w:rPr>
              <w:t>Once per episode</w:t>
            </w:r>
          </w:p>
        </w:tc>
      </w:tr>
      <w:tr w:rsidR="00F17B7B" w:rsidRPr="003F0AC4" w14:paraId="4BD935AE" w14:textId="77777777" w:rsidTr="00AC4F5B">
        <w:tc>
          <w:tcPr>
            <w:tcW w:w="9571" w:type="dxa"/>
          </w:tcPr>
          <w:p w14:paraId="1F2AE67E" w14:textId="3A198645" w:rsidR="00F17B7B" w:rsidRPr="003F0E9A" w:rsidRDefault="002F3452" w:rsidP="003F0AC4">
            <w:pPr>
              <w:pStyle w:val="051Tabletext229pt"/>
              <w:rPr>
                <w:rFonts w:ascii="Arial Narrow" w:hAnsi="Arial Narrow"/>
                <w:sz w:val="20"/>
                <w:szCs w:val="20"/>
              </w:rPr>
            </w:pPr>
            <w:r w:rsidRPr="003F0E9A">
              <w:rPr>
                <w:rFonts w:ascii="Arial Narrow" w:hAnsi="Arial Narrow"/>
                <w:sz w:val="20"/>
                <w:szCs w:val="20"/>
              </w:rPr>
              <w:t xml:space="preserve">Proposed fee: $1,050 </w:t>
            </w:r>
            <w:r w:rsidR="00F138C6" w:rsidRPr="003F0E9A">
              <w:rPr>
                <w:rFonts w:ascii="Arial Narrow" w:hAnsi="Arial Narrow"/>
                <w:sz w:val="20"/>
                <w:szCs w:val="20"/>
              </w:rPr>
              <w:t xml:space="preserve">  </w:t>
            </w:r>
            <w:r w:rsidRPr="003F0E9A">
              <w:rPr>
                <w:rFonts w:ascii="Arial Narrow" w:hAnsi="Arial Narrow"/>
                <w:sz w:val="20"/>
                <w:szCs w:val="20"/>
              </w:rPr>
              <w:t xml:space="preserve">Benefit: 75% = 787.50 </w:t>
            </w:r>
            <w:r w:rsidR="00F138C6" w:rsidRPr="003F0E9A">
              <w:rPr>
                <w:rFonts w:ascii="Arial Narrow" w:hAnsi="Arial Narrow"/>
                <w:sz w:val="20"/>
                <w:szCs w:val="20"/>
              </w:rPr>
              <w:t xml:space="preserve">  </w:t>
            </w:r>
            <w:r w:rsidRPr="003F0E9A">
              <w:rPr>
                <w:rFonts w:ascii="Arial Narrow" w:hAnsi="Arial Narrow"/>
                <w:sz w:val="20"/>
                <w:szCs w:val="20"/>
              </w:rPr>
              <w:t>85% = $947.60</w:t>
            </w:r>
          </w:p>
        </w:tc>
      </w:tr>
      <w:tr w:rsidR="00AC4F5B" w:rsidRPr="003F0AC4" w14:paraId="168C1AB4" w14:textId="77777777" w:rsidTr="00AC4F5B">
        <w:tc>
          <w:tcPr>
            <w:tcW w:w="9571" w:type="dxa"/>
          </w:tcPr>
          <w:p w14:paraId="57FE62D8" w14:textId="48AE613C" w:rsidR="001F3067" w:rsidRPr="003F0E9A" w:rsidRDefault="001F3067" w:rsidP="003F0AC4">
            <w:pPr>
              <w:pStyle w:val="051Tabletext229pt"/>
              <w:ind w:left="720"/>
              <w:jc w:val="right"/>
              <w:rPr>
                <w:rFonts w:ascii="Arial Narrow" w:hAnsi="Arial Narrow"/>
                <w:b/>
                <w:bCs/>
                <w:sz w:val="20"/>
                <w:szCs w:val="20"/>
              </w:rPr>
            </w:pPr>
            <w:r w:rsidRPr="003F0E9A">
              <w:rPr>
                <w:rFonts w:ascii="Arial Narrow" w:hAnsi="Arial Narrow"/>
                <w:b/>
                <w:bCs/>
                <w:sz w:val="20"/>
                <w:szCs w:val="20"/>
              </w:rPr>
              <w:t>Group P</w:t>
            </w:r>
            <w:r w:rsidR="00B447F8" w:rsidRPr="003F0E9A">
              <w:rPr>
                <w:rFonts w:ascii="Arial Narrow" w:hAnsi="Arial Narrow"/>
                <w:b/>
                <w:bCs/>
                <w:sz w:val="20"/>
                <w:szCs w:val="20"/>
              </w:rPr>
              <w:t>7 Genetics</w:t>
            </w:r>
          </w:p>
          <w:p w14:paraId="23C1BBF5" w14:textId="3A8B1C36" w:rsidR="003863AC" w:rsidRPr="003F0E9A" w:rsidRDefault="003863AC" w:rsidP="003F0AC4">
            <w:pPr>
              <w:pStyle w:val="051Tabletext229pt"/>
              <w:rPr>
                <w:rFonts w:ascii="Arial Narrow" w:hAnsi="Arial Narrow"/>
                <w:sz w:val="20"/>
                <w:szCs w:val="20"/>
              </w:rPr>
            </w:pPr>
            <w:r w:rsidRPr="003F0E9A">
              <w:rPr>
                <w:rFonts w:ascii="Arial Narrow" w:hAnsi="Arial Narrow"/>
                <w:sz w:val="20"/>
                <w:szCs w:val="20"/>
              </w:rPr>
              <w:t>MBS item CCCC</w:t>
            </w:r>
          </w:p>
          <w:p w14:paraId="6498ABB1" w14:textId="780B54E8" w:rsidR="00F17B7B" w:rsidRPr="003F0E9A" w:rsidRDefault="00F17B7B" w:rsidP="003F0E9A">
            <w:pPr>
              <w:pStyle w:val="051Tabletext229pt"/>
              <w:keepNext/>
              <w:jc w:val="both"/>
              <w:rPr>
                <w:rFonts w:ascii="Arial Narrow" w:hAnsi="Arial Narrow"/>
                <w:sz w:val="20"/>
                <w:szCs w:val="20"/>
              </w:rPr>
            </w:pPr>
            <w:r w:rsidRPr="003F0E9A">
              <w:rPr>
                <w:rFonts w:ascii="Arial Narrow" w:hAnsi="Arial Narrow"/>
                <w:sz w:val="20"/>
                <w:szCs w:val="20"/>
              </w:rPr>
              <w:t xml:space="preserve">Characterisation of variant(s) in the </w:t>
            </w:r>
            <w:r w:rsidRPr="003F0E9A">
              <w:rPr>
                <w:rFonts w:ascii="Arial Narrow" w:hAnsi="Arial Narrow"/>
                <w:i/>
                <w:iCs/>
                <w:sz w:val="20"/>
                <w:szCs w:val="20"/>
              </w:rPr>
              <w:t>ADAMTS13</w:t>
            </w:r>
            <w:r w:rsidRPr="003F0E9A">
              <w:rPr>
                <w:rFonts w:ascii="Arial Narrow" w:hAnsi="Arial Narrow"/>
                <w:sz w:val="20"/>
                <w:szCs w:val="20"/>
              </w:rPr>
              <w:t xml:space="preserve"> gene in a patient with symptoms suggestive of thrombotic thrombocytopenic purpura, where testing with AAAA has indicated reduced ADAMTS13 activity and testing with BBBB indicates an absence of anti-ADAMTS13 antibodies, requested by a specialist or consultant physician </w:t>
            </w:r>
          </w:p>
          <w:p w14:paraId="6D6D5613" w14:textId="4FFF9CD0" w:rsidR="00AC4F5B" w:rsidRPr="003F0E9A" w:rsidRDefault="00F17B7B" w:rsidP="003F0E9A">
            <w:pPr>
              <w:pStyle w:val="051Tabletext229pt"/>
              <w:keepNext/>
              <w:jc w:val="both"/>
              <w:rPr>
                <w:rFonts w:ascii="Arial Narrow" w:hAnsi="Arial Narrow"/>
                <w:sz w:val="20"/>
                <w:szCs w:val="20"/>
              </w:rPr>
            </w:pPr>
            <w:r w:rsidRPr="003F0E9A">
              <w:rPr>
                <w:rFonts w:ascii="Arial Narrow" w:hAnsi="Arial Narrow"/>
                <w:sz w:val="20"/>
                <w:szCs w:val="20"/>
              </w:rPr>
              <w:t>Available once per lifetime</w:t>
            </w:r>
          </w:p>
        </w:tc>
      </w:tr>
      <w:tr w:rsidR="00AC4F5B" w:rsidRPr="003F0AC4" w14:paraId="683D5AB2" w14:textId="77777777" w:rsidTr="00AC4F5B">
        <w:tc>
          <w:tcPr>
            <w:tcW w:w="9571" w:type="dxa"/>
          </w:tcPr>
          <w:p w14:paraId="17E9325A" w14:textId="649336B1" w:rsidR="00AC4F5B" w:rsidRPr="003F0E9A" w:rsidRDefault="002F3452" w:rsidP="003F0AC4">
            <w:pPr>
              <w:pStyle w:val="051Tabletext229pt"/>
              <w:rPr>
                <w:rFonts w:ascii="Arial Narrow" w:hAnsi="Arial Narrow"/>
                <w:sz w:val="20"/>
                <w:szCs w:val="20"/>
              </w:rPr>
            </w:pPr>
            <w:r w:rsidRPr="003F0E9A">
              <w:rPr>
                <w:rFonts w:ascii="Arial Narrow" w:hAnsi="Arial Narrow"/>
                <w:sz w:val="20"/>
                <w:szCs w:val="20"/>
              </w:rPr>
              <w:t>Proposed fee: $1,200</w:t>
            </w:r>
            <w:r w:rsidR="00F138C6" w:rsidRPr="003F0E9A">
              <w:rPr>
                <w:rFonts w:ascii="Arial Narrow" w:hAnsi="Arial Narrow"/>
                <w:sz w:val="20"/>
                <w:szCs w:val="20"/>
              </w:rPr>
              <w:t xml:space="preserve">  </w:t>
            </w:r>
            <w:r w:rsidRPr="003F0E9A">
              <w:rPr>
                <w:rFonts w:ascii="Arial Narrow" w:hAnsi="Arial Narrow"/>
                <w:sz w:val="20"/>
                <w:szCs w:val="20"/>
              </w:rPr>
              <w:t xml:space="preserve"> Benefit: 75% = $900 </w:t>
            </w:r>
            <w:r w:rsidR="00F138C6" w:rsidRPr="003F0E9A">
              <w:rPr>
                <w:rFonts w:ascii="Arial Narrow" w:hAnsi="Arial Narrow"/>
                <w:sz w:val="20"/>
                <w:szCs w:val="20"/>
              </w:rPr>
              <w:t xml:space="preserve">  </w:t>
            </w:r>
            <w:r w:rsidRPr="003F0E9A">
              <w:rPr>
                <w:rFonts w:ascii="Arial Narrow" w:hAnsi="Arial Narrow"/>
                <w:sz w:val="20"/>
                <w:szCs w:val="20"/>
              </w:rPr>
              <w:t>85% = $1,097.60</w:t>
            </w:r>
          </w:p>
        </w:tc>
      </w:tr>
      <w:tr w:rsidR="00C4126B" w:rsidRPr="003F0AC4" w14:paraId="0DC045E2" w14:textId="77777777" w:rsidTr="00AC4F5B">
        <w:tc>
          <w:tcPr>
            <w:tcW w:w="9571" w:type="dxa"/>
          </w:tcPr>
          <w:p w14:paraId="37CB283F" w14:textId="77777777" w:rsidR="003863AC" w:rsidRPr="003F0E9A" w:rsidRDefault="003863AC" w:rsidP="003F0AC4">
            <w:pPr>
              <w:pStyle w:val="051Tabletext229pt"/>
              <w:ind w:left="720"/>
              <w:jc w:val="right"/>
              <w:rPr>
                <w:rFonts w:ascii="Arial Narrow" w:hAnsi="Arial Narrow"/>
                <w:b/>
                <w:bCs/>
                <w:sz w:val="20"/>
                <w:szCs w:val="20"/>
              </w:rPr>
            </w:pPr>
            <w:r w:rsidRPr="003F0E9A">
              <w:rPr>
                <w:rFonts w:ascii="Arial Narrow" w:hAnsi="Arial Narrow"/>
                <w:b/>
                <w:bCs/>
                <w:sz w:val="20"/>
                <w:szCs w:val="20"/>
              </w:rPr>
              <w:t>Group P7 Genetics</w:t>
            </w:r>
          </w:p>
          <w:p w14:paraId="30F97D3C" w14:textId="6FB1C8B6" w:rsidR="000A7F8C" w:rsidRPr="003F0E9A" w:rsidRDefault="000A7F8C" w:rsidP="003F0AC4">
            <w:pPr>
              <w:pStyle w:val="051Tabletext229pt"/>
              <w:rPr>
                <w:rFonts w:ascii="Arial Narrow" w:hAnsi="Arial Narrow"/>
                <w:sz w:val="20"/>
                <w:szCs w:val="20"/>
              </w:rPr>
            </w:pPr>
            <w:r w:rsidRPr="003F0E9A">
              <w:rPr>
                <w:rFonts w:ascii="Arial Narrow" w:hAnsi="Arial Narrow"/>
                <w:sz w:val="20"/>
                <w:szCs w:val="20"/>
              </w:rPr>
              <w:t xml:space="preserve">MBS item </w:t>
            </w:r>
            <w:r w:rsidR="00CC0E84" w:rsidRPr="003F0E9A">
              <w:rPr>
                <w:rFonts w:ascii="Arial Narrow" w:hAnsi="Arial Narrow"/>
                <w:sz w:val="20"/>
                <w:szCs w:val="20"/>
              </w:rPr>
              <w:t>DDDD</w:t>
            </w:r>
          </w:p>
          <w:p w14:paraId="2110109D" w14:textId="15FC0B6B" w:rsidR="003863AC" w:rsidRPr="003F0E9A" w:rsidRDefault="009168DA" w:rsidP="003F0E9A">
            <w:pPr>
              <w:pStyle w:val="051Tabletext229pt"/>
              <w:keepNext/>
              <w:jc w:val="both"/>
              <w:rPr>
                <w:rFonts w:ascii="Arial Narrow" w:hAnsi="Arial Narrow"/>
                <w:sz w:val="20"/>
                <w:szCs w:val="20"/>
              </w:rPr>
            </w:pPr>
            <w:r w:rsidRPr="003F0E9A">
              <w:rPr>
                <w:rFonts w:ascii="Arial Narrow" w:hAnsi="Arial Narrow"/>
                <w:sz w:val="20"/>
                <w:szCs w:val="20"/>
              </w:rPr>
              <w:t xml:space="preserve">Characterisation of variants in the </w:t>
            </w:r>
            <w:r w:rsidRPr="003F0E9A">
              <w:rPr>
                <w:rFonts w:ascii="Arial Narrow" w:hAnsi="Arial Narrow"/>
                <w:i/>
                <w:iCs/>
                <w:sz w:val="20"/>
                <w:szCs w:val="20"/>
              </w:rPr>
              <w:t>ADAMTS13</w:t>
            </w:r>
            <w:r w:rsidRPr="003F0E9A">
              <w:rPr>
                <w:rFonts w:ascii="Arial Narrow" w:hAnsi="Arial Narrow"/>
                <w:sz w:val="20"/>
                <w:szCs w:val="20"/>
              </w:rPr>
              <w:t xml:space="preserve"> gene in a patient in a first-degree biological relative of a patient found to have a likely pathogenic variant(s) identified by item CCCC, requested by or on behalf of a specialist or consultant physician who manages the treatment of the patient </w:t>
            </w:r>
          </w:p>
          <w:p w14:paraId="248B4419" w14:textId="005A238B" w:rsidR="00C4126B" w:rsidRPr="003F0E9A" w:rsidRDefault="003863AC" w:rsidP="003F0E9A">
            <w:pPr>
              <w:pStyle w:val="051Tabletext229pt"/>
              <w:keepNext/>
              <w:jc w:val="both"/>
              <w:rPr>
                <w:rFonts w:ascii="Arial Narrow" w:hAnsi="Arial Narrow"/>
                <w:sz w:val="20"/>
                <w:szCs w:val="20"/>
              </w:rPr>
            </w:pPr>
            <w:r w:rsidRPr="003F0E9A">
              <w:rPr>
                <w:rFonts w:ascii="Arial Narrow" w:hAnsi="Arial Narrow"/>
                <w:sz w:val="20"/>
                <w:szCs w:val="20"/>
              </w:rPr>
              <w:t>Available once per lifetime</w:t>
            </w:r>
          </w:p>
        </w:tc>
      </w:tr>
      <w:tr w:rsidR="00C4126B" w:rsidRPr="003F0AC4" w14:paraId="54E959FB" w14:textId="77777777" w:rsidTr="00AC4F5B">
        <w:tc>
          <w:tcPr>
            <w:tcW w:w="9571" w:type="dxa"/>
          </w:tcPr>
          <w:p w14:paraId="08FFB5AD" w14:textId="4677D3B8" w:rsidR="00C4126B" w:rsidRPr="003F0E9A" w:rsidRDefault="00AA5E67" w:rsidP="003F0AC4">
            <w:pPr>
              <w:pStyle w:val="051Tabletext229pt"/>
              <w:rPr>
                <w:rFonts w:ascii="Arial Narrow" w:hAnsi="Arial Narrow"/>
                <w:sz w:val="20"/>
                <w:szCs w:val="20"/>
              </w:rPr>
            </w:pPr>
            <w:r w:rsidRPr="003F0E9A">
              <w:rPr>
                <w:rFonts w:ascii="Arial Narrow" w:hAnsi="Arial Narrow"/>
                <w:sz w:val="20"/>
                <w:szCs w:val="20"/>
              </w:rPr>
              <w:t xml:space="preserve">Proposed fee: $1,200 </w:t>
            </w:r>
            <w:r w:rsidR="00F138C6" w:rsidRPr="003F0E9A">
              <w:rPr>
                <w:rFonts w:ascii="Arial Narrow" w:hAnsi="Arial Narrow"/>
                <w:sz w:val="20"/>
                <w:szCs w:val="20"/>
              </w:rPr>
              <w:t xml:space="preserve">  </w:t>
            </w:r>
            <w:r w:rsidRPr="003F0E9A">
              <w:rPr>
                <w:rFonts w:ascii="Arial Narrow" w:hAnsi="Arial Narrow"/>
                <w:sz w:val="20"/>
                <w:szCs w:val="20"/>
              </w:rPr>
              <w:t xml:space="preserve">Benefit: 75% = $900 </w:t>
            </w:r>
            <w:r w:rsidR="00F138C6" w:rsidRPr="003F0E9A">
              <w:rPr>
                <w:rFonts w:ascii="Arial Narrow" w:hAnsi="Arial Narrow"/>
                <w:sz w:val="20"/>
                <w:szCs w:val="20"/>
              </w:rPr>
              <w:t xml:space="preserve">  </w:t>
            </w:r>
            <w:r w:rsidRPr="003F0E9A">
              <w:rPr>
                <w:rFonts w:ascii="Arial Narrow" w:hAnsi="Arial Narrow"/>
                <w:sz w:val="20"/>
                <w:szCs w:val="20"/>
              </w:rPr>
              <w:t>85% = $1,097.60</w:t>
            </w:r>
          </w:p>
        </w:tc>
      </w:tr>
      <w:tr w:rsidR="00AC4F5B" w:rsidRPr="003F0AC4" w14:paraId="2053BAA8" w14:textId="77777777" w:rsidTr="00AC4F5B">
        <w:tc>
          <w:tcPr>
            <w:tcW w:w="9571" w:type="dxa"/>
          </w:tcPr>
          <w:p w14:paraId="05E9766A" w14:textId="77777777" w:rsidR="002F3452" w:rsidRPr="003F0E9A" w:rsidRDefault="002F3452" w:rsidP="003F0AC4">
            <w:pPr>
              <w:pStyle w:val="051Tabletext229pt"/>
              <w:ind w:left="720"/>
              <w:jc w:val="right"/>
              <w:rPr>
                <w:rFonts w:ascii="Arial Narrow" w:hAnsi="Arial Narrow"/>
                <w:b/>
                <w:bCs/>
                <w:sz w:val="20"/>
                <w:szCs w:val="20"/>
              </w:rPr>
            </w:pPr>
            <w:r w:rsidRPr="003F0E9A">
              <w:rPr>
                <w:rFonts w:ascii="Arial Narrow" w:hAnsi="Arial Narrow"/>
                <w:b/>
                <w:bCs/>
                <w:sz w:val="20"/>
                <w:szCs w:val="20"/>
              </w:rPr>
              <w:t>Group P1 Haematology</w:t>
            </w:r>
          </w:p>
          <w:p w14:paraId="3F51C2DF" w14:textId="78F380C1" w:rsidR="002F3452" w:rsidRPr="003F0E9A" w:rsidRDefault="002F3452" w:rsidP="003F0AC4">
            <w:pPr>
              <w:pStyle w:val="051Tabletext229pt"/>
              <w:jc w:val="both"/>
              <w:rPr>
                <w:rFonts w:ascii="Arial Narrow" w:hAnsi="Arial Narrow"/>
                <w:sz w:val="20"/>
                <w:szCs w:val="20"/>
              </w:rPr>
            </w:pPr>
            <w:r w:rsidRPr="003F0E9A">
              <w:rPr>
                <w:rFonts w:ascii="Arial Narrow" w:hAnsi="Arial Narrow"/>
                <w:sz w:val="20"/>
                <w:szCs w:val="20"/>
              </w:rPr>
              <w:t xml:space="preserve">MBS item </w:t>
            </w:r>
            <w:r w:rsidR="003863AC" w:rsidRPr="003F0E9A">
              <w:rPr>
                <w:rFonts w:ascii="Arial Narrow" w:hAnsi="Arial Narrow"/>
                <w:sz w:val="20"/>
                <w:szCs w:val="20"/>
              </w:rPr>
              <w:t>EEEE</w:t>
            </w:r>
          </w:p>
          <w:p w14:paraId="654A2356" w14:textId="77777777" w:rsidR="00C7145E" w:rsidRPr="003F0E9A" w:rsidRDefault="00C7145E" w:rsidP="003F0E9A">
            <w:pPr>
              <w:pStyle w:val="051Tabletext229pt"/>
              <w:keepNext/>
              <w:jc w:val="both"/>
              <w:rPr>
                <w:rFonts w:ascii="Arial Narrow" w:hAnsi="Arial Narrow"/>
                <w:sz w:val="20"/>
                <w:szCs w:val="20"/>
              </w:rPr>
            </w:pPr>
            <w:r w:rsidRPr="003F0E9A">
              <w:rPr>
                <w:rFonts w:ascii="Arial Narrow" w:hAnsi="Arial Narrow"/>
                <w:sz w:val="20"/>
                <w:szCs w:val="20"/>
              </w:rPr>
              <w:t>Monitoring ADAMTS13 activity levels in patients with confirmed acquired thrombotic thrombocytopenic purpura (TTP) by item AAAA and BBBB</w:t>
            </w:r>
          </w:p>
          <w:p w14:paraId="14CD3AC1" w14:textId="683A81F1" w:rsidR="00AC4F5B" w:rsidRPr="003F0E9A" w:rsidRDefault="00C7145E" w:rsidP="003F0E9A">
            <w:pPr>
              <w:pStyle w:val="051Tabletext229pt"/>
              <w:keepNext/>
              <w:jc w:val="both"/>
              <w:rPr>
                <w:rFonts w:ascii="Arial Narrow" w:hAnsi="Arial Narrow"/>
                <w:sz w:val="20"/>
                <w:szCs w:val="20"/>
              </w:rPr>
            </w:pPr>
            <w:r w:rsidRPr="003F0E9A">
              <w:rPr>
                <w:rFonts w:ascii="Arial Narrow" w:hAnsi="Arial Narrow"/>
                <w:sz w:val="20"/>
                <w:szCs w:val="20"/>
              </w:rPr>
              <w:t>Weekly for first month after diagnosis, every 3-months for next 12-months, every 3-6 months thereafter</w:t>
            </w:r>
          </w:p>
        </w:tc>
      </w:tr>
      <w:tr w:rsidR="00AC4F5B" w:rsidRPr="003F0AC4" w14:paraId="13988435" w14:textId="77777777" w:rsidTr="00AC4F5B">
        <w:tc>
          <w:tcPr>
            <w:tcW w:w="9571" w:type="dxa"/>
          </w:tcPr>
          <w:p w14:paraId="472C8FE1" w14:textId="426A2814" w:rsidR="00AC4F5B" w:rsidRPr="003F0E9A" w:rsidRDefault="006E4444" w:rsidP="003F0AC4">
            <w:pPr>
              <w:pStyle w:val="051Tabletext229pt"/>
              <w:rPr>
                <w:rFonts w:ascii="Arial Narrow" w:hAnsi="Arial Narrow"/>
                <w:sz w:val="20"/>
                <w:szCs w:val="20"/>
              </w:rPr>
            </w:pPr>
            <w:r w:rsidRPr="003F0E9A">
              <w:rPr>
                <w:rFonts w:ascii="Arial Narrow" w:hAnsi="Arial Narrow"/>
                <w:sz w:val="20"/>
                <w:szCs w:val="20"/>
              </w:rPr>
              <w:t>Proposed f</w:t>
            </w:r>
            <w:r w:rsidR="003863AC" w:rsidRPr="003F0E9A">
              <w:rPr>
                <w:rFonts w:ascii="Arial Narrow" w:hAnsi="Arial Narrow"/>
                <w:sz w:val="20"/>
                <w:szCs w:val="20"/>
              </w:rPr>
              <w:t xml:space="preserve">ee: $700 </w:t>
            </w:r>
            <w:r w:rsidR="00F138C6" w:rsidRPr="003F0E9A">
              <w:rPr>
                <w:rFonts w:ascii="Arial Narrow" w:hAnsi="Arial Narrow"/>
                <w:sz w:val="20"/>
                <w:szCs w:val="20"/>
              </w:rPr>
              <w:t xml:space="preserve">  </w:t>
            </w:r>
            <w:r w:rsidR="003863AC" w:rsidRPr="003F0E9A">
              <w:rPr>
                <w:rFonts w:ascii="Arial Narrow" w:hAnsi="Arial Narrow"/>
                <w:sz w:val="20"/>
                <w:szCs w:val="20"/>
              </w:rPr>
              <w:t xml:space="preserve">Benefit: 75% = $525.00 </w:t>
            </w:r>
            <w:r w:rsidR="00F138C6" w:rsidRPr="003F0E9A">
              <w:rPr>
                <w:rFonts w:ascii="Arial Narrow" w:hAnsi="Arial Narrow"/>
                <w:sz w:val="20"/>
                <w:szCs w:val="20"/>
              </w:rPr>
              <w:t xml:space="preserve">  </w:t>
            </w:r>
            <w:r w:rsidR="003863AC" w:rsidRPr="003F0E9A">
              <w:rPr>
                <w:rFonts w:ascii="Arial Narrow" w:hAnsi="Arial Narrow"/>
                <w:sz w:val="20"/>
                <w:szCs w:val="20"/>
              </w:rPr>
              <w:t>85% = $597.60</w:t>
            </w:r>
          </w:p>
        </w:tc>
      </w:tr>
    </w:tbl>
    <w:p w14:paraId="533A8F71" w14:textId="77777777" w:rsidR="0082530A" w:rsidRDefault="00020D19" w:rsidP="0082530A">
      <w:pPr>
        <w:pStyle w:val="Tablenotes"/>
        <w:spacing w:after="0"/>
      </w:pPr>
      <w:r>
        <w:t>Source: adapted from Application 1796 for ADAMTS13 testing for TTP</w:t>
      </w:r>
      <w:r w:rsidR="009C2C8D">
        <w:t xml:space="preserve">, with </w:t>
      </w:r>
      <w:r w:rsidR="00666F8A">
        <w:t>75% and 85% Benefits calculated by the assessment group</w:t>
      </w:r>
      <w:r w:rsidR="006E4444">
        <w:t>.</w:t>
      </w:r>
      <w:r w:rsidR="009C567E">
        <w:t xml:space="preserve"> </w:t>
      </w:r>
    </w:p>
    <w:p w14:paraId="525DAC2B" w14:textId="5CDAF5C9" w:rsidR="00497834" w:rsidRDefault="0082530A" w:rsidP="006E4444">
      <w:pPr>
        <w:pStyle w:val="Tablenotes"/>
        <w:spacing w:after="240"/>
      </w:pPr>
      <w:r>
        <w:t xml:space="preserve">Note: </w:t>
      </w:r>
      <w:r w:rsidR="009C567E">
        <w:t xml:space="preserve">The application </w:t>
      </w:r>
      <w:r w:rsidR="00657FA8">
        <w:t>assumed</w:t>
      </w:r>
      <w:r w:rsidR="009C567E">
        <w:t xml:space="preserve"> the </w:t>
      </w:r>
      <w:r w:rsidR="00321D06" w:rsidRPr="00321D06">
        <w:t>Greatest Permissible Gap</w:t>
      </w:r>
      <w:r w:rsidR="00321D06">
        <w:t xml:space="preserve"> </w:t>
      </w:r>
      <w:r w:rsidR="00AC0985">
        <w:t>would</w:t>
      </w:r>
      <w:r w:rsidR="00657FA8">
        <w:t xml:space="preserve"> </w:t>
      </w:r>
      <w:r w:rsidR="00321D06">
        <w:t>appl</w:t>
      </w:r>
      <w:r w:rsidR="00AC0985">
        <w:t>y</w:t>
      </w:r>
      <w:r w:rsidR="00321D06">
        <w:t xml:space="preserve"> to each of these </w:t>
      </w:r>
      <w:r w:rsidR="00AC0985">
        <w:t xml:space="preserve">items, but it is noted </w:t>
      </w:r>
      <w:r>
        <w:t>some</w:t>
      </w:r>
      <w:r w:rsidR="00AC0985">
        <w:t xml:space="preserve"> services will be </w:t>
      </w:r>
      <w:r>
        <w:t>for inpatients.</w:t>
      </w:r>
    </w:p>
    <w:p w14:paraId="1DFBB986" w14:textId="77F9BA4A" w:rsidR="008314E6" w:rsidRDefault="008314E6" w:rsidP="008314E6">
      <w:r>
        <w:t>There are no associated applications currently related to the proposed health technologies but access to PBS</w:t>
      </w:r>
      <w:r w:rsidR="00C5230F">
        <w:t>-</w:t>
      </w:r>
      <w:r>
        <w:t>funded eculizumab and r</w:t>
      </w:r>
      <w:r w:rsidRPr="0006519D">
        <w:t>avulizumab</w:t>
      </w:r>
      <w:r>
        <w:t xml:space="preserve"> for treatment of aHUS requires ADAMTS13 testing</w:t>
      </w:r>
      <w:r w:rsidR="009C695A">
        <w:rPr>
          <w:rStyle w:val="FootnoteReference"/>
        </w:rPr>
        <w:footnoteReference w:id="8"/>
      </w:r>
      <w:r>
        <w:t xml:space="preserve"> to exclude </w:t>
      </w:r>
      <w:r>
        <w:lastRenderedPageBreak/>
        <w:t>TTP. The PB</w:t>
      </w:r>
      <w:r w:rsidR="00A97663">
        <w:t>AC</w:t>
      </w:r>
      <w:r>
        <w:t xml:space="preserve"> did not </w:t>
      </w:r>
      <w:r w:rsidR="00BE5D21">
        <w:t>recommend</w:t>
      </w:r>
      <w:r>
        <w:t xml:space="preserve"> </w:t>
      </w:r>
      <w:r w:rsidR="007906B8">
        <w:t xml:space="preserve">the </w:t>
      </w:r>
      <w:r w:rsidR="00D64142">
        <w:t>proposed listing of</w:t>
      </w:r>
      <w:r w:rsidR="00F372A6">
        <w:t xml:space="preserve"> </w:t>
      </w:r>
      <w:r>
        <w:t>c</w:t>
      </w:r>
      <w:r w:rsidRPr="00D6398B">
        <w:t>aplacizumab</w:t>
      </w:r>
      <w:r>
        <w:t xml:space="preserve"> for </w:t>
      </w:r>
      <w:r w:rsidR="00BD62A9">
        <w:t xml:space="preserve">the treatment of </w:t>
      </w:r>
      <w:r w:rsidR="00C02490">
        <w:t>i</w:t>
      </w:r>
      <w:r>
        <w:t>TTP</w:t>
      </w:r>
      <w:r w:rsidR="00BD62A9">
        <w:t xml:space="preserve"> (</w:t>
      </w:r>
      <w:r w:rsidR="004E157F">
        <w:t>July 2020 PBAC meeting)</w:t>
      </w:r>
      <w:r>
        <w:t>.</w:t>
      </w:r>
    </w:p>
    <w:p w14:paraId="0B93F56F" w14:textId="73562AA0" w:rsidR="00BE5D21" w:rsidRDefault="00BE5D21" w:rsidP="00C27EFC">
      <w:r>
        <w:t xml:space="preserve">The </w:t>
      </w:r>
      <w:r w:rsidR="005C1BF2">
        <w:t xml:space="preserve">applicant’s </w:t>
      </w:r>
      <w:r>
        <w:t>proposed item descriptors do not align with the clinical management algorithm for PICO Set 1</w:t>
      </w:r>
      <w:r w:rsidR="00E861C7">
        <w:t>.</w:t>
      </w:r>
      <w:r>
        <w:t xml:space="preserve"> </w:t>
      </w:r>
      <w:r w:rsidR="00B9677E">
        <w:t xml:space="preserve">Blood samples should be </w:t>
      </w:r>
      <w:r w:rsidR="005737D7">
        <w:t xml:space="preserve">taken prior to PEX initiation for both ADAMTS13 activity testing and anti-ADAMTS13 antibody testing, </w:t>
      </w:r>
      <w:r w:rsidR="007476D0">
        <w:t xml:space="preserve">although </w:t>
      </w:r>
      <w:r w:rsidR="005737D7">
        <w:t>the tests are not undertaken concurrently</w:t>
      </w:r>
      <w:r w:rsidR="00E13D2B">
        <w:t>,</w:t>
      </w:r>
      <w:r w:rsidR="005737D7">
        <w:t xml:space="preserve"> and the latter is only performed where the former indicates TTP.</w:t>
      </w:r>
      <w:r w:rsidR="00AD0B6A">
        <w:t xml:space="preserve"> </w:t>
      </w:r>
      <w:r w:rsidR="00E13D2B">
        <w:t>A</w:t>
      </w:r>
      <w:r w:rsidR="00BC509A">
        <w:t>ccording to the applicant’s clinical expert, a</w:t>
      </w:r>
      <w:r w:rsidR="00185125">
        <w:t xml:space="preserve"> practice note </w:t>
      </w:r>
      <w:r w:rsidR="00E13D2B">
        <w:t xml:space="preserve">to specify this </w:t>
      </w:r>
      <w:r w:rsidR="00BC509A">
        <w:t>is</w:t>
      </w:r>
      <w:r w:rsidR="00E13D2B">
        <w:t xml:space="preserve"> not </w:t>
      </w:r>
      <w:r w:rsidR="00BC509A">
        <w:t>considered to be</w:t>
      </w:r>
      <w:r w:rsidR="00E13D2B">
        <w:t xml:space="preserve"> necessary</w:t>
      </w:r>
      <w:r w:rsidR="00BC509A">
        <w:t>.</w:t>
      </w:r>
    </w:p>
    <w:p w14:paraId="26CACFD2" w14:textId="24E6BCA9" w:rsidR="0065390E" w:rsidRDefault="00EA45E7" w:rsidP="00670C91">
      <w:pPr>
        <w:spacing w:after="120"/>
      </w:pPr>
      <w:r>
        <w:t>In the pre-PASC meeting, the department queried whether there needed to be separate</w:t>
      </w:r>
      <w:r w:rsidR="008314E6">
        <w:t xml:space="preserve"> MBS </w:t>
      </w:r>
      <w:r>
        <w:t xml:space="preserve">items for </w:t>
      </w:r>
      <w:r w:rsidR="00F6787A">
        <w:t xml:space="preserve">diagnosis and </w:t>
      </w:r>
      <w:r>
        <w:t>monitoring</w:t>
      </w:r>
      <w:r w:rsidR="004A621E">
        <w:t xml:space="preserve"> and whether </w:t>
      </w:r>
      <w:r w:rsidR="00DB4A30">
        <w:t xml:space="preserve">the </w:t>
      </w:r>
      <w:r w:rsidR="00E66D6E">
        <w:t>proposed item AAAA required a</w:t>
      </w:r>
      <w:r w:rsidR="00F6787A">
        <w:t xml:space="preserve"> higher </w:t>
      </w:r>
      <w:r w:rsidR="00E66D6E">
        <w:t>fee due to</w:t>
      </w:r>
      <w:r w:rsidR="00F6787A">
        <w:t xml:space="preserve"> urgency.</w:t>
      </w:r>
      <w:r w:rsidR="00E66D6E">
        <w:t xml:space="preserve"> The application has </w:t>
      </w:r>
      <w:r w:rsidR="00C422DD">
        <w:t xml:space="preserve">requested the same fee for both the diagnostic and monitoring indications and therefore </w:t>
      </w:r>
      <w:r w:rsidR="003C34F3">
        <w:t>agreed that these proposed items could be combined</w:t>
      </w:r>
      <w:r w:rsidR="004E6596">
        <w:t>.</w:t>
      </w:r>
      <w:r w:rsidR="006D6AE2">
        <w:t xml:space="preserve"> </w:t>
      </w:r>
      <w:r w:rsidR="005477B3">
        <w:t xml:space="preserve">The assessment group has </w:t>
      </w:r>
      <w:r w:rsidR="00C3296A">
        <w:t xml:space="preserve">proposed 4 new MBS items </w:t>
      </w:r>
      <w:r w:rsidR="00482768">
        <w:t xml:space="preserve">for ADAMTS13 testing based on </w:t>
      </w:r>
      <w:r w:rsidR="004E1781">
        <w:t>discussion at the pre-PASC meeting and existing MBS i</w:t>
      </w:r>
      <w:r w:rsidR="002B63E3">
        <w:t>tem descriptors</w:t>
      </w:r>
      <w:r w:rsidR="003D34D5">
        <w:t xml:space="preserve"> (</w:t>
      </w:r>
      <w:r w:rsidR="003D34D5">
        <w:fldChar w:fldCharType="begin"/>
      </w:r>
      <w:r w:rsidR="003D34D5">
        <w:instrText xml:space="preserve"> REF _Ref192605399 \h </w:instrText>
      </w:r>
      <w:r w:rsidR="003D34D5">
        <w:fldChar w:fldCharType="separate"/>
      </w:r>
      <w:r w:rsidR="00AE1C62">
        <w:t xml:space="preserve">Table </w:t>
      </w:r>
      <w:r w:rsidR="00AE1C62">
        <w:rPr>
          <w:noProof/>
        </w:rPr>
        <w:t>11</w:t>
      </w:r>
      <w:r w:rsidR="003D34D5">
        <w:fldChar w:fldCharType="end"/>
      </w:r>
      <w:r w:rsidR="003D34D5">
        <w:t>)</w:t>
      </w:r>
      <w:r w:rsidR="002B63E3">
        <w:t>.</w:t>
      </w:r>
    </w:p>
    <w:p w14:paraId="1A6117C1" w14:textId="2EF4098E" w:rsidR="00EC4D62" w:rsidRDefault="00EC4D62" w:rsidP="00EC4D62">
      <w:pPr>
        <w:pStyle w:val="Caption"/>
      </w:pPr>
      <w:bookmarkStart w:id="21" w:name="_Ref192605399"/>
      <w:r>
        <w:t xml:space="preserve">Table </w:t>
      </w:r>
      <w:r>
        <w:fldChar w:fldCharType="begin"/>
      </w:r>
      <w:r>
        <w:instrText xml:space="preserve"> SEQ Table \* ARABIC </w:instrText>
      </w:r>
      <w:r>
        <w:fldChar w:fldCharType="separate"/>
      </w:r>
      <w:r w:rsidR="00AE1C62">
        <w:rPr>
          <w:noProof/>
        </w:rPr>
        <w:t>11</w:t>
      </w:r>
      <w:r>
        <w:fldChar w:fldCharType="end"/>
      </w:r>
      <w:bookmarkEnd w:id="21"/>
      <w:r>
        <w:tab/>
      </w:r>
      <w:r w:rsidR="0087266C">
        <w:t xml:space="preserve">New </w:t>
      </w:r>
      <w:r>
        <w:t xml:space="preserve">MBS item descriptors </w:t>
      </w:r>
      <w:r w:rsidR="004B331D">
        <w:t>proposed by the assessment group for ADAMTS13 testing</w:t>
      </w:r>
    </w:p>
    <w:tbl>
      <w:tblPr>
        <w:tblStyle w:val="TableGrid"/>
        <w:tblW w:w="0" w:type="auto"/>
        <w:tblInd w:w="0" w:type="dxa"/>
        <w:tblLook w:val="04A0" w:firstRow="1" w:lastRow="0" w:firstColumn="1" w:lastColumn="0" w:noHBand="0" w:noVBand="1"/>
      </w:tblPr>
      <w:tblGrid>
        <w:gridCol w:w="9571"/>
      </w:tblGrid>
      <w:tr w:rsidR="004E6596" w:rsidRPr="003F0AC4" w14:paraId="28BB2124" w14:textId="77777777" w:rsidTr="00515310">
        <w:tc>
          <w:tcPr>
            <w:tcW w:w="9571" w:type="dxa"/>
          </w:tcPr>
          <w:p w14:paraId="09F21FD0" w14:textId="77777777" w:rsidR="004E6596" w:rsidRPr="003F0E9A" w:rsidRDefault="004E6596" w:rsidP="003F0AC4">
            <w:pPr>
              <w:pStyle w:val="051Tabletext229pt"/>
              <w:rPr>
                <w:rFonts w:ascii="Arial Narrow" w:hAnsi="Arial Narrow" w:cstheme="minorHAnsi"/>
                <w:b/>
                <w:bCs/>
                <w:sz w:val="20"/>
                <w:szCs w:val="20"/>
              </w:rPr>
            </w:pPr>
            <w:r w:rsidRPr="003F0E9A">
              <w:rPr>
                <w:rFonts w:ascii="Arial Narrow" w:hAnsi="Arial Narrow" w:cstheme="minorHAnsi"/>
                <w:b/>
                <w:bCs/>
                <w:sz w:val="20"/>
                <w:szCs w:val="20"/>
              </w:rPr>
              <w:t>Category 6 – PATHOLOGY SERVICES</w:t>
            </w:r>
          </w:p>
        </w:tc>
      </w:tr>
      <w:tr w:rsidR="004E6596" w:rsidRPr="003F0AC4" w14:paraId="5792D723" w14:textId="77777777" w:rsidTr="00515310">
        <w:tc>
          <w:tcPr>
            <w:tcW w:w="9571" w:type="dxa"/>
          </w:tcPr>
          <w:p w14:paraId="2DF32CDC" w14:textId="77777777" w:rsidR="004E6596" w:rsidRPr="003F0E9A" w:rsidRDefault="004E6596" w:rsidP="003F0E9A">
            <w:pPr>
              <w:pStyle w:val="051Tabletext229pt"/>
              <w:ind w:left="720"/>
              <w:jc w:val="right"/>
              <w:rPr>
                <w:rFonts w:ascii="Arial Narrow" w:hAnsi="Arial Narrow" w:cstheme="minorHAnsi"/>
                <w:b/>
                <w:bCs/>
                <w:sz w:val="20"/>
                <w:szCs w:val="20"/>
              </w:rPr>
            </w:pPr>
            <w:r w:rsidRPr="003F0E9A">
              <w:rPr>
                <w:rFonts w:ascii="Arial Narrow" w:hAnsi="Arial Narrow" w:cstheme="minorHAnsi"/>
                <w:b/>
                <w:bCs/>
                <w:sz w:val="20"/>
                <w:szCs w:val="20"/>
              </w:rPr>
              <w:t>Group P1 Haematology</w:t>
            </w:r>
          </w:p>
          <w:p w14:paraId="3316F35D" w14:textId="04CD9675" w:rsidR="004E6596" w:rsidRPr="003F0E9A" w:rsidRDefault="004E6596" w:rsidP="003F0E9A">
            <w:pPr>
              <w:pStyle w:val="051Tabletext229pt"/>
              <w:jc w:val="both"/>
              <w:rPr>
                <w:rFonts w:ascii="Arial Narrow" w:hAnsi="Arial Narrow" w:cstheme="minorHAnsi"/>
                <w:sz w:val="20"/>
                <w:szCs w:val="20"/>
              </w:rPr>
            </w:pPr>
            <w:r w:rsidRPr="003F0E9A">
              <w:rPr>
                <w:rFonts w:ascii="Arial Narrow" w:hAnsi="Arial Narrow" w:cstheme="minorHAnsi"/>
                <w:sz w:val="20"/>
                <w:szCs w:val="20"/>
              </w:rPr>
              <w:t>MBS item AAAA</w:t>
            </w:r>
            <w:r w:rsidR="00C4191B">
              <w:rPr>
                <w:rFonts w:ascii="Arial Narrow" w:hAnsi="Arial Narrow" w:cstheme="minorHAnsi"/>
                <w:sz w:val="20"/>
                <w:szCs w:val="20"/>
              </w:rPr>
              <w:t xml:space="preserve"> (combined with EEEE)</w:t>
            </w:r>
          </w:p>
          <w:p w14:paraId="703FB41D" w14:textId="037E82D3" w:rsidR="004E6596" w:rsidRDefault="00530DD2" w:rsidP="003F0E9A">
            <w:pPr>
              <w:pStyle w:val="051Tabletext229pt"/>
              <w:jc w:val="both"/>
              <w:rPr>
                <w:rFonts w:ascii="Arial Narrow" w:hAnsi="Arial Narrow" w:cstheme="minorHAnsi"/>
                <w:sz w:val="20"/>
                <w:szCs w:val="20"/>
              </w:rPr>
            </w:pPr>
            <w:r w:rsidRPr="003F0AC4">
              <w:rPr>
                <w:rFonts w:ascii="Arial Narrow" w:hAnsi="Arial Narrow" w:cstheme="minorHAnsi"/>
                <w:sz w:val="20"/>
                <w:szCs w:val="20"/>
              </w:rPr>
              <w:t xml:space="preserve">Quantitation of ADAMTS13 activity </w:t>
            </w:r>
            <w:r w:rsidR="007A1978">
              <w:rPr>
                <w:rFonts w:ascii="Arial Narrow" w:hAnsi="Arial Narrow" w:cstheme="minorHAnsi"/>
                <w:sz w:val="20"/>
                <w:szCs w:val="20"/>
              </w:rPr>
              <w:t>for the investigation of susp</w:t>
            </w:r>
            <w:r w:rsidR="00C36EFE">
              <w:rPr>
                <w:rFonts w:ascii="Arial Narrow" w:hAnsi="Arial Narrow" w:cstheme="minorHAnsi"/>
                <w:sz w:val="20"/>
                <w:szCs w:val="20"/>
              </w:rPr>
              <w:t>ected thrombotic microangiopathy</w:t>
            </w:r>
            <w:r w:rsidR="0069420F">
              <w:rPr>
                <w:rFonts w:ascii="Arial Narrow" w:hAnsi="Arial Narrow" w:cstheme="minorHAnsi"/>
                <w:sz w:val="20"/>
                <w:szCs w:val="20"/>
              </w:rPr>
              <w:t xml:space="preserve"> (TMA) or monitoring of diagnosed </w:t>
            </w:r>
            <w:r w:rsidRPr="003F0AC4">
              <w:rPr>
                <w:rFonts w:ascii="Arial Narrow" w:hAnsi="Arial Narrow" w:cstheme="minorHAnsi"/>
                <w:sz w:val="20"/>
                <w:szCs w:val="20"/>
              </w:rPr>
              <w:t>thrombotic thrombocytopenic purpura (TTP)</w:t>
            </w:r>
          </w:p>
          <w:p w14:paraId="0B0EF327" w14:textId="4AC18E45" w:rsidR="00FF0A82" w:rsidRPr="003F0E9A" w:rsidRDefault="00FF0A82" w:rsidP="003F0E9A">
            <w:pPr>
              <w:pStyle w:val="051Tabletext229pt"/>
              <w:jc w:val="both"/>
              <w:rPr>
                <w:rFonts w:ascii="Arial Narrow" w:hAnsi="Arial Narrow" w:cstheme="minorHAnsi"/>
                <w:sz w:val="20"/>
                <w:szCs w:val="20"/>
              </w:rPr>
            </w:pPr>
            <w:r>
              <w:rPr>
                <w:rFonts w:ascii="Arial Narrow" w:hAnsi="Arial Narrow" w:cstheme="minorHAnsi"/>
                <w:sz w:val="20"/>
                <w:szCs w:val="20"/>
              </w:rPr>
              <w:t>Rule 3 exemption applies</w:t>
            </w:r>
          </w:p>
        </w:tc>
      </w:tr>
      <w:tr w:rsidR="004E6596" w:rsidRPr="003F0AC4" w14:paraId="383B92DD" w14:textId="77777777" w:rsidTr="00515310">
        <w:tc>
          <w:tcPr>
            <w:tcW w:w="9571" w:type="dxa"/>
          </w:tcPr>
          <w:p w14:paraId="37544DDB" w14:textId="12EE6E5C" w:rsidR="004E6596" w:rsidRPr="003F0E9A" w:rsidRDefault="00CF4A31" w:rsidP="003F0AC4">
            <w:pPr>
              <w:pStyle w:val="051Tabletext229pt"/>
              <w:rPr>
                <w:rFonts w:ascii="Arial Narrow" w:hAnsi="Arial Narrow" w:cstheme="minorHAnsi"/>
                <w:sz w:val="20"/>
                <w:szCs w:val="20"/>
              </w:rPr>
            </w:pPr>
            <w:r w:rsidRPr="003F0E9A">
              <w:rPr>
                <w:rFonts w:ascii="Arial Narrow" w:hAnsi="Arial Narrow" w:cstheme="minorHAnsi"/>
                <w:sz w:val="20"/>
                <w:szCs w:val="20"/>
              </w:rPr>
              <w:t>Proposed f</w:t>
            </w:r>
            <w:r w:rsidR="004E6596" w:rsidRPr="003F0E9A">
              <w:rPr>
                <w:rFonts w:ascii="Arial Narrow" w:hAnsi="Arial Narrow" w:cstheme="minorHAnsi"/>
                <w:sz w:val="20"/>
                <w:szCs w:val="20"/>
              </w:rPr>
              <w:t xml:space="preserve">ee: $700 </w:t>
            </w:r>
            <w:r w:rsidR="00F138C6" w:rsidRPr="003F0E9A">
              <w:rPr>
                <w:rFonts w:ascii="Arial Narrow" w:hAnsi="Arial Narrow" w:cstheme="minorHAnsi"/>
                <w:sz w:val="20"/>
                <w:szCs w:val="20"/>
              </w:rPr>
              <w:t xml:space="preserve">  </w:t>
            </w:r>
            <w:r w:rsidR="004E6596" w:rsidRPr="003F0E9A">
              <w:rPr>
                <w:rFonts w:ascii="Arial Narrow" w:hAnsi="Arial Narrow" w:cstheme="minorHAnsi"/>
                <w:sz w:val="20"/>
                <w:szCs w:val="20"/>
              </w:rPr>
              <w:t xml:space="preserve">Benefit: 75% = $525.00 </w:t>
            </w:r>
            <w:r w:rsidR="00DB36CC" w:rsidRPr="003F0E9A">
              <w:rPr>
                <w:rFonts w:ascii="Arial Narrow" w:hAnsi="Arial Narrow" w:cstheme="minorHAnsi"/>
                <w:sz w:val="20"/>
                <w:szCs w:val="20"/>
              </w:rPr>
              <w:t xml:space="preserve">  </w:t>
            </w:r>
            <w:r w:rsidR="004E6596" w:rsidRPr="003F0E9A">
              <w:rPr>
                <w:rFonts w:ascii="Arial Narrow" w:hAnsi="Arial Narrow" w:cstheme="minorHAnsi"/>
                <w:sz w:val="20"/>
                <w:szCs w:val="20"/>
              </w:rPr>
              <w:t>85% = $597.60</w:t>
            </w:r>
          </w:p>
        </w:tc>
      </w:tr>
      <w:tr w:rsidR="004E6596" w:rsidRPr="003F0AC4" w14:paraId="5ACF2BE1" w14:textId="77777777" w:rsidTr="00515310">
        <w:tc>
          <w:tcPr>
            <w:tcW w:w="9571" w:type="dxa"/>
          </w:tcPr>
          <w:p w14:paraId="607E0CFD" w14:textId="77777777" w:rsidR="004E6596" w:rsidRPr="003F0E9A" w:rsidRDefault="004E6596" w:rsidP="003F0E9A">
            <w:pPr>
              <w:pStyle w:val="051Tabletext229pt"/>
              <w:ind w:left="720"/>
              <w:jc w:val="right"/>
              <w:rPr>
                <w:rFonts w:ascii="Arial Narrow" w:hAnsi="Arial Narrow" w:cstheme="minorHAnsi"/>
                <w:b/>
                <w:bCs/>
                <w:sz w:val="20"/>
                <w:szCs w:val="20"/>
              </w:rPr>
            </w:pPr>
            <w:r w:rsidRPr="003F0E9A">
              <w:rPr>
                <w:rFonts w:ascii="Arial Narrow" w:hAnsi="Arial Narrow" w:cstheme="minorHAnsi"/>
                <w:b/>
                <w:bCs/>
                <w:sz w:val="20"/>
                <w:szCs w:val="20"/>
              </w:rPr>
              <w:t>Group P1 Haematology</w:t>
            </w:r>
          </w:p>
          <w:p w14:paraId="4C17D225" w14:textId="77777777" w:rsidR="004E6596" w:rsidRPr="003F0E9A" w:rsidRDefault="004E6596" w:rsidP="003F0E9A">
            <w:pPr>
              <w:pStyle w:val="051Tabletext229pt"/>
              <w:rPr>
                <w:rFonts w:ascii="Arial Narrow" w:hAnsi="Arial Narrow" w:cstheme="minorHAnsi"/>
                <w:sz w:val="20"/>
                <w:szCs w:val="20"/>
              </w:rPr>
            </w:pPr>
            <w:r w:rsidRPr="003F0E9A">
              <w:rPr>
                <w:rFonts w:ascii="Arial Narrow" w:hAnsi="Arial Narrow" w:cstheme="minorHAnsi"/>
                <w:sz w:val="20"/>
                <w:szCs w:val="20"/>
              </w:rPr>
              <w:t>MBS item BBBB</w:t>
            </w:r>
          </w:p>
          <w:p w14:paraId="24F8B48D" w14:textId="6218B9B0" w:rsidR="00312559" w:rsidRPr="003F0AC4" w:rsidRDefault="001D19B1" w:rsidP="003F0E9A">
            <w:pPr>
              <w:spacing w:before="40" w:after="40" w:line="240" w:lineRule="auto"/>
              <w:rPr>
                <w:rFonts w:ascii="Arial Narrow" w:hAnsi="Arial Narrow" w:cstheme="minorHAnsi"/>
                <w:sz w:val="20"/>
                <w:szCs w:val="20"/>
              </w:rPr>
            </w:pPr>
            <w:r>
              <w:rPr>
                <w:rFonts w:ascii="Arial Narrow" w:hAnsi="Arial Narrow" w:cstheme="minorHAnsi"/>
                <w:sz w:val="20"/>
                <w:szCs w:val="20"/>
              </w:rPr>
              <w:t xml:space="preserve">Anti-ADAMTS13 </w:t>
            </w:r>
            <w:r w:rsidR="00FB3124">
              <w:rPr>
                <w:rFonts w:ascii="Arial Narrow" w:hAnsi="Arial Narrow" w:cstheme="minorHAnsi"/>
                <w:sz w:val="20"/>
                <w:szCs w:val="20"/>
              </w:rPr>
              <w:t>auto</w:t>
            </w:r>
            <w:r>
              <w:rPr>
                <w:rFonts w:ascii="Arial Narrow" w:hAnsi="Arial Narrow" w:cstheme="minorHAnsi"/>
                <w:sz w:val="20"/>
                <w:szCs w:val="20"/>
              </w:rPr>
              <w:t xml:space="preserve">antibody testing in patients presenting with suspected </w:t>
            </w:r>
            <w:r w:rsidR="00E9203A" w:rsidRPr="003F0AC4">
              <w:rPr>
                <w:rFonts w:ascii="Arial Narrow" w:hAnsi="Arial Narrow" w:cstheme="minorHAnsi"/>
                <w:sz w:val="20"/>
                <w:szCs w:val="20"/>
              </w:rPr>
              <w:t>thrombotic thrombocytopenic purpura (TTP)</w:t>
            </w:r>
            <w:r w:rsidR="00E9203A">
              <w:rPr>
                <w:rFonts w:ascii="Arial Narrow" w:hAnsi="Arial Narrow" w:cstheme="minorHAnsi"/>
                <w:sz w:val="20"/>
                <w:szCs w:val="20"/>
              </w:rPr>
              <w:t xml:space="preserve"> where testing has indicated reduced ADAMTS13 activity</w:t>
            </w:r>
          </w:p>
          <w:p w14:paraId="4B3C13C4" w14:textId="192DC31C" w:rsidR="004E6596" w:rsidRPr="003F0E9A" w:rsidRDefault="004E6596" w:rsidP="0058302C">
            <w:pPr>
              <w:pStyle w:val="051Tabletext229pt"/>
              <w:spacing w:before="120"/>
              <w:rPr>
                <w:rFonts w:ascii="Arial Narrow" w:hAnsi="Arial Narrow" w:cstheme="minorHAnsi"/>
                <w:sz w:val="20"/>
                <w:szCs w:val="20"/>
              </w:rPr>
            </w:pPr>
            <w:r w:rsidRPr="003F0AC4">
              <w:rPr>
                <w:rFonts w:ascii="Arial Narrow" w:hAnsi="Arial Narrow" w:cstheme="minorHAnsi"/>
                <w:sz w:val="20"/>
                <w:szCs w:val="20"/>
              </w:rPr>
              <w:t>Once per episode</w:t>
            </w:r>
          </w:p>
        </w:tc>
      </w:tr>
      <w:tr w:rsidR="004E6596" w:rsidRPr="003F0AC4" w14:paraId="3BC72F3C" w14:textId="77777777" w:rsidTr="00515310">
        <w:tc>
          <w:tcPr>
            <w:tcW w:w="9571" w:type="dxa"/>
          </w:tcPr>
          <w:p w14:paraId="58D3433C" w14:textId="49C683E2" w:rsidR="004E6596" w:rsidRPr="003F0E9A" w:rsidRDefault="004E6596" w:rsidP="003F0AC4">
            <w:pPr>
              <w:pStyle w:val="051Tabletext229pt"/>
              <w:rPr>
                <w:rFonts w:ascii="Arial Narrow" w:hAnsi="Arial Narrow" w:cstheme="minorHAnsi"/>
                <w:sz w:val="20"/>
                <w:szCs w:val="20"/>
              </w:rPr>
            </w:pPr>
            <w:r w:rsidRPr="003F0E9A">
              <w:rPr>
                <w:rFonts w:ascii="Arial Narrow" w:hAnsi="Arial Narrow" w:cstheme="minorHAnsi"/>
                <w:sz w:val="20"/>
                <w:szCs w:val="20"/>
              </w:rPr>
              <w:t xml:space="preserve">Proposed fee: $1,050 </w:t>
            </w:r>
            <w:r w:rsidR="00F138C6" w:rsidRPr="003F0E9A">
              <w:rPr>
                <w:rFonts w:ascii="Arial Narrow" w:hAnsi="Arial Narrow" w:cstheme="minorHAnsi"/>
                <w:sz w:val="20"/>
                <w:szCs w:val="20"/>
              </w:rPr>
              <w:t xml:space="preserve">  </w:t>
            </w:r>
            <w:r w:rsidRPr="003F0E9A">
              <w:rPr>
                <w:rFonts w:ascii="Arial Narrow" w:hAnsi="Arial Narrow" w:cstheme="minorHAnsi"/>
                <w:sz w:val="20"/>
                <w:szCs w:val="20"/>
              </w:rPr>
              <w:t xml:space="preserve">Benefit: 75% = 787.50 </w:t>
            </w:r>
            <w:r w:rsidR="00DB36CC" w:rsidRPr="003F0E9A">
              <w:rPr>
                <w:rFonts w:ascii="Arial Narrow" w:hAnsi="Arial Narrow" w:cstheme="minorHAnsi"/>
                <w:sz w:val="20"/>
                <w:szCs w:val="20"/>
              </w:rPr>
              <w:t xml:space="preserve">  </w:t>
            </w:r>
            <w:r w:rsidRPr="003F0E9A">
              <w:rPr>
                <w:rFonts w:ascii="Arial Narrow" w:hAnsi="Arial Narrow" w:cstheme="minorHAnsi"/>
                <w:sz w:val="20"/>
                <w:szCs w:val="20"/>
              </w:rPr>
              <w:t>85% = $947.60</w:t>
            </w:r>
          </w:p>
        </w:tc>
      </w:tr>
      <w:tr w:rsidR="004E6596" w:rsidRPr="003F0AC4" w14:paraId="4C3ACF51" w14:textId="77777777" w:rsidTr="00515310">
        <w:tc>
          <w:tcPr>
            <w:tcW w:w="9571" w:type="dxa"/>
          </w:tcPr>
          <w:p w14:paraId="636BF3DA" w14:textId="77777777" w:rsidR="004E6596" w:rsidRPr="003F0E9A" w:rsidRDefault="004E6596" w:rsidP="003F0E9A">
            <w:pPr>
              <w:pStyle w:val="051Tabletext229pt"/>
              <w:ind w:left="720"/>
              <w:jc w:val="right"/>
              <w:rPr>
                <w:rFonts w:ascii="Arial Narrow" w:hAnsi="Arial Narrow" w:cstheme="minorHAnsi"/>
                <w:b/>
                <w:bCs/>
                <w:sz w:val="20"/>
                <w:szCs w:val="20"/>
              </w:rPr>
            </w:pPr>
            <w:r w:rsidRPr="003F0E9A">
              <w:rPr>
                <w:rFonts w:ascii="Arial Narrow" w:hAnsi="Arial Narrow" w:cstheme="minorHAnsi"/>
                <w:b/>
                <w:bCs/>
                <w:sz w:val="20"/>
                <w:szCs w:val="20"/>
              </w:rPr>
              <w:t>Group P7 Genetics</w:t>
            </w:r>
          </w:p>
          <w:p w14:paraId="1528FAEF" w14:textId="77777777" w:rsidR="004E6596" w:rsidRPr="003F0AC4" w:rsidRDefault="004E6596" w:rsidP="003F0E9A">
            <w:pPr>
              <w:spacing w:before="40" w:after="40" w:line="240" w:lineRule="auto"/>
              <w:rPr>
                <w:rFonts w:ascii="Arial Narrow" w:hAnsi="Arial Narrow" w:cstheme="minorHAnsi"/>
                <w:sz w:val="20"/>
                <w:szCs w:val="20"/>
              </w:rPr>
            </w:pPr>
            <w:r w:rsidRPr="003F0AC4">
              <w:rPr>
                <w:rFonts w:ascii="Arial Narrow" w:hAnsi="Arial Narrow" w:cstheme="minorHAnsi"/>
                <w:sz w:val="20"/>
                <w:szCs w:val="20"/>
              </w:rPr>
              <w:t>MBS item CCCC</w:t>
            </w:r>
          </w:p>
          <w:p w14:paraId="602F5F24" w14:textId="136C0576" w:rsidR="0021681F" w:rsidRPr="003F0AC4" w:rsidRDefault="0021681F" w:rsidP="003F0E9A">
            <w:pPr>
              <w:spacing w:before="40" w:after="40" w:line="240" w:lineRule="auto"/>
              <w:rPr>
                <w:rFonts w:ascii="Arial Narrow" w:hAnsi="Arial Narrow" w:cstheme="minorHAnsi"/>
                <w:sz w:val="20"/>
                <w:szCs w:val="20"/>
              </w:rPr>
            </w:pPr>
            <w:r w:rsidRPr="003F0AC4">
              <w:rPr>
                <w:rFonts w:ascii="Arial Narrow" w:hAnsi="Arial Narrow" w:cstheme="minorHAnsi"/>
                <w:sz w:val="20"/>
                <w:szCs w:val="20"/>
              </w:rPr>
              <w:t xml:space="preserve">Characterisation of variant(s) in the </w:t>
            </w:r>
            <w:r w:rsidRPr="003F0AC4">
              <w:rPr>
                <w:rFonts w:ascii="Arial Narrow" w:hAnsi="Arial Narrow" w:cstheme="minorHAnsi"/>
                <w:i/>
                <w:iCs/>
                <w:sz w:val="20"/>
                <w:szCs w:val="20"/>
              </w:rPr>
              <w:t>ADAMTS13</w:t>
            </w:r>
            <w:r w:rsidRPr="003F0AC4">
              <w:rPr>
                <w:rFonts w:ascii="Arial Narrow" w:hAnsi="Arial Narrow" w:cstheme="minorHAnsi"/>
                <w:sz w:val="20"/>
                <w:szCs w:val="20"/>
              </w:rPr>
              <w:t xml:space="preserve"> gene </w:t>
            </w:r>
            <w:r w:rsidR="00C5728B">
              <w:rPr>
                <w:rFonts w:ascii="Arial Narrow" w:hAnsi="Arial Narrow" w:cstheme="minorHAnsi"/>
                <w:sz w:val="20"/>
                <w:szCs w:val="20"/>
              </w:rPr>
              <w:t>in a patient who</w:t>
            </w:r>
            <w:r w:rsidRPr="003F0AC4">
              <w:rPr>
                <w:rFonts w:ascii="Arial Narrow" w:hAnsi="Arial Narrow" w:cstheme="minorHAnsi"/>
                <w:sz w:val="20"/>
                <w:szCs w:val="20"/>
              </w:rPr>
              <w:t>:</w:t>
            </w:r>
          </w:p>
          <w:p w14:paraId="1B48352F" w14:textId="149C28E0" w:rsidR="0021681F" w:rsidRPr="00C236D9" w:rsidRDefault="0021681F" w:rsidP="00DD57CA">
            <w:pPr>
              <w:pStyle w:val="051Tabletext229pt"/>
              <w:numPr>
                <w:ilvl w:val="0"/>
                <w:numId w:val="52"/>
              </w:numPr>
              <w:rPr>
                <w:rStyle w:val="051Tabletext229ptChar"/>
                <w:rFonts w:ascii="Arial Narrow" w:hAnsi="Arial Narrow" w:cstheme="minorHAnsi"/>
                <w:sz w:val="20"/>
                <w:szCs w:val="20"/>
              </w:rPr>
            </w:pPr>
            <w:r w:rsidRPr="003F0AC4">
              <w:rPr>
                <w:rStyle w:val="051Tabletext229ptChar"/>
                <w:rFonts w:ascii="Arial Narrow" w:eastAsia="Calibri" w:hAnsi="Arial Narrow" w:cstheme="minorHAnsi"/>
                <w:sz w:val="20"/>
                <w:szCs w:val="20"/>
              </w:rPr>
              <w:t>has</w:t>
            </w:r>
            <w:r w:rsidR="000F70B5">
              <w:rPr>
                <w:rStyle w:val="051Tabletext229ptChar"/>
                <w:rFonts w:ascii="Arial Narrow" w:eastAsia="Calibri" w:hAnsi="Arial Narrow" w:cstheme="minorHAnsi"/>
                <w:sz w:val="20"/>
                <w:szCs w:val="20"/>
              </w:rPr>
              <w:t xml:space="preserve"> symptoms </w:t>
            </w:r>
            <w:r w:rsidR="00407623">
              <w:rPr>
                <w:rStyle w:val="051Tabletext229ptChar"/>
                <w:rFonts w:ascii="Arial Narrow" w:eastAsia="Calibri" w:hAnsi="Arial Narrow" w:cstheme="minorHAnsi"/>
                <w:sz w:val="20"/>
                <w:szCs w:val="20"/>
              </w:rPr>
              <w:t xml:space="preserve">suggestive of </w:t>
            </w:r>
            <w:r w:rsidRPr="003F0AC4">
              <w:rPr>
                <w:rStyle w:val="051Tabletext229ptChar"/>
                <w:rFonts w:ascii="Arial Narrow" w:eastAsia="Calibri" w:hAnsi="Arial Narrow" w:cstheme="minorHAnsi"/>
                <w:sz w:val="20"/>
                <w:szCs w:val="20"/>
              </w:rPr>
              <w:t>thrombotic thrombocytopenic purpura (TTP)</w:t>
            </w:r>
            <w:r w:rsidR="00946BFB">
              <w:rPr>
                <w:rStyle w:val="051Tabletext229ptChar"/>
                <w:rFonts w:ascii="Arial Narrow" w:eastAsia="Calibri" w:hAnsi="Arial Narrow" w:cstheme="minorHAnsi"/>
                <w:sz w:val="20"/>
                <w:szCs w:val="20"/>
              </w:rPr>
              <w:t xml:space="preserve"> </w:t>
            </w:r>
            <w:r w:rsidR="002135C2">
              <w:rPr>
                <w:rFonts w:ascii="Arial Narrow" w:hAnsi="Arial Narrow" w:cstheme="minorHAnsi"/>
                <w:sz w:val="20"/>
                <w:szCs w:val="20"/>
              </w:rPr>
              <w:t xml:space="preserve">where </w:t>
            </w:r>
            <w:r w:rsidR="00D16846">
              <w:rPr>
                <w:rFonts w:ascii="Arial Narrow" w:hAnsi="Arial Narrow" w:cstheme="minorHAnsi"/>
                <w:sz w:val="20"/>
                <w:szCs w:val="20"/>
              </w:rPr>
              <w:t>testing has indicated</w:t>
            </w:r>
            <w:r w:rsidR="00783980">
              <w:rPr>
                <w:rFonts w:ascii="Arial Narrow" w:hAnsi="Arial Narrow" w:cstheme="minorHAnsi"/>
                <w:sz w:val="20"/>
                <w:szCs w:val="20"/>
              </w:rPr>
              <w:t xml:space="preserve"> reduced </w:t>
            </w:r>
            <w:r w:rsidRPr="00D16846">
              <w:rPr>
                <w:rStyle w:val="051Tabletext229ptChar"/>
                <w:rFonts w:ascii="Arial Narrow" w:eastAsia="Calibri" w:hAnsi="Arial Narrow" w:cstheme="minorHAnsi"/>
                <w:sz w:val="20"/>
                <w:szCs w:val="20"/>
              </w:rPr>
              <w:t>ADAMTS13 activity and</w:t>
            </w:r>
            <w:r w:rsidRPr="00D16846">
              <w:rPr>
                <w:rFonts w:ascii="Arial Narrow" w:hAnsi="Arial Narrow" w:cstheme="minorHAnsi"/>
                <w:sz w:val="20"/>
                <w:szCs w:val="20"/>
              </w:rPr>
              <w:t xml:space="preserve"> </w:t>
            </w:r>
            <w:r w:rsidR="00C236D9">
              <w:rPr>
                <w:rFonts w:ascii="Arial Narrow" w:hAnsi="Arial Narrow" w:cstheme="minorHAnsi"/>
                <w:sz w:val="20"/>
                <w:szCs w:val="20"/>
              </w:rPr>
              <w:t>a</w:t>
            </w:r>
            <w:r w:rsidR="005F16CA" w:rsidRPr="00C236D9">
              <w:rPr>
                <w:rFonts w:ascii="Arial Narrow" w:hAnsi="Arial Narrow" w:cstheme="minorHAnsi"/>
                <w:sz w:val="20"/>
                <w:szCs w:val="20"/>
              </w:rPr>
              <w:t xml:space="preserve">n </w:t>
            </w:r>
            <w:r w:rsidRPr="00C236D9">
              <w:rPr>
                <w:rFonts w:ascii="Arial Narrow" w:hAnsi="Arial Narrow" w:cstheme="minorHAnsi"/>
                <w:sz w:val="20"/>
                <w:szCs w:val="20"/>
              </w:rPr>
              <w:t>absence of anti-ADAMTS13 antibodies</w:t>
            </w:r>
            <w:r w:rsidRPr="009D6FEB">
              <w:rPr>
                <w:rStyle w:val="051Tabletext229ptChar"/>
                <w:rFonts w:ascii="Arial Narrow" w:eastAsia="Calibri" w:hAnsi="Arial Narrow" w:cstheme="minorHAnsi"/>
                <w:sz w:val="20"/>
                <w:szCs w:val="20"/>
              </w:rPr>
              <w:t>,</w:t>
            </w:r>
            <w:r w:rsidR="00FD0C51" w:rsidRPr="009D6FEB">
              <w:rPr>
                <w:rStyle w:val="051Tabletext229ptChar"/>
                <w:rFonts w:ascii="Arial Narrow" w:eastAsia="Calibri" w:hAnsi="Arial Narrow" w:cstheme="minorHAnsi"/>
                <w:sz w:val="20"/>
                <w:szCs w:val="20"/>
              </w:rPr>
              <w:t xml:space="preserve"> </w:t>
            </w:r>
            <w:r w:rsidR="00FD0C51" w:rsidRPr="004F0A1C">
              <w:rPr>
                <w:rStyle w:val="051Tabletext229ptChar"/>
                <w:rFonts w:ascii="Arial Narrow" w:eastAsia="Calibri" w:hAnsi="Arial Narrow"/>
              </w:rPr>
              <w:t>and</w:t>
            </w:r>
            <w:r w:rsidRPr="00C236D9">
              <w:rPr>
                <w:rStyle w:val="051Tabletext229ptChar"/>
                <w:rFonts w:ascii="Arial Narrow" w:eastAsia="Calibri" w:hAnsi="Arial Narrow" w:cstheme="minorHAnsi"/>
                <w:sz w:val="20"/>
                <w:szCs w:val="20"/>
              </w:rPr>
              <w:t xml:space="preserve"> </w:t>
            </w:r>
          </w:p>
          <w:p w14:paraId="68F6041A" w14:textId="45D8DCA9" w:rsidR="0021681F" w:rsidRPr="00DD57CA" w:rsidRDefault="009E3F36" w:rsidP="00DD57CA">
            <w:pPr>
              <w:pStyle w:val="ListParagraph"/>
              <w:numPr>
                <w:ilvl w:val="0"/>
                <w:numId w:val="52"/>
              </w:numPr>
              <w:spacing w:before="40" w:after="40" w:line="240" w:lineRule="auto"/>
              <w:rPr>
                <w:rFonts w:ascii="Arial Narrow" w:hAnsi="Arial Narrow" w:cstheme="minorHAnsi"/>
                <w:sz w:val="20"/>
                <w:szCs w:val="20"/>
                <w:lang w:eastAsia="ja-JP"/>
              </w:rPr>
            </w:pPr>
            <w:r>
              <w:rPr>
                <w:rFonts w:ascii="Arial Narrow" w:hAnsi="Arial Narrow" w:cstheme="minorHAnsi"/>
                <w:sz w:val="20"/>
                <w:szCs w:val="20"/>
              </w:rPr>
              <w:t xml:space="preserve">has not </w:t>
            </w:r>
            <w:r w:rsidR="00E15FBD">
              <w:rPr>
                <w:rFonts w:ascii="Arial Narrow" w:hAnsi="Arial Narrow" w:cstheme="minorHAnsi"/>
                <w:sz w:val="20"/>
                <w:szCs w:val="20"/>
              </w:rPr>
              <w:t>previously received a service to which item DDDD applies</w:t>
            </w:r>
            <w:r w:rsidR="0021681F" w:rsidRPr="00DD57CA">
              <w:rPr>
                <w:rFonts w:ascii="Arial Narrow" w:hAnsi="Arial Narrow" w:cstheme="minorHAnsi"/>
                <w:sz w:val="20"/>
                <w:szCs w:val="20"/>
              </w:rPr>
              <w:t xml:space="preserve">.  </w:t>
            </w:r>
          </w:p>
          <w:p w14:paraId="32D07443" w14:textId="333E6A24" w:rsidR="009E3F36" w:rsidRDefault="009E3F36" w:rsidP="003F0E9A">
            <w:pPr>
              <w:pStyle w:val="051Tabletext229pt"/>
              <w:rPr>
                <w:rFonts w:ascii="Arial Narrow" w:hAnsi="Arial Narrow" w:cstheme="minorHAnsi"/>
                <w:sz w:val="20"/>
                <w:szCs w:val="20"/>
              </w:rPr>
            </w:pPr>
            <w:r w:rsidRPr="00DD57CA">
              <w:rPr>
                <w:rFonts w:ascii="Arial Narrow" w:hAnsi="Arial Narrow" w:cstheme="minorHAnsi"/>
                <w:sz w:val="20"/>
                <w:szCs w:val="20"/>
              </w:rPr>
              <w:t>requested by a specialist or consultant physician</w:t>
            </w:r>
            <w:r>
              <w:rPr>
                <w:rFonts w:ascii="Arial Narrow" w:hAnsi="Arial Narrow" w:cstheme="minorHAnsi"/>
                <w:sz w:val="20"/>
                <w:szCs w:val="20"/>
              </w:rPr>
              <w:t>.</w:t>
            </w:r>
          </w:p>
          <w:p w14:paraId="7DA8B529" w14:textId="4B0C52C7" w:rsidR="004E6596" w:rsidRPr="003F0E9A" w:rsidRDefault="004E6596" w:rsidP="009E3F36">
            <w:pPr>
              <w:pStyle w:val="051Tabletext229pt"/>
              <w:spacing w:before="120"/>
              <w:rPr>
                <w:rFonts w:ascii="Arial Narrow" w:hAnsi="Arial Narrow" w:cstheme="minorHAnsi"/>
                <w:sz w:val="20"/>
                <w:szCs w:val="20"/>
              </w:rPr>
            </w:pPr>
            <w:r w:rsidRPr="003F0AC4">
              <w:rPr>
                <w:rFonts w:ascii="Arial Narrow" w:hAnsi="Arial Narrow" w:cstheme="minorHAnsi"/>
                <w:sz w:val="20"/>
                <w:szCs w:val="20"/>
              </w:rPr>
              <w:t>Available once per lifetime</w:t>
            </w:r>
          </w:p>
        </w:tc>
      </w:tr>
      <w:tr w:rsidR="004E6596" w:rsidRPr="003F0AC4" w14:paraId="61FFCC9C" w14:textId="77777777" w:rsidTr="00515310">
        <w:tc>
          <w:tcPr>
            <w:tcW w:w="9571" w:type="dxa"/>
          </w:tcPr>
          <w:p w14:paraId="07304626" w14:textId="4E737A24" w:rsidR="004E6596" w:rsidRPr="003F0E9A" w:rsidRDefault="004E6596" w:rsidP="003F0AC4">
            <w:pPr>
              <w:pStyle w:val="051Tabletext229pt"/>
              <w:rPr>
                <w:rFonts w:ascii="Arial Narrow" w:hAnsi="Arial Narrow" w:cstheme="minorHAnsi"/>
                <w:sz w:val="20"/>
                <w:szCs w:val="20"/>
              </w:rPr>
            </w:pPr>
            <w:r w:rsidRPr="003F0E9A">
              <w:rPr>
                <w:rFonts w:ascii="Arial Narrow" w:hAnsi="Arial Narrow" w:cstheme="minorHAnsi"/>
                <w:sz w:val="20"/>
                <w:szCs w:val="20"/>
              </w:rPr>
              <w:t>Proposed fee: $1,200</w:t>
            </w:r>
            <w:r w:rsidR="00F138C6" w:rsidRPr="003F0E9A">
              <w:rPr>
                <w:rFonts w:ascii="Arial Narrow" w:hAnsi="Arial Narrow" w:cstheme="minorHAnsi"/>
                <w:sz w:val="20"/>
                <w:szCs w:val="20"/>
              </w:rPr>
              <w:t xml:space="preserve">  </w:t>
            </w:r>
            <w:r w:rsidRPr="003F0E9A">
              <w:rPr>
                <w:rFonts w:ascii="Arial Narrow" w:hAnsi="Arial Narrow" w:cstheme="minorHAnsi"/>
                <w:sz w:val="20"/>
                <w:szCs w:val="20"/>
              </w:rPr>
              <w:t xml:space="preserve"> Benefit: 75% = $900 </w:t>
            </w:r>
            <w:r w:rsidR="00DB36CC" w:rsidRPr="003F0E9A">
              <w:rPr>
                <w:rFonts w:ascii="Arial Narrow" w:hAnsi="Arial Narrow" w:cstheme="minorHAnsi"/>
                <w:sz w:val="20"/>
                <w:szCs w:val="20"/>
              </w:rPr>
              <w:t xml:space="preserve">  </w:t>
            </w:r>
            <w:r w:rsidRPr="003F0E9A">
              <w:rPr>
                <w:rFonts w:ascii="Arial Narrow" w:hAnsi="Arial Narrow" w:cstheme="minorHAnsi"/>
                <w:sz w:val="20"/>
                <w:szCs w:val="20"/>
              </w:rPr>
              <w:t>85% = $1,097.60</w:t>
            </w:r>
          </w:p>
        </w:tc>
      </w:tr>
    </w:tbl>
    <w:p w14:paraId="61834617" w14:textId="77777777" w:rsidR="00B55E84" w:rsidRDefault="00B55E84">
      <w:r>
        <w:br w:type="page"/>
      </w:r>
    </w:p>
    <w:tbl>
      <w:tblPr>
        <w:tblStyle w:val="TableGrid"/>
        <w:tblW w:w="0" w:type="auto"/>
        <w:tblInd w:w="0" w:type="dxa"/>
        <w:tblLook w:val="04A0" w:firstRow="1" w:lastRow="0" w:firstColumn="1" w:lastColumn="0" w:noHBand="0" w:noVBand="1"/>
      </w:tblPr>
      <w:tblGrid>
        <w:gridCol w:w="9571"/>
      </w:tblGrid>
      <w:tr w:rsidR="004E6596" w:rsidRPr="003F0AC4" w14:paraId="2488212E" w14:textId="77777777" w:rsidTr="00B55E84">
        <w:trPr>
          <w:cantSplit/>
        </w:trPr>
        <w:tc>
          <w:tcPr>
            <w:tcW w:w="9571" w:type="dxa"/>
          </w:tcPr>
          <w:p w14:paraId="2D596E57" w14:textId="2A9998AF" w:rsidR="004E6596" w:rsidRPr="003F0E9A" w:rsidRDefault="004E6596" w:rsidP="003F0E9A">
            <w:pPr>
              <w:pStyle w:val="051Tabletext229pt"/>
              <w:ind w:left="720"/>
              <w:jc w:val="right"/>
              <w:rPr>
                <w:rFonts w:ascii="Arial Narrow" w:hAnsi="Arial Narrow" w:cstheme="minorHAnsi"/>
                <w:b/>
                <w:bCs/>
                <w:sz w:val="20"/>
                <w:szCs w:val="20"/>
              </w:rPr>
            </w:pPr>
            <w:r w:rsidRPr="003F0E9A">
              <w:rPr>
                <w:rFonts w:ascii="Arial Narrow" w:hAnsi="Arial Narrow" w:cstheme="minorHAnsi"/>
                <w:b/>
                <w:bCs/>
                <w:sz w:val="20"/>
                <w:szCs w:val="20"/>
              </w:rPr>
              <w:lastRenderedPageBreak/>
              <w:t>Group P7 Genetics</w:t>
            </w:r>
          </w:p>
          <w:p w14:paraId="457EA84E" w14:textId="77777777" w:rsidR="003169B7" w:rsidRPr="003F0AC4" w:rsidRDefault="003169B7" w:rsidP="003F0E9A">
            <w:pPr>
              <w:spacing w:before="40" w:after="40" w:line="240" w:lineRule="auto"/>
              <w:rPr>
                <w:rFonts w:ascii="Arial Narrow" w:hAnsi="Arial Narrow" w:cstheme="minorHAnsi"/>
                <w:sz w:val="20"/>
                <w:szCs w:val="20"/>
              </w:rPr>
            </w:pPr>
            <w:r w:rsidRPr="003F0AC4">
              <w:rPr>
                <w:rFonts w:ascii="Arial Narrow" w:hAnsi="Arial Narrow" w:cstheme="minorHAnsi"/>
                <w:sz w:val="20"/>
                <w:szCs w:val="20"/>
              </w:rPr>
              <w:t>MBS item DDDD</w:t>
            </w:r>
          </w:p>
          <w:p w14:paraId="270B8EBB" w14:textId="5B07A6A4" w:rsidR="003169B7" w:rsidRPr="003F0AC4" w:rsidRDefault="00F911C4" w:rsidP="003F0E9A">
            <w:pPr>
              <w:spacing w:before="40" w:after="40" w:line="240" w:lineRule="auto"/>
              <w:rPr>
                <w:rFonts w:ascii="Arial Narrow" w:hAnsi="Arial Narrow" w:cstheme="minorHAnsi"/>
                <w:sz w:val="20"/>
                <w:szCs w:val="20"/>
              </w:rPr>
            </w:pPr>
            <w:r>
              <w:rPr>
                <w:rFonts w:ascii="Arial Narrow" w:hAnsi="Arial Narrow" w:cstheme="minorHAnsi"/>
                <w:sz w:val="20"/>
                <w:szCs w:val="20"/>
              </w:rPr>
              <w:t>Characterisation of</w:t>
            </w:r>
            <w:r w:rsidR="003169B7" w:rsidRPr="003F0AC4">
              <w:rPr>
                <w:rFonts w:ascii="Arial Narrow" w:hAnsi="Arial Narrow" w:cstheme="minorHAnsi"/>
                <w:sz w:val="20"/>
                <w:szCs w:val="20"/>
              </w:rPr>
              <w:t xml:space="preserve"> variant</w:t>
            </w:r>
            <w:r w:rsidR="002839C5" w:rsidRPr="003F0AC4">
              <w:rPr>
                <w:rFonts w:ascii="Arial Narrow" w:hAnsi="Arial Narrow" w:cstheme="minorHAnsi"/>
                <w:sz w:val="20"/>
                <w:szCs w:val="20"/>
              </w:rPr>
              <w:t>(s)</w:t>
            </w:r>
            <w:r w:rsidR="003169B7" w:rsidRPr="003F0AC4">
              <w:rPr>
                <w:rFonts w:ascii="Arial Narrow" w:hAnsi="Arial Narrow" w:cstheme="minorHAnsi"/>
                <w:sz w:val="20"/>
                <w:szCs w:val="20"/>
              </w:rPr>
              <w:t xml:space="preserve"> in the </w:t>
            </w:r>
            <w:r w:rsidR="003169B7" w:rsidRPr="003F0AC4">
              <w:rPr>
                <w:rFonts w:ascii="Arial Narrow" w:hAnsi="Arial Narrow" w:cstheme="minorHAnsi"/>
                <w:i/>
                <w:iCs/>
                <w:sz w:val="20"/>
                <w:szCs w:val="20"/>
              </w:rPr>
              <w:t>ADAMTS13</w:t>
            </w:r>
            <w:r w:rsidR="003169B7" w:rsidRPr="003F0AC4">
              <w:rPr>
                <w:rFonts w:ascii="Arial Narrow" w:hAnsi="Arial Narrow" w:cstheme="minorHAnsi"/>
                <w:sz w:val="20"/>
                <w:szCs w:val="20"/>
              </w:rPr>
              <w:t xml:space="preserve"> gene</w:t>
            </w:r>
            <w:r w:rsidR="0058302C">
              <w:rPr>
                <w:rFonts w:ascii="Arial Narrow" w:hAnsi="Arial Narrow" w:cstheme="minorHAnsi"/>
                <w:sz w:val="20"/>
                <w:szCs w:val="20"/>
              </w:rPr>
              <w:t xml:space="preserve"> </w:t>
            </w:r>
            <w:r w:rsidR="00C628CE">
              <w:rPr>
                <w:rFonts w:ascii="Arial Narrow" w:hAnsi="Arial Narrow" w:cstheme="minorHAnsi"/>
                <w:sz w:val="20"/>
                <w:szCs w:val="20"/>
              </w:rPr>
              <w:t>in a person who:</w:t>
            </w:r>
            <w:r w:rsidR="003169B7" w:rsidRPr="003F0AC4">
              <w:rPr>
                <w:rFonts w:ascii="Arial Narrow" w:hAnsi="Arial Narrow" w:cstheme="minorHAnsi"/>
                <w:sz w:val="20"/>
                <w:szCs w:val="20"/>
              </w:rPr>
              <w:t xml:space="preserve"> </w:t>
            </w:r>
          </w:p>
          <w:p w14:paraId="016F5FF9" w14:textId="3BCC8A20" w:rsidR="003169B7" w:rsidRPr="003F0AC4" w:rsidRDefault="00CF078D" w:rsidP="003F0E9A">
            <w:pPr>
              <w:pStyle w:val="ListParagraph"/>
              <w:numPr>
                <w:ilvl w:val="0"/>
                <w:numId w:val="39"/>
              </w:numPr>
              <w:spacing w:before="40" w:after="40" w:line="240" w:lineRule="auto"/>
              <w:rPr>
                <w:rFonts w:ascii="Arial Narrow" w:hAnsi="Arial Narrow" w:cstheme="minorHAnsi"/>
                <w:sz w:val="20"/>
                <w:szCs w:val="20"/>
              </w:rPr>
            </w:pPr>
            <w:r>
              <w:rPr>
                <w:rFonts w:ascii="Arial Narrow" w:hAnsi="Arial Narrow" w:cstheme="minorHAnsi"/>
                <w:sz w:val="20"/>
                <w:szCs w:val="20"/>
              </w:rPr>
              <w:t>i</w:t>
            </w:r>
            <w:r w:rsidR="00C628CE">
              <w:rPr>
                <w:rFonts w:ascii="Arial Narrow" w:hAnsi="Arial Narrow" w:cstheme="minorHAnsi"/>
                <w:sz w:val="20"/>
                <w:szCs w:val="20"/>
              </w:rPr>
              <w:t>s</w:t>
            </w:r>
            <w:r w:rsidR="003169B7" w:rsidRPr="003F0AC4">
              <w:rPr>
                <w:rFonts w:ascii="Arial Narrow" w:hAnsi="Arial Narrow" w:cstheme="minorHAnsi"/>
                <w:sz w:val="20"/>
                <w:szCs w:val="20"/>
              </w:rPr>
              <w:t xml:space="preserve"> a first-degree </w:t>
            </w:r>
            <w:r w:rsidR="004F0A1C">
              <w:rPr>
                <w:rFonts w:ascii="Arial Narrow" w:hAnsi="Arial Narrow" w:cstheme="minorHAnsi"/>
                <w:sz w:val="20"/>
                <w:szCs w:val="20"/>
              </w:rPr>
              <w:t xml:space="preserve">biological </w:t>
            </w:r>
            <w:r w:rsidR="003169B7" w:rsidRPr="003F0AC4">
              <w:rPr>
                <w:rFonts w:ascii="Arial Narrow" w:hAnsi="Arial Narrow" w:cstheme="minorHAnsi"/>
                <w:sz w:val="20"/>
                <w:szCs w:val="20"/>
              </w:rPr>
              <w:t xml:space="preserve">relative </w:t>
            </w:r>
            <w:r w:rsidR="006D3B16">
              <w:rPr>
                <w:rFonts w:ascii="Arial Narrow" w:hAnsi="Arial Narrow" w:cstheme="minorHAnsi"/>
                <w:sz w:val="20"/>
                <w:szCs w:val="20"/>
              </w:rPr>
              <w:t xml:space="preserve">of a patient found to have a likely pathogenic variant(s) in the </w:t>
            </w:r>
            <w:r w:rsidR="006D3B16" w:rsidRPr="0015347A">
              <w:rPr>
                <w:rFonts w:ascii="Arial Narrow" w:hAnsi="Arial Narrow" w:cstheme="minorHAnsi"/>
                <w:i/>
                <w:iCs/>
                <w:sz w:val="20"/>
                <w:szCs w:val="20"/>
              </w:rPr>
              <w:t>ADAMTS13</w:t>
            </w:r>
            <w:r w:rsidR="006D3B16">
              <w:rPr>
                <w:rFonts w:ascii="Arial Narrow" w:hAnsi="Arial Narrow" w:cstheme="minorHAnsi"/>
                <w:sz w:val="20"/>
                <w:szCs w:val="20"/>
              </w:rPr>
              <w:t xml:space="preserve"> gene</w:t>
            </w:r>
          </w:p>
          <w:p w14:paraId="22FAD528" w14:textId="13C49AA0" w:rsidR="003169B7" w:rsidRPr="009A11D6" w:rsidRDefault="0029321C" w:rsidP="009A11D6">
            <w:pPr>
              <w:pStyle w:val="ListParagraph"/>
              <w:numPr>
                <w:ilvl w:val="0"/>
                <w:numId w:val="39"/>
              </w:numPr>
              <w:spacing w:before="40" w:after="40" w:line="240" w:lineRule="auto"/>
              <w:rPr>
                <w:rFonts w:ascii="Arial Narrow" w:hAnsi="Arial Narrow" w:cstheme="minorHAnsi"/>
                <w:sz w:val="20"/>
                <w:szCs w:val="20"/>
              </w:rPr>
            </w:pPr>
            <w:r>
              <w:rPr>
                <w:rFonts w:ascii="Arial Narrow" w:hAnsi="Arial Narrow" w:cstheme="minorHAnsi"/>
                <w:sz w:val="20"/>
                <w:szCs w:val="20"/>
              </w:rPr>
              <w:t xml:space="preserve">has not </w:t>
            </w:r>
            <w:r w:rsidR="009B5759">
              <w:rPr>
                <w:rFonts w:ascii="Arial Narrow" w:hAnsi="Arial Narrow" w:cstheme="minorHAnsi"/>
                <w:sz w:val="20"/>
                <w:szCs w:val="20"/>
              </w:rPr>
              <w:t xml:space="preserve">previously received a service to which </w:t>
            </w:r>
            <w:r w:rsidR="003169B7" w:rsidRPr="003F0AC4">
              <w:rPr>
                <w:rFonts w:ascii="Arial Narrow" w:hAnsi="Arial Narrow" w:cstheme="minorHAnsi"/>
                <w:sz w:val="20"/>
                <w:szCs w:val="20"/>
              </w:rPr>
              <w:t xml:space="preserve">item </w:t>
            </w:r>
            <w:r w:rsidR="002839C5" w:rsidRPr="003F0AC4">
              <w:rPr>
                <w:rFonts w:ascii="Arial Narrow" w:hAnsi="Arial Narrow" w:cstheme="minorHAnsi"/>
                <w:sz w:val="20"/>
                <w:szCs w:val="20"/>
              </w:rPr>
              <w:t>CCCC</w:t>
            </w:r>
            <w:r w:rsidR="00AA1D70">
              <w:rPr>
                <w:rFonts w:ascii="Arial Narrow" w:hAnsi="Arial Narrow" w:cstheme="minorHAnsi"/>
                <w:sz w:val="20"/>
                <w:szCs w:val="20"/>
              </w:rPr>
              <w:t xml:space="preserve"> </w:t>
            </w:r>
            <w:r w:rsidR="006149B7">
              <w:rPr>
                <w:rFonts w:ascii="Arial Narrow" w:hAnsi="Arial Narrow" w:cstheme="minorHAnsi"/>
                <w:sz w:val="20"/>
                <w:szCs w:val="20"/>
              </w:rPr>
              <w:t>applies</w:t>
            </w:r>
          </w:p>
          <w:p w14:paraId="4E05B90D" w14:textId="77777777" w:rsidR="001007EA" w:rsidRDefault="00BF19E8" w:rsidP="003F0E9A">
            <w:pPr>
              <w:pStyle w:val="051Tabletext229pt"/>
              <w:rPr>
                <w:rFonts w:ascii="Arial Narrow" w:hAnsi="Arial Narrow" w:cstheme="minorHAnsi"/>
                <w:sz w:val="20"/>
                <w:szCs w:val="20"/>
              </w:rPr>
            </w:pPr>
            <w:r w:rsidRPr="003F0AC4">
              <w:rPr>
                <w:rFonts w:ascii="Arial Narrow" w:hAnsi="Arial Narrow" w:cstheme="minorHAnsi"/>
                <w:sz w:val="20"/>
                <w:szCs w:val="20"/>
              </w:rPr>
              <w:t>requested by or on behalf of a specialist or consultant physician</w:t>
            </w:r>
            <w:r w:rsidR="001007EA">
              <w:rPr>
                <w:rFonts w:ascii="Arial Narrow" w:hAnsi="Arial Narrow" w:cstheme="minorHAnsi"/>
                <w:sz w:val="20"/>
                <w:szCs w:val="20"/>
              </w:rPr>
              <w:t>.</w:t>
            </w:r>
          </w:p>
          <w:p w14:paraId="46396FF0" w14:textId="5C8AA5C1" w:rsidR="004E6596" w:rsidRPr="003F0E9A" w:rsidRDefault="004E6596" w:rsidP="001007EA">
            <w:pPr>
              <w:pStyle w:val="051Tabletext229pt"/>
              <w:spacing w:before="120"/>
              <w:rPr>
                <w:rFonts w:ascii="Arial Narrow" w:hAnsi="Arial Narrow" w:cstheme="minorHAnsi"/>
                <w:sz w:val="20"/>
                <w:szCs w:val="20"/>
              </w:rPr>
            </w:pPr>
            <w:r w:rsidRPr="003F0AC4">
              <w:rPr>
                <w:rFonts w:ascii="Arial Narrow" w:hAnsi="Arial Narrow" w:cstheme="minorHAnsi"/>
                <w:sz w:val="20"/>
                <w:szCs w:val="20"/>
              </w:rPr>
              <w:t>Available once per lifetime</w:t>
            </w:r>
          </w:p>
        </w:tc>
      </w:tr>
      <w:tr w:rsidR="004E6596" w:rsidRPr="003F0AC4" w14:paraId="2D174987" w14:textId="77777777" w:rsidTr="00B55E84">
        <w:trPr>
          <w:cantSplit/>
        </w:trPr>
        <w:tc>
          <w:tcPr>
            <w:tcW w:w="9571" w:type="dxa"/>
          </w:tcPr>
          <w:p w14:paraId="156DB722" w14:textId="6943B7CA" w:rsidR="004E6596" w:rsidRPr="003F0E9A" w:rsidRDefault="004E6596" w:rsidP="003F0AC4">
            <w:pPr>
              <w:pStyle w:val="051Tabletext229pt"/>
              <w:rPr>
                <w:rFonts w:ascii="Arial Narrow" w:hAnsi="Arial Narrow" w:cstheme="minorHAnsi"/>
                <w:sz w:val="20"/>
                <w:szCs w:val="20"/>
              </w:rPr>
            </w:pPr>
            <w:r w:rsidRPr="003F0E9A">
              <w:rPr>
                <w:rFonts w:ascii="Arial Narrow" w:hAnsi="Arial Narrow" w:cstheme="minorHAnsi"/>
                <w:sz w:val="20"/>
                <w:szCs w:val="20"/>
              </w:rPr>
              <w:t>Proposed fee: $1,200</w:t>
            </w:r>
            <w:r w:rsidR="00F138C6" w:rsidRPr="003F0E9A">
              <w:rPr>
                <w:rFonts w:ascii="Arial Narrow" w:hAnsi="Arial Narrow" w:cstheme="minorHAnsi"/>
                <w:sz w:val="20"/>
                <w:szCs w:val="20"/>
              </w:rPr>
              <w:t xml:space="preserve">  </w:t>
            </w:r>
            <w:r w:rsidRPr="003F0E9A">
              <w:rPr>
                <w:rFonts w:ascii="Arial Narrow" w:hAnsi="Arial Narrow" w:cstheme="minorHAnsi"/>
                <w:sz w:val="20"/>
                <w:szCs w:val="20"/>
              </w:rPr>
              <w:t xml:space="preserve"> Benefit: 75% = $900 </w:t>
            </w:r>
            <w:r w:rsidR="00DB36CC" w:rsidRPr="003F0E9A">
              <w:rPr>
                <w:rFonts w:ascii="Arial Narrow" w:hAnsi="Arial Narrow" w:cstheme="minorHAnsi"/>
                <w:sz w:val="20"/>
                <w:szCs w:val="20"/>
              </w:rPr>
              <w:t xml:space="preserve">  </w:t>
            </w:r>
            <w:r w:rsidRPr="003F0E9A">
              <w:rPr>
                <w:rFonts w:ascii="Arial Narrow" w:hAnsi="Arial Narrow" w:cstheme="minorHAnsi"/>
                <w:sz w:val="20"/>
                <w:szCs w:val="20"/>
              </w:rPr>
              <w:t>85% = $1,097.60</w:t>
            </w:r>
          </w:p>
        </w:tc>
      </w:tr>
    </w:tbl>
    <w:p w14:paraId="19E84EDA" w14:textId="5D0DF753" w:rsidR="00DB36CC" w:rsidRDefault="00DB36CC" w:rsidP="006C3316">
      <w:pPr>
        <w:pStyle w:val="Tablenotes"/>
        <w:spacing w:after="0"/>
        <w:rPr>
          <w:rFonts w:eastAsia="Arial Narrow"/>
        </w:rPr>
      </w:pPr>
      <w:r>
        <w:rPr>
          <w:rFonts w:eastAsia="Arial Narrow"/>
        </w:rPr>
        <w:t xml:space="preserve">Source: </w:t>
      </w:r>
      <w:r w:rsidR="00487C79">
        <w:rPr>
          <w:rFonts w:eastAsia="Arial Narrow"/>
        </w:rPr>
        <w:t xml:space="preserve">prepared by the assessment group, </w:t>
      </w:r>
      <w:r>
        <w:rPr>
          <w:rFonts w:eastAsia="Arial Narrow"/>
        </w:rPr>
        <w:t xml:space="preserve">adapted from </w:t>
      </w:r>
      <w:r>
        <w:t>Application 1796 for ADAMTS13 testing for TTP</w:t>
      </w:r>
      <w:r w:rsidR="00487C79">
        <w:rPr>
          <w:rFonts w:eastAsia="Arial Narrow"/>
        </w:rPr>
        <w:t>.</w:t>
      </w:r>
    </w:p>
    <w:p w14:paraId="012265FB" w14:textId="1E710652" w:rsidR="006C3316" w:rsidRDefault="006C3316" w:rsidP="006C3316">
      <w:pPr>
        <w:pStyle w:val="Tablenotes"/>
        <w:spacing w:after="0"/>
        <w:rPr>
          <w:rFonts w:eastAsia="Arial Narrow"/>
        </w:rPr>
      </w:pPr>
      <w:r w:rsidRPr="006C3316">
        <w:rPr>
          <w:rFonts w:eastAsia="Arial Narrow"/>
        </w:rPr>
        <w:t>TTP = thrombotic thrombocytopenic purpur</w:t>
      </w:r>
      <w:r>
        <w:rPr>
          <w:rFonts w:eastAsia="Arial Narrow"/>
        </w:rPr>
        <w:t>a.</w:t>
      </w:r>
    </w:p>
    <w:p w14:paraId="2A2B47F8" w14:textId="152DD245" w:rsidR="00D70E3E" w:rsidRDefault="00D70E3E" w:rsidP="00D70E3E">
      <w:pPr>
        <w:pStyle w:val="Tablenotes"/>
        <w:rPr>
          <w:rFonts w:eastAsia="Arial Narrow"/>
        </w:rPr>
      </w:pPr>
      <w:r w:rsidRPr="6477669F">
        <w:rPr>
          <w:rFonts w:eastAsia="Arial Narrow"/>
        </w:rPr>
        <w:t xml:space="preserve">85% benefit reflects the 1 November </w:t>
      </w:r>
      <w:r>
        <w:rPr>
          <w:rFonts w:eastAsia="Arial Narrow"/>
        </w:rPr>
        <w:t>2024</w:t>
      </w:r>
      <w:r w:rsidRPr="6477669F">
        <w:rPr>
          <w:rFonts w:eastAsia="Arial Narrow"/>
        </w:rPr>
        <w:t xml:space="preserve"> Greatest Permissible Gap (GPG) of $</w:t>
      </w:r>
      <w:r>
        <w:rPr>
          <w:rFonts w:eastAsia="Arial Narrow"/>
        </w:rPr>
        <w:t>102.40</w:t>
      </w:r>
      <w:r w:rsidRPr="6477669F">
        <w:rPr>
          <w:rFonts w:eastAsia="Arial Narrow"/>
        </w:rPr>
        <w:t>. All out-of-hospital Medicare services that have an MBS fee of $</w:t>
      </w:r>
      <w:r>
        <w:rPr>
          <w:rFonts w:eastAsia="Arial Narrow"/>
        </w:rPr>
        <w:t>683.00</w:t>
      </w:r>
      <w:r w:rsidRPr="6477669F">
        <w:rPr>
          <w:rFonts w:eastAsia="Arial Narrow"/>
        </w:rPr>
        <w:t xml:space="preserve"> or more will attract a benefit that is greater than 85% of the MBS fee – being the schedule fee less the GPG amount. The GPG amount is indexed annually on 1 November in line with the Consumer Price Index (CPI) (June quarter).</w:t>
      </w:r>
    </w:p>
    <w:p w14:paraId="4153F21E" w14:textId="6920C31E" w:rsidR="00284CF5" w:rsidRDefault="00E773CB" w:rsidP="00284CF5">
      <w:pPr>
        <w:rPr>
          <w:i/>
          <w:iCs/>
        </w:rPr>
      </w:pPr>
      <w:r w:rsidRPr="00C45EB6">
        <w:rPr>
          <w:i/>
          <w:iCs/>
        </w:rPr>
        <w:t xml:space="preserve">PASC noted that the MBS item descriptors for ADAMTS13 activity testing for diagnosis and monitoring had been combined and considered this appropriate. A </w:t>
      </w:r>
      <w:r>
        <w:rPr>
          <w:i/>
          <w:iCs/>
        </w:rPr>
        <w:t>R</w:t>
      </w:r>
      <w:r w:rsidRPr="00C45EB6">
        <w:rPr>
          <w:i/>
          <w:iCs/>
        </w:rPr>
        <w:t>ule 3 exemption was supported by the applicant.</w:t>
      </w:r>
    </w:p>
    <w:p w14:paraId="6A1FE503" w14:textId="64907B46" w:rsidR="0097534F" w:rsidRPr="00C45EB6" w:rsidRDefault="0097534F" w:rsidP="0097534F">
      <w:pPr>
        <w:rPr>
          <w:i/>
          <w:iCs/>
        </w:rPr>
      </w:pPr>
      <w:r w:rsidRPr="00C45EB6">
        <w:rPr>
          <w:i/>
          <w:iCs/>
        </w:rPr>
        <w:t xml:space="preserve">PASC </w:t>
      </w:r>
      <w:r w:rsidR="00B2563B">
        <w:rPr>
          <w:i/>
          <w:iCs/>
        </w:rPr>
        <w:t>considered if</w:t>
      </w:r>
      <w:r w:rsidRPr="00C45EB6">
        <w:rPr>
          <w:i/>
          <w:iCs/>
        </w:rPr>
        <w:t xml:space="preserve"> the PLASMIC score should be included in the MBS item descriptor. The applicant stated that there are other scores that are also used and</w:t>
      </w:r>
      <w:r>
        <w:rPr>
          <w:i/>
          <w:iCs/>
        </w:rPr>
        <w:t>,</w:t>
      </w:r>
      <w:r w:rsidRPr="00C45EB6">
        <w:rPr>
          <w:i/>
          <w:iCs/>
        </w:rPr>
        <w:t xml:space="preserve"> furthermore, the scores are often being calculated simultaneously with the sample being sent off for ADAMTS13 testing</w:t>
      </w:r>
      <w:r>
        <w:rPr>
          <w:i/>
          <w:iCs/>
        </w:rPr>
        <w:t>.</w:t>
      </w:r>
      <w:r w:rsidRPr="00C45EB6">
        <w:rPr>
          <w:i/>
          <w:iCs/>
        </w:rPr>
        <w:t xml:space="preserve"> </w:t>
      </w:r>
      <w:r>
        <w:rPr>
          <w:i/>
          <w:iCs/>
        </w:rPr>
        <w:t>T</w:t>
      </w:r>
      <w:r w:rsidRPr="00C45EB6">
        <w:rPr>
          <w:i/>
          <w:iCs/>
        </w:rPr>
        <w:t>herefore</w:t>
      </w:r>
      <w:r>
        <w:rPr>
          <w:i/>
          <w:iCs/>
        </w:rPr>
        <w:t>,</w:t>
      </w:r>
      <w:r w:rsidRPr="00C45EB6">
        <w:rPr>
          <w:i/>
          <w:iCs/>
        </w:rPr>
        <w:t xml:space="preserve"> the applicant was of the opinion that inclusion of the PLASMIC score in the item descriptor would disadvantage the clinical end users. It was also noted that the PLASMIC score is n</w:t>
      </w:r>
      <w:r w:rsidR="00A82C55">
        <w:rPr>
          <w:i/>
          <w:iCs/>
        </w:rPr>
        <w:t>either</w:t>
      </w:r>
      <w:r w:rsidRPr="00C45EB6">
        <w:rPr>
          <w:i/>
          <w:iCs/>
        </w:rPr>
        <w:t xml:space="preserve"> validated </w:t>
      </w:r>
      <w:r>
        <w:rPr>
          <w:i/>
          <w:iCs/>
        </w:rPr>
        <w:t>i</w:t>
      </w:r>
      <w:r w:rsidRPr="00C45EB6">
        <w:rPr>
          <w:i/>
          <w:iCs/>
        </w:rPr>
        <w:t xml:space="preserve">n pregnant patients </w:t>
      </w:r>
      <w:r w:rsidR="00A82C55">
        <w:rPr>
          <w:i/>
          <w:iCs/>
        </w:rPr>
        <w:t>n</w:t>
      </w:r>
      <w:r w:rsidRPr="00C45EB6">
        <w:rPr>
          <w:i/>
          <w:iCs/>
        </w:rPr>
        <w:t xml:space="preserve">or </w:t>
      </w:r>
      <w:r w:rsidR="00A82C55">
        <w:rPr>
          <w:i/>
          <w:iCs/>
        </w:rPr>
        <w:t xml:space="preserve">in </w:t>
      </w:r>
      <w:r w:rsidRPr="00C45EB6">
        <w:rPr>
          <w:i/>
          <w:iCs/>
        </w:rPr>
        <w:t>children</w:t>
      </w:r>
      <w:r w:rsidR="00A82C55">
        <w:rPr>
          <w:i/>
          <w:iCs/>
        </w:rPr>
        <w:t>,</w:t>
      </w:r>
      <w:r w:rsidRPr="00C45EB6">
        <w:rPr>
          <w:i/>
          <w:iCs/>
        </w:rPr>
        <w:t xml:space="preserve"> so it is not applicable for all populations. Therefore</w:t>
      </w:r>
      <w:r>
        <w:rPr>
          <w:i/>
          <w:iCs/>
        </w:rPr>
        <w:t>,</w:t>
      </w:r>
      <w:r w:rsidRPr="00C45EB6">
        <w:rPr>
          <w:i/>
          <w:iCs/>
        </w:rPr>
        <w:t xml:space="preserve"> PASC agreed</w:t>
      </w:r>
      <w:r>
        <w:rPr>
          <w:i/>
          <w:iCs/>
        </w:rPr>
        <w:t xml:space="preserve"> with the applicant</w:t>
      </w:r>
      <w:r w:rsidRPr="00C45EB6">
        <w:rPr>
          <w:i/>
          <w:iCs/>
        </w:rPr>
        <w:t xml:space="preserve"> that it was not required in the item descriptor.</w:t>
      </w:r>
    </w:p>
    <w:p w14:paraId="64A18173" w14:textId="77777777" w:rsidR="0097534F" w:rsidRPr="00C45EB6" w:rsidRDefault="0097534F" w:rsidP="0097534F">
      <w:pPr>
        <w:rPr>
          <w:i/>
          <w:iCs/>
        </w:rPr>
      </w:pPr>
      <w:r w:rsidRPr="00C45EB6">
        <w:rPr>
          <w:i/>
          <w:iCs/>
        </w:rPr>
        <w:t>PASC considered that the item descriptor should be broadened to TMA in order to also include patients with aHUS seeking treatment with PBS-listed medications. PASC supported advice from policy that item number AAAA be changed to include TMA instead of limiting it to TTP, but that monitoring use be limited to patients with TTP.</w:t>
      </w:r>
    </w:p>
    <w:p w14:paraId="22EFFF0E" w14:textId="1C4567F0" w:rsidR="0097534F" w:rsidRPr="00C45EB6" w:rsidRDefault="0097534F" w:rsidP="0097534F">
      <w:pPr>
        <w:rPr>
          <w:i/>
          <w:iCs/>
        </w:rPr>
      </w:pPr>
      <w:r w:rsidRPr="00C45EB6">
        <w:rPr>
          <w:i/>
          <w:iCs/>
        </w:rPr>
        <w:t>For item number BBBB, PASC requested that the requirement for a claim against item number AAAA be removed as in practice this may not have occurred.</w:t>
      </w:r>
    </w:p>
    <w:p w14:paraId="56CBE1A6" w14:textId="6F7A32F8" w:rsidR="0097534F" w:rsidRDefault="0097534F" w:rsidP="00284CF5">
      <w:r w:rsidRPr="00C45EB6">
        <w:rPr>
          <w:i/>
          <w:iCs/>
        </w:rPr>
        <w:t>PASC stated that both item numbers CCCC and DDDD should be once per lifetime and that item number DDDD should specify that it is applicable to biological first-degree relatives (i.e. not spouses).</w:t>
      </w:r>
    </w:p>
    <w:p w14:paraId="3CA38946" w14:textId="4B7527CB" w:rsidR="000773D5" w:rsidRDefault="00AD73CC" w:rsidP="00AD73CC">
      <w:pPr>
        <w:pStyle w:val="Heading4"/>
      </w:pPr>
      <w:r>
        <w:t>Proposed fees</w:t>
      </w:r>
    </w:p>
    <w:p w14:paraId="4256A44D" w14:textId="5CC628E3" w:rsidR="002D0754" w:rsidRDefault="001C2A58" w:rsidP="001C2A58">
      <w:r>
        <w:t>The application did not state how the proposed fees were derived</w:t>
      </w:r>
      <w:r w:rsidR="005D2C45">
        <w:t xml:space="preserve"> other than to note that </w:t>
      </w:r>
      <w:r w:rsidR="00FA4DF7">
        <w:t>in</w:t>
      </w:r>
      <w:r w:rsidR="005D2C45">
        <w:t xml:space="preserve"> </w:t>
      </w:r>
      <w:r w:rsidR="00A541F1">
        <w:t>‘patients in the community, private ED/private hospital with a TMA that requires ADAMTS13 testing, the public hospital will currently bill them approximately $800 out of pocket expense for testing</w:t>
      </w:r>
      <w:r w:rsidR="00D60E48">
        <w:t>‘</w:t>
      </w:r>
      <w:r w:rsidR="000E716D">
        <w:t>.</w:t>
      </w:r>
      <w:r w:rsidR="005B2BAD">
        <w:t xml:space="preserve"> It is assumed this refers to </w:t>
      </w:r>
      <w:r w:rsidR="00085391">
        <w:t xml:space="preserve">monitoring </w:t>
      </w:r>
      <w:r w:rsidR="005B2BAD">
        <w:t xml:space="preserve">ADAMTS13 activity, </w:t>
      </w:r>
      <w:r w:rsidR="009702AD">
        <w:t>although</w:t>
      </w:r>
      <w:r w:rsidR="005B2BAD">
        <w:t xml:space="preserve"> </w:t>
      </w:r>
      <w:r w:rsidR="0044328D">
        <w:t xml:space="preserve">this </w:t>
      </w:r>
      <w:r w:rsidR="00550681">
        <w:t>is</w:t>
      </w:r>
      <w:r w:rsidR="0044328D">
        <w:t xml:space="preserve"> not explici</w:t>
      </w:r>
      <w:r w:rsidR="00D336DE">
        <w:t>t</w:t>
      </w:r>
      <w:r>
        <w:t xml:space="preserve">. </w:t>
      </w:r>
      <w:r w:rsidR="00980565">
        <w:t>Lower f</w:t>
      </w:r>
      <w:r w:rsidR="0041747D">
        <w:t xml:space="preserve">ees for similar </w:t>
      </w:r>
      <w:r w:rsidR="00DE5EC7">
        <w:t xml:space="preserve">types of </w:t>
      </w:r>
      <w:r w:rsidR="00171B0C">
        <w:t>antibody and genetic</w:t>
      </w:r>
      <w:r w:rsidR="00DE5EC7">
        <w:t xml:space="preserve"> </w:t>
      </w:r>
      <w:r w:rsidR="0041747D">
        <w:t>tests</w:t>
      </w:r>
      <w:r w:rsidR="00A43D22">
        <w:t xml:space="preserve"> </w:t>
      </w:r>
      <w:r w:rsidR="00980565">
        <w:t>can be identified</w:t>
      </w:r>
      <w:r w:rsidR="00C82D88">
        <w:t xml:space="preserve"> on the MBS</w:t>
      </w:r>
      <w:r w:rsidR="00822777">
        <w:t xml:space="preserve"> and </w:t>
      </w:r>
      <w:r w:rsidR="002654D0">
        <w:t>at least one laboratory charges lower fees for ADAMTS13 activity testing</w:t>
      </w:r>
      <w:r w:rsidR="00626845">
        <w:t>,</w:t>
      </w:r>
      <w:r w:rsidR="00A43D22">
        <w:t xml:space="preserve"> </w:t>
      </w:r>
      <w:r w:rsidR="00980565">
        <w:t>so</w:t>
      </w:r>
      <w:r w:rsidR="00DE5EC7">
        <w:t xml:space="preserve"> the fees will need to be justified in the assessment.</w:t>
      </w:r>
      <w:r w:rsidR="00FA114E">
        <w:t xml:space="preserve"> </w:t>
      </w:r>
    </w:p>
    <w:p w14:paraId="18CA92CF" w14:textId="4D2B8A79" w:rsidR="002D0754" w:rsidRDefault="00DA695B" w:rsidP="001C2A58">
      <w:r>
        <w:t xml:space="preserve">The </w:t>
      </w:r>
      <w:r w:rsidR="004C71CE">
        <w:t xml:space="preserve">proposed </w:t>
      </w:r>
      <w:r>
        <w:t xml:space="preserve">fee for </w:t>
      </w:r>
      <w:r w:rsidR="001E1F70">
        <w:rPr>
          <w:i/>
          <w:iCs/>
        </w:rPr>
        <w:t xml:space="preserve">ADAMTS13 </w:t>
      </w:r>
      <w:r w:rsidR="00C03A98">
        <w:t>genetic testing</w:t>
      </w:r>
      <w:r w:rsidR="0022137C">
        <w:t xml:space="preserve"> of</w:t>
      </w:r>
      <w:r w:rsidR="00C03A98">
        <w:t xml:space="preserve"> </w:t>
      </w:r>
      <w:r w:rsidR="00AB51AC">
        <w:t>index patients aligns with</w:t>
      </w:r>
      <w:r w:rsidR="0022137C">
        <w:t xml:space="preserve"> that for</w:t>
      </w:r>
      <w:r w:rsidR="00AB51AC">
        <w:t xml:space="preserve"> </w:t>
      </w:r>
      <w:r w:rsidR="003906B4">
        <w:t xml:space="preserve">MBS items for </w:t>
      </w:r>
      <w:r w:rsidR="003A627B">
        <w:t>characterisation of germline variants</w:t>
      </w:r>
      <w:r w:rsidR="0071313F">
        <w:t xml:space="preserve"> for specific conditions, but these involve</w:t>
      </w:r>
      <w:r w:rsidR="003A627B">
        <w:t xml:space="preserve"> </w:t>
      </w:r>
      <w:r w:rsidR="001765C5">
        <w:t>multiple genes</w:t>
      </w:r>
      <w:r w:rsidR="008C5A57">
        <w:t xml:space="preserve">, </w:t>
      </w:r>
      <w:r w:rsidR="001765C5">
        <w:t>including copy number variation</w:t>
      </w:r>
      <w:r w:rsidR="000678A7">
        <w:t xml:space="preserve"> </w:t>
      </w:r>
      <w:r w:rsidR="008C5A57">
        <w:t>(</w:t>
      </w:r>
      <w:r w:rsidR="00D71E2B">
        <w:t xml:space="preserve">e.g. </w:t>
      </w:r>
      <w:r w:rsidR="008C5A57">
        <w:t>MBS items 7335</w:t>
      </w:r>
      <w:r w:rsidR="00345144">
        <w:t>4</w:t>
      </w:r>
      <w:r w:rsidR="008C5A57">
        <w:t>, 7335</w:t>
      </w:r>
      <w:r w:rsidR="00345144">
        <w:t xml:space="preserve">5, and </w:t>
      </w:r>
      <w:r w:rsidR="008C5A57">
        <w:t>7335</w:t>
      </w:r>
      <w:r w:rsidR="00345144">
        <w:t>6)</w:t>
      </w:r>
      <w:r w:rsidR="00D31791">
        <w:t xml:space="preserve">, </w:t>
      </w:r>
      <w:r w:rsidR="0071313F">
        <w:t>so may not be an appropriate compa</w:t>
      </w:r>
      <w:r w:rsidR="009642DC">
        <w:t xml:space="preserve">rative </w:t>
      </w:r>
      <w:r w:rsidR="00032CA2">
        <w:t>fee</w:t>
      </w:r>
      <w:r w:rsidR="00A7299E">
        <w:t xml:space="preserve">. </w:t>
      </w:r>
    </w:p>
    <w:p w14:paraId="00179D1F" w14:textId="145DAC24" w:rsidR="001C2A58" w:rsidRDefault="004C71CE" w:rsidP="001C2A58">
      <w:r>
        <w:lastRenderedPageBreak/>
        <w:t>Th</w:t>
      </w:r>
      <w:r w:rsidR="00D31791">
        <w:t>e proposed fee</w:t>
      </w:r>
      <w:r w:rsidR="00E507B7">
        <w:t xml:space="preserve"> for cascade testing does not align with </w:t>
      </w:r>
      <w:r w:rsidR="00185C3C">
        <w:t xml:space="preserve">that for </w:t>
      </w:r>
      <w:r w:rsidR="00871605">
        <w:t>MBS services to identify</w:t>
      </w:r>
      <w:r w:rsidR="004662FD">
        <w:t xml:space="preserve"> </w:t>
      </w:r>
      <w:r w:rsidR="006765C5">
        <w:t xml:space="preserve">single gene variants </w:t>
      </w:r>
      <w:r w:rsidR="00113421">
        <w:t xml:space="preserve">in family members </w:t>
      </w:r>
      <w:r w:rsidR="006765C5">
        <w:t xml:space="preserve">(i.e. variant-specific </w:t>
      </w:r>
      <w:r w:rsidR="00185C3C">
        <w:t>cascade</w:t>
      </w:r>
      <w:r w:rsidR="00E507B7">
        <w:t xml:space="preserve"> testing</w:t>
      </w:r>
      <w:r w:rsidR="006765C5">
        <w:t>)</w:t>
      </w:r>
      <w:r w:rsidR="00E507B7">
        <w:t xml:space="preserve"> </w:t>
      </w:r>
      <w:r w:rsidR="00185C3C">
        <w:t>for other conditions</w:t>
      </w:r>
      <w:r w:rsidR="003B2F2D">
        <w:t>;</w:t>
      </w:r>
      <w:r w:rsidR="00185C3C">
        <w:t xml:space="preserve"> </w:t>
      </w:r>
      <w:r w:rsidR="003B2F2D">
        <w:t>these</w:t>
      </w:r>
      <w:r w:rsidR="00185C3C">
        <w:t xml:space="preserve"> tend to be around $400 (e.g. </w:t>
      </w:r>
      <w:r w:rsidR="006765C5">
        <w:t>MBS ite</w:t>
      </w:r>
      <w:r w:rsidR="00211AC0">
        <w:t>m</w:t>
      </w:r>
      <w:r w:rsidR="006765C5">
        <w:t xml:space="preserve"> </w:t>
      </w:r>
      <w:r w:rsidR="00DC71DA">
        <w:t>73361)</w:t>
      </w:r>
      <w:r w:rsidR="003B2F2D">
        <w:t>.</w:t>
      </w:r>
    </w:p>
    <w:p w14:paraId="66373840" w14:textId="77777777" w:rsidR="00C25116" w:rsidRDefault="00C25116" w:rsidP="00C25116">
      <w:r w:rsidRPr="00C45EB6">
        <w:rPr>
          <w:i/>
          <w:iCs/>
        </w:rPr>
        <w:t xml:space="preserve">For all item numbers, PASC questioned the appropriateness of the </w:t>
      </w:r>
      <w:r>
        <w:rPr>
          <w:i/>
          <w:iCs/>
        </w:rPr>
        <w:t>proposed</w:t>
      </w:r>
      <w:r w:rsidRPr="00C45EB6">
        <w:rPr>
          <w:i/>
          <w:iCs/>
        </w:rPr>
        <w:t xml:space="preserve"> fees and noted that there were examples of laboratories undertaking these tests </w:t>
      </w:r>
      <w:r>
        <w:rPr>
          <w:i/>
          <w:iCs/>
        </w:rPr>
        <w:t>at lower costs</w:t>
      </w:r>
      <w:r w:rsidRPr="00C45EB6">
        <w:rPr>
          <w:i/>
          <w:iCs/>
        </w:rPr>
        <w:t>. The applicant state</w:t>
      </w:r>
      <w:r>
        <w:t xml:space="preserve">d </w:t>
      </w:r>
      <w:r w:rsidRPr="006B25D5">
        <w:rPr>
          <w:i/>
          <w:iCs/>
        </w:rPr>
        <w:t xml:space="preserve">that for ADAMTS13 activity testing, the test can sometimes be an urgent request and therefore cannot be undertaken during standard hours as batch testing. </w:t>
      </w:r>
      <w:r>
        <w:rPr>
          <w:i/>
          <w:iCs/>
        </w:rPr>
        <w:t>Urgent requests</w:t>
      </w:r>
      <w:r w:rsidRPr="006B25D5">
        <w:rPr>
          <w:i/>
          <w:iCs/>
        </w:rPr>
        <w:t xml:space="preserve"> would </w:t>
      </w:r>
      <w:r>
        <w:rPr>
          <w:i/>
          <w:iCs/>
        </w:rPr>
        <w:t xml:space="preserve">therefore </w:t>
      </w:r>
      <w:r w:rsidRPr="006B25D5">
        <w:rPr>
          <w:i/>
          <w:iCs/>
        </w:rPr>
        <w:t xml:space="preserve">be </w:t>
      </w:r>
      <w:r>
        <w:rPr>
          <w:i/>
          <w:iCs/>
        </w:rPr>
        <w:t xml:space="preserve">associated with </w:t>
      </w:r>
      <w:r w:rsidRPr="006B25D5">
        <w:rPr>
          <w:i/>
          <w:iCs/>
        </w:rPr>
        <w:t>higher cost</w:t>
      </w:r>
      <w:r>
        <w:rPr>
          <w:i/>
          <w:iCs/>
        </w:rPr>
        <w:t>s,</w:t>
      </w:r>
      <w:r w:rsidRPr="006B25D5">
        <w:rPr>
          <w:i/>
          <w:iCs/>
        </w:rPr>
        <w:t xml:space="preserve"> but</w:t>
      </w:r>
      <w:r>
        <w:rPr>
          <w:i/>
          <w:iCs/>
        </w:rPr>
        <w:t xml:space="preserve"> the proposed fee for MBS item AAAA reflects an</w:t>
      </w:r>
      <w:r w:rsidRPr="006B25D5">
        <w:rPr>
          <w:i/>
          <w:iCs/>
        </w:rPr>
        <w:t xml:space="preserve"> averaged</w:t>
      </w:r>
      <w:r>
        <w:rPr>
          <w:i/>
          <w:iCs/>
        </w:rPr>
        <w:t>-</w:t>
      </w:r>
      <w:r w:rsidRPr="006B25D5">
        <w:rPr>
          <w:i/>
          <w:iCs/>
        </w:rPr>
        <w:t xml:space="preserve">out </w:t>
      </w:r>
      <w:r>
        <w:rPr>
          <w:i/>
          <w:iCs/>
        </w:rPr>
        <w:t xml:space="preserve">cost </w:t>
      </w:r>
      <w:r w:rsidRPr="006B25D5">
        <w:rPr>
          <w:i/>
          <w:iCs/>
        </w:rPr>
        <w:t>rather than requesting two separate items</w:t>
      </w:r>
      <w:r w:rsidRPr="007F4E6A">
        <w:rPr>
          <w:i/>
          <w:iCs/>
        </w:rPr>
        <w:t>.</w:t>
      </w:r>
    </w:p>
    <w:p w14:paraId="6F75D2FA" w14:textId="77777777" w:rsidR="00C25116" w:rsidRDefault="00C25116" w:rsidP="00B01A98">
      <w:pPr>
        <w:autoSpaceDE w:val="0"/>
        <w:autoSpaceDN w:val="0"/>
        <w:adjustRightInd w:val="0"/>
        <w:rPr>
          <w:rFonts w:asciiTheme="minorHAnsi" w:hAnsiTheme="minorHAnsi" w:cstheme="minorHAnsi"/>
          <w:i/>
          <w:iCs/>
        </w:rPr>
      </w:pPr>
      <w:r>
        <w:rPr>
          <w:rFonts w:asciiTheme="minorHAnsi" w:hAnsiTheme="minorHAnsi" w:cstheme="minorHAnsi"/>
          <w:i/>
          <w:iCs/>
        </w:rPr>
        <w:t xml:space="preserve">PASC discussed the genetic testing and associated proposed fees, with members noting that there were different approaches to testing and that the applicant had not specified what approach would be taken. The assessment will need to specify the approach and, based on this, justify the proposed fees. </w:t>
      </w:r>
    </w:p>
    <w:p w14:paraId="162BB7F6" w14:textId="77777777" w:rsidR="00C25116" w:rsidRDefault="00C25116" w:rsidP="00C25116">
      <w:pPr>
        <w:autoSpaceDE w:val="0"/>
        <w:autoSpaceDN w:val="0"/>
        <w:adjustRightInd w:val="0"/>
        <w:spacing w:line="23" w:lineRule="atLeast"/>
        <w:rPr>
          <w:rFonts w:asciiTheme="minorHAnsi" w:hAnsiTheme="minorHAnsi" w:cstheme="minorBidi"/>
          <w:i/>
        </w:rPr>
      </w:pPr>
      <w:r w:rsidRPr="3D6B2ADB">
        <w:rPr>
          <w:rFonts w:asciiTheme="minorHAnsi" w:hAnsiTheme="minorHAnsi" w:cstheme="minorBidi"/>
          <w:i/>
        </w:rPr>
        <w:t xml:space="preserve">PASC considered the proposed fees to be high and unsupported, and </w:t>
      </w:r>
      <w:r w:rsidRPr="37C96EDD">
        <w:rPr>
          <w:rFonts w:asciiTheme="minorHAnsi" w:hAnsiTheme="minorHAnsi" w:cstheme="minorBidi"/>
          <w:i/>
          <w:iCs/>
        </w:rPr>
        <w:t xml:space="preserve">instead should </w:t>
      </w:r>
      <w:r w:rsidRPr="6B5E1D1E">
        <w:rPr>
          <w:rFonts w:asciiTheme="minorHAnsi" w:hAnsiTheme="minorHAnsi" w:cstheme="minorBidi"/>
          <w:i/>
          <w:iCs/>
        </w:rPr>
        <w:t>reflect publicly available costs</w:t>
      </w:r>
      <w:r w:rsidRPr="0EDD6614">
        <w:rPr>
          <w:rFonts w:asciiTheme="minorHAnsi" w:hAnsiTheme="minorHAnsi" w:cstheme="minorBidi"/>
          <w:i/>
          <w:iCs/>
        </w:rPr>
        <w:t>.</w:t>
      </w:r>
      <w:r w:rsidRPr="6B5E1D1E">
        <w:rPr>
          <w:rFonts w:asciiTheme="minorHAnsi" w:hAnsiTheme="minorHAnsi" w:cstheme="minorBidi"/>
          <w:i/>
          <w:iCs/>
        </w:rPr>
        <w:t xml:space="preserve"> </w:t>
      </w:r>
      <w:r w:rsidRPr="5A629610">
        <w:rPr>
          <w:rFonts w:asciiTheme="minorHAnsi" w:hAnsiTheme="minorHAnsi" w:cstheme="minorBidi"/>
          <w:i/>
          <w:iCs/>
        </w:rPr>
        <w:t xml:space="preserve">PASC </w:t>
      </w:r>
      <w:r w:rsidRPr="26A54609">
        <w:rPr>
          <w:rFonts w:asciiTheme="minorHAnsi" w:hAnsiTheme="minorHAnsi" w:cstheme="minorBidi"/>
          <w:i/>
          <w:iCs/>
        </w:rPr>
        <w:t>stated</w:t>
      </w:r>
      <w:r w:rsidRPr="3D6B2ADB">
        <w:rPr>
          <w:rFonts w:asciiTheme="minorHAnsi" w:hAnsiTheme="minorHAnsi" w:cstheme="minorBidi"/>
          <w:i/>
        </w:rPr>
        <w:t xml:space="preserve"> that </w:t>
      </w:r>
      <w:r w:rsidRPr="0094387E">
        <w:rPr>
          <w:rFonts w:asciiTheme="minorHAnsi" w:hAnsiTheme="minorHAnsi" w:cstheme="minorBidi"/>
          <w:i/>
          <w:iCs/>
        </w:rPr>
        <w:t xml:space="preserve">if </w:t>
      </w:r>
      <w:r w:rsidRPr="6BAB235C">
        <w:rPr>
          <w:rFonts w:asciiTheme="minorHAnsi" w:hAnsiTheme="minorHAnsi" w:cstheme="minorBidi"/>
          <w:i/>
          <w:iCs/>
        </w:rPr>
        <w:t xml:space="preserve">the </w:t>
      </w:r>
      <w:r w:rsidRPr="43671A38">
        <w:rPr>
          <w:rFonts w:asciiTheme="minorHAnsi" w:hAnsiTheme="minorHAnsi" w:cstheme="minorBidi"/>
          <w:i/>
          <w:iCs/>
        </w:rPr>
        <w:t>fees</w:t>
      </w:r>
      <w:r w:rsidRPr="3D6B2ADB">
        <w:rPr>
          <w:rFonts w:asciiTheme="minorHAnsi" w:hAnsiTheme="minorHAnsi" w:cstheme="minorBidi"/>
          <w:i/>
        </w:rPr>
        <w:t xml:space="preserve"> </w:t>
      </w:r>
      <w:r w:rsidRPr="50F4ED0B">
        <w:rPr>
          <w:rFonts w:asciiTheme="minorHAnsi" w:hAnsiTheme="minorHAnsi" w:cstheme="minorBidi"/>
          <w:i/>
          <w:iCs/>
        </w:rPr>
        <w:t xml:space="preserve">remain </w:t>
      </w:r>
      <w:r w:rsidRPr="14A57C9D">
        <w:rPr>
          <w:rFonts w:asciiTheme="minorHAnsi" w:hAnsiTheme="minorHAnsi" w:cstheme="minorBidi"/>
          <w:i/>
          <w:iCs/>
        </w:rPr>
        <w:t>higher</w:t>
      </w:r>
      <w:r w:rsidRPr="50F4ED0B">
        <w:rPr>
          <w:rFonts w:asciiTheme="minorHAnsi" w:hAnsiTheme="minorHAnsi" w:cstheme="minorBidi"/>
          <w:i/>
          <w:iCs/>
        </w:rPr>
        <w:t>, this needs to</w:t>
      </w:r>
      <w:r w:rsidRPr="14A57C9D">
        <w:rPr>
          <w:rFonts w:asciiTheme="minorHAnsi" w:hAnsiTheme="minorHAnsi" w:cstheme="minorBidi"/>
          <w:i/>
          <w:iCs/>
        </w:rPr>
        <w:t xml:space="preserve"> </w:t>
      </w:r>
      <w:r w:rsidRPr="3D6B2ADB">
        <w:rPr>
          <w:rFonts w:asciiTheme="minorHAnsi" w:hAnsiTheme="minorHAnsi" w:cstheme="minorBidi"/>
          <w:i/>
        </w:rPr>
        <w:t xml:space="preserve">be justified in the assessment.  </w:t>
      </w:r>
    </w:p>
    <w:p w14:paraId="382AB275" w14:textId="263D04A7" w:rsidR="00C25116" w:rsidRPr="001C2A58" w:rsidRDefault="00C25116" w:rsidP="00C25116">
      <w:r>
        <w:rPr>
          <w:rFonts w:asciiTheme="minorHAnsi" w:hAnsiTheme="minorHAnsi" w:cstheme="minorBidi"/>
          <w:i/>
        </w:rPr>
        <w:t xml:space="preserve">Post-PASC, it was considered that a fee of $400 would be more appropriate for cascade testing than the applicant’s proposed fee of $1200 as $400 better aligned with existing MBS fees for </w:t>
      </w:r>
      <w:r w:rsidRPr="009B6922">
        <w:rPr>
          <w:rFonts w:asciiTheme="minorHAnsi" w:hAnsiTheme="minorHAnsi" w:cstheme="minorBidi"/>
          <w:i/>
        </w:rPr>
        <w:t>variant-specific cascade testing</w:t>
      </w:r>
      <w:r>
        <w:rPr>
          <w:rFonts w:asciiTheme="minorHAnsi" w:hAnsiTheme="minorHAnsi" w:cstheme="minorBidi"/>
          <w:i/>
        </w:rPr>
        <w:t xml:space="preserve"> for other conditions (e.g.</w:t>
      </w:r>
      <w:r w:rsidRPr="00A37592">
        <w:rPr>
          <w:rFonts w:asciiTheme="minorHAnsi" w:hAnsiTheme="minorHAnsi" w:cstheme="minorBidi"/>
          <w:i/>
        </w:rPr>
        <w:t xml:space="preserve"> </w:t>
      </w:r>
      <w:r>
        <w:rPr>
          <w:rFonts w:asciiTheme="minorHAnsi" w:hAnsiTheme="minorHAnsi" w:cstheme="minorBidi"/>
          <w:i/>
        </w:rPr>
        <w:t>item</w:t>
      </w:r>
      <w:r w:rsidRPr="00A37592">
        <w:rPr>
          <w:rFonts w:asciiTheme="minorHAnsi" w:hAnsiTheme="minorHAnsi" w:cstheme="minorBidi"/>
          <w:i/>
        </w:rPr>
        <w:t xml:space="preserve"> 73299 COL4A, 73361 monogenic, 73393 cardiomyopathy </w:t>
      </w:r>
      <w:r>
        <w:rPr>
          <w:rFonts w:asciiTheme="minorHAnsi" w:hAnsiTheme="minorHAnsi" w:cstheme="minorBidi"/>
          <w:i/>
        </w:rPr>
        <w:t>and</w:t>
      </w:r>
      <w:r w:rsidRPr="00A37592">
        <w:rPr>
          <w:rFonts w:asciiTheme="minorHAnsi" w:hAnsiTheme="minorHAnsi" w:cstheme="minorBidi"/>
          <w:i/>
        </w:rPr>
        <w:t xml:space="preserve"> 73443 hearing loss</w:t>
      </w:r>
      <w:r>
        <w:rPr>
          <w:rFonts w:asciiTheme="minorHAnsi" w:hAnsiTheme="minorHAnsi" w:cstheme="minorBidi"/>
          <w:i/>
        </w:rPr>
        <w:t>).</w:t>
      </w:r>
    </w:p>
    <w:p w14:paraId="6ACB0BD0" w14:textId="18484D0E" w:rsidR="004722E9" w:rsidRDefault="00B20352" w:rsidP="00E663ED">
      <w:r>
        <w:t xml:space="preserve">The proposed fees </w:t>
      </w:r>
      <w:r w:rsidR="00E66651">
        <w:t>can be</w:t>
      </w:r>
      <w:r>
        <w:t xml:space="preserve"> associated with high out-of-pocket costs, especially for patients diagnosed with iTTP. </w:t>
      </w:r>
      <w:r w:rsidR="00596BB4">
        <w:fldChar w:fldCharType="begin"/>
      </w:r>
      <w:r w:rsidR="00596BB4">
        <w:instrText xml:space="preserve"> REF _Ref192525842 \h </w:instrText>
      </w:r>
      <w:r w:rsidR="00596BB4">
        <w:fldChar w:fldCharType="separate"/>
      </w:r>
      <w:r w:rsidR="00AE1C62">
        <w:t xml:space="preserve">Table </w:t>
      </w:r>
      <w:r w:rsidR="00AE1C62">
        <w:rPr>
          <w:noProof/>
        </w:rPr>
        <w:t>12</w:t>
      </w:r>
      <w:r w:rsidR="00596BB4">
        <w:fldChar w:fldCharType="end"/>
      </w:r>
      <w:r w:rsidR="00596BB4">
        <w:t xml:space="preserve"> </w:t>
      </w:r>
      <w:r w:rsidR="003B43E5">
        <w:t xml:space="preserve">shows the proposed </w:t>
      </w:r>
      <w:r w:rsidR="002E6695">
        <w:t xml:space="preserve">fee </w:t>
      </w:r>
      <w:r w:rsidR="003B43E5">
        <w:t xml:space="preserve">and </w:t>
      </w:r>
      <w:r w:rsidR="002E6695">
        <w:t xml:space="preserve">benefits </w:t>
      </w:r>
      <w:r w:rsidR="003B43E5">
        <w:t xml:space="preserve">payable for each of the tests in the settings the tests are most likely to be used. It is assumed the ADAMTS13 activity testing and </w:t>
      </w:r>
      <w:r w:rsidR="00C93EBE">
        <w:t>anti-</w:t>
      </w:r>
      <w:r w:rsidR="003B43E5">
        <w:t>ADAMTS13 autoantibod</w:t>
      </w:r>
      <w:r w:rsidR="00D23B5E">
        <w:t>y</w:t>
      </w:r>
      <w:r w:rsidR="003B43E5">
        <w:t xml:space="preserve"> testing performed during acute episodes (Test 1 and Test 2 of PICO 1) would be performed on inpatients, so the 75% Benefit would apply. The 85% Benefit would apply to genetic testing (PICO 1 for index patient, PICO 2 for cascade testing) and monitoring of ADAMTS13 activity (PICO 3). </w:t>
      </w:r>
      <w:r w:rsidR="001158F2">
        <w:t xml:space="preserve">The </w:t>
      </w:r>
      <w:r w:rsidR="001158F2" w:rsidRPr="007B050D">
        <w:t>Greatest Permissible Gap</w:t>
      </w:r>
      <w:r w:rsidR="001158F2">
        <w:t xml:space="preserve"> (GPG) would apply to all test conducted on out-patients, which is</w:t>
      </w:r>
      <w:r w:rsidR="003B43E5">
        <w:t xml:space="preserve"> $102.40 (as of 01 November 2024)</w:t>
      </w:r>
      <w:r w:rsidR="001158F2">
        <w:t>.</w:t>
      </w:r>
    </w:p>
    <w:p w14:paraId="018718D7" w14:textId="16995312" w:rsidR="004462D7" w:rsidRDefault="004722E9" w:rsidP="004722E9">
      <w:pPr>
        <w:pStyle w:val="Caption"/>
      </w:pPr>
      <w:bookmarkStart w:id="22" w:name="_Ref192525842"/>
      <w:r>
        <w:t xml:space="preserve">Table </w:t>
      </w:r>
      <w:r>
        <w:fldChar w:fldCharType="begin"/>
      </w:r>
      <w:r>
        <w:instrText xml:space="preserve"> SEQ Table \* ARABIC </w:instrText>
      </w:r>
      <w:r>
        <w:fldChar w:fldCharType="separate"/>
      </w:r>
      <w:r w:rsidR="00AE1C62" w:rsidRPr="27F04D23">
        <w:rPr>
          <w:noProof/>
        </w:rPr>
        <w:t>12</w:t>
      </w:r>
      <w:r>
        <w:fldChar w:fldCharType="end"/>
      </w:r>
      <w:bookmarkEnd w:id="22"/>
      <w:r>
        <w:tab/>
      </w:r>
      <w:r w:rsidR="00D62DB6">
        <w:t>Out-of-pocket</w:t>
      </w:r>
      <w:r w:rsidR="007824DC">
        <w:t xml:space="preserve"> costs per test based on proposed </w:t>
      </w:r>
      <w:r w:rsidR="006959B4">
        <w:t>MBS b</w:t>
      </w:r>
      <w:r w:rsidR="007824DC">
        <w:t>enefits</w:t>
      </w:r>
      <w:r w:rsidR="00682289">
        <w:t xml:space="preserve"> for ADAMTS13 testing</w:t>
      </w:r>
    </w:p>
    <w:tbl>
      <w:tblPr>
        <w:tblStyle w:val="TableGrid"/>
        <w:tblW w:w="5000" w:type="pct"/>
        <w:tblInd w:w="0" w:type="dxa"/>
        <w:tblLook w:val="04A0" w:firstRow="1" w:lastRow="0" w:firstColumn="1" w:lastColumn="0" w:noHBand="0" w:noVBand="1"/>
      </w:tblPr>
      <w:tblGrid>
        <w:gridCol w:w="2263"/>
        <w:gridCol w:w="1277"/>
        <w:gridCol w:w="1558"/>
        <w:gridCol w:w="1418"/>
        <w:gridCol w:w="1455"/>
        <w:gridCol w:w="1600"/>
      </w:tblGrid>
      <w:tr w:rsidR="002B1FE7" w14:paraId="34A58F40" w14:textId="2DBA7538" w:rsidTr="00B01A98">
        <w:tc>
          <w:tcPr>
            <w:tcW w:w="1182" w:type="pct"/>
            <w:vAlign w:val="center"/>
          </w:tcPr>
          <w:p w14:paraId="62B27F50" w14:textId="31EE3E75" w:rsidR="00696A79" w:rsidRPr="007824DC" w:rsidRDefault="007824DC" w:rsidP="00F8391D">
            <w:pPr>
              <w:pStyle w:val="TableText0"/>
              <w:rPr>
                <w:b/>
                <w:bCs/>
              </w:rPr>
            </w:pPr>
            <w:r w:rsidRPr="007824DC">
              <w:rPr>
                <w:b/>
                <w:bCs/>
              </w:rPr>
              <w:t>Setting, test and PICO</w:t>
            </w:r>
          </w:p>
        </w:tc>
        <w:tc>
          <w:tcPr>
            <w:tcW w:w="667" w:type="pct"/>
            <w:vAlign w:val="center"/>
          </w:tcPr>
          <w:p w14:paraId="74CB0F7A" w14:textId="2511BBEC" w:rsidR="00696A79" w:rsidRDefault="00696A79" w:rsidP="002B1FE7">
            <w:pPr>
              <w:pStyle w:val="TableText0"/>
              <w:jc w:val="center"/>
            </w:pPr>
            <w:r w:rsidRPr="00814641">
              <w:rPr>
                <w:b/>
                <w:bCs/>
              </w:rPr>
              <w:t>In-patient</w:t>
            </w:r>
            <w:r>
              <w:t xml:space="preserve"> ADAMTS13 activity test</w:t>
            </w:r>
            <w:r w:rsidR="00BB407C">
              <w:br/>
            </w:r>
            <w:r w:rsidRPr="00BA6A50">
              <w:t>(</w:t>
            </w:r>
            <w:r w:rsidRPr="00885291">
              <w:t>PICO 1</w:t>
            </w:r>
            <w:r>
              <w:t>)</w:t>
            </w:r>
          </w:p>
        </w:tc>
        <w:tc>
          <w:tcPr>
            <w:tcW w:w="814" w:type="pct"/>
            <w:vAlign w:val="center"/>
          </w:tcPr>
          <w:p w14:paraId="3294E5F0" w14:textId="22D074A0" w:rsidR="00076CBE" w:rsidRDefault="00696A79" w:rsidP="002B1FE7">
            <w:pPr>
              <w:pStyle w:val="TableText0"/>
              <w:jc w:val="center"/>
            </w:pPr>
            <w:r w:rsidRPr="00814641">
              <w:rPr>
                <w:b/>
                <w:bCs/>
              </w:rPr>
              <w:t>In-patient</w:t>
            </w:r>
          </w:p>
          <w:p w14:paraId="2D1DBF58" w14:textId="6880DC6B" w:rsidR="00696A79" w:rsidRDefault="0078213D" w:rsidP="002B1FE7">
            <w:pPr>
              <w:pStyle w:val="TableText0"/>
              <w:jc w:val="center"/>
            </w:pPr>
            <w:r>
              <w:t>Anti-</w:t>
            </w:r>
            <w:r w:rsidR="00696A79">
              <w:t xml:space="preserve">ADAMTS13 autoantibody </w:t>
            </w:r>
            <w:r w:rsidR="00696A79" w:rsidRPr="00BA6A50">
              <w:t>test</w:t>
            </w:r>
            <w:r w:rsidR="00BB407C">
              <w:br/>
            </w:r>
            <w:r w:rsidR="00696A79" w:rsidRPr="00BA6A50">
              <w:t>(</w:t>
            </w:r>
            <w:r w:rsidR="00696A79" w:rsidRPr="00885291">
              <w:t>PICO 1</w:t>
            </w:r>
            <w:r w:rsidR="00696A79">
              <w:t>)</w:t>
            </w:r>
          </w:p>
        </w:tc>
        <w:tc>
          <w:tcPr>
            <w:tcW w:w="741" w:type="pct"/>
            <w:vAlign w:val="center"/>
          </w:tcPr>
          <w:p w14:paraId="729A0BAD" w14:textId="34EC18AD" w:rsidR="00696A79" w:rsidRPr="00814641" w:rsidRDefault="00696A79" w:rsidP="002B1FE7">
            <w:pPr>
              <w:pStyle w:val="TableText0"/>
              <w:jc w:val="center"/>
              <w:rPr>
                <w:b/>
                <w:bCs/>
              </w:rPr>
            </w:pPr>
            <w:r w:rsidRPr="00814641">
              <w:rPr>
                <w:b/>
                <w:bCs/>
              </w:rPr>
              <w:t>Out-patient</w:t>
            </w:r>
            <w:r>
              <w:t xml:space="preserve"> genetic test of index patient </w:t>
            </w:r>
            <w:r w:rsidRPr="00696A79">
              <w:t>(</w:t>
            </w:r>
            <w:r w:rsidRPr="00885291">
              <w:t>PICO 1</w:t>
            </w:r>
            <w:r>
              <w:t>)</w:t>
            </w:r>
          </w:p>
        </w:tc>
        <w:tc>
          <w:tcPr>
            <w:tcW w:w="760" w:type="pct"/>
            <w:vAlign w:val="center"/>
          </w:tcPr>
          <w:p w14:paraId="482C241C" w14:textId="53EA0A6A" w:rsidR="00696A79" w:rsidRPr="00814641" w:rsidRDefault="00696A79" w:rsidP="002B1FE7">
            <w:pPr>
              <w:pStyle w:val="TableText0"/>
              <w:jc w:val="center"/>
              <w:rPr>
                <w:b/>
                <w:bCs/>
              </w:rPr>
            </w:pPr>
            <w:r w:rsidRPr="00814641">
              <w:rPr>
                <w:b/>
                <w:bCs/>
              </w:rPr>
              <w:t>Out-patient</w:t>
            </w:r>
            <w:r>
              <w:t xml:space="preserve"> cascade testing</w:t>
            </w:r>
            <w:r w:rsidR="0052326D">
              <w:br/>
            </w:r>
            <w:r w:rsidRPr="0052326D">
              <w:t>(</w:t>
            </w:r>
            <w:r w:rsidRPr="00885291">
              <w:t xml:space="preserve">PICO </w:t>
            </w:r>
            <w:r>
              <w:t>2)</w:t>
            </w:r>
          </w:p>
        </w:tc>
        <w:tc>
          <w:tcPr>
            <w:tcW w:w="836" w:type="pct"/>
            <w:vAlign w:val="center"/>
          </w:tcPr>
          <w:p w14:paraId="69426EE7" w14:textId="41C75C5A" w:rsidR="00696A79" w:rsidRDefault="00696A79" w:rsidP="002B1FE7">
            <w:pPr>
              <w:pStyle w:val="TableText0"/>
              <w:jc w:val="center"/>
            </w:pPr>
            <w:r w:rsidRPr="00814641">
              <w:rPr>
                <w:b/>
                <w:bCs/>
              </w:rPr>
              <w:t>Out-patient</w:t>
            </w:r>
            <w:r>
              <w:t xml:space="preserve"> ADAMTS13 activity monitoring</w:t>
            </w:r>
            <w:r w:rsidRPr="00193234">
              <w:t xml:space="preserve"> </w:t>
            </w:r>
            <w:r w:rsidR="0052326D">
              <w:br/>
            </w:r>
            <w:r w:rsidRPr="00193234">
              <w:t>(PICO 3)</w:t>
            </w:r>
          </w:p>
        </w:tc>
      </w:tr>
      <w:tr w:rsidR="002B1FE7" w14:paraId="5D87DCEF" w14:textId="0867EA9A" w:rsidTr="002B1FE7">
        <w:tc>
          <w:tcPr>
            <w:tcW w:w="1182" w:type="pct"/>
          </w:tcPr>
          <w:p w14:paraId="4E756357" w14:textId="6C3B2F4D" w:rsidR="00696A79" w:rsidRDefault="00696A79" w:rsidP="00696A79">
            <w:pPr>
              <w:pStyle w:val="TableText0"/>
            </w:pPr>
            <w:r>
              <w:t>Proposed</w:t>
            </w:r>
            <w:r w:rsidR="006B7841">
              <w:t xml:space="preserve"> </w:t>
            </w:r>
            <w:r w:rsidR="002E6695">
              <w:t>Fee</w:t>
            </w:r>
          </w:p>
        </w:tc>
        <w:tc>
          <w:tcPr>
            <w:tcW w:w="667" w:type="pct"/>
            <w:vAlign w:val="center"/>
          </w:tcPr>
          <w:p w14:paraId="0870D953" w14:textId="1FD8CA69" w:rsidR="00696A79" w:rsidRDefault="00696A79" w:rsidP="002B1FE7">
            <w:pPr>
              <w:pStyle w:val="TableText0"/>
              <w:jc w:val="center"/>
            </w:pPr>
            <w:r>
              <w:t>$700</w:t>
            </w:r>
            <w:r w:rsidR="00583098">
              <w:t>.00</w:t>
            </w:r>
          </w:p>
        </w:tc>
        <w:tc>
          <w:tcPr>
            <w:tcW w:w="814" w:type="pct"/>
            <w:vAlign w:val="center"/>
          </w:tcPr>
          <w:p w14:paraId="6C4DFB06" w14:textId="128CAAE9" w:rsidR="00696A79" w:rsidRDefault="00696A79" w:rsidP="002B1FE7">
            <w:pPr>
              <w:pStyle w:val="TableText0"/>
              <w:jc w:val="center"/>
            </w:pPr>
            <w:r>
              <w:t>$1,050</w:t>
            </w:r>
            <w:r w:rsidR="00583098">
              <w:t>.00</w:t>
            </w:r>
          </w:p>
        </w:tc>
        <w:tc>
          <w:tcPr>
            <w:tcW w:w="741" w:type="pct"/>
            <w:vAlign w:val="center"/>
          </w:tcPr>
          <w:p w14:paraId="7C7B15A8" w14:textId="5B012700" w:rsidR="00696A79" w:rsidRDefault="00696A79" w:rsidP="002B1FE7">
            <w:pPr>
              <w:pStyle w:val="TableText0"/>
              <w:jc w:val="center"/>
            </w:pPr>
            <w:r>
              <w:t>$1,200</w:t>
            </w:r>
            <w:r w:rsidR="00583098">
              <w:t>.00</w:t>
            </w:r>
          </w:p>
        </w:tc>
        <w:tc>
          <w:tcPr>
            <w:tcW w:w="760" w:type="pct"/>
            <w:vAlign w:val="center"/>
          </w:tcPr>
          <w:p w14:paraId="02E5ED31" w14:textId="21FD698E" w:rsidR="00696A79" w:rsidRDefault="00696A79" w:rsidP="002B1FE7">
            <w:pPr>
              <w:pStyle w:val="TableText0"/>
              <w:jc w:val="center"/>
            </w:pPr>
            <w:r>
              <w:t>$1,200</w:t>
            </w:r>
            <w:r w:rsidR="00583098">
              <w:t>.00</w:t>
            </w:r>
          </w:p>
        </w:tc>
        <w:tc>
          <w:tcPr>
            <w:tcW w:w="836" w:type="pct"/>
            <w:vAlign w:val="center"/>
          </w:tcPr>
          <w:p w14:paraId="06A40607" w14:textId="463384B3" w:rsidR="00696A79" w:rsidRDefault="00696A79" w:rsidP="002B1FE7">
            <w:pPr>
              <w:pStyle w:val="TableText0"/>
              <w:jc w:val="center"/>
            </w:pPr>
            <w:r>
              <w:t>$700</w:t>
            </w:r>
            <w:r w:rsidR="00583098">
              <w:t>.00</w:t>
            </w:r>
          </w:p>
        </w:tc>
      </w:tr>
      <w:tr w:rsidR="002B1FE7" w14:paraId="585164F7" w14:textId="7A5F1054" w:rsidTr="002B1FE7">
        <w:tc>
          <w:tcPr>
            <w:tcW w:w="1182" w:type="pct"/>
          </w:tcPr>
          <w:p w14:paraId="4033A4FA" w14:textId="70AE89EE" w:rsidR="00696A79" w:rsidRDefault="00696A79" w:rsidP="00696A79">
            <w:pPr>
              <w:pStyle w:val="TableText0"/>
            </w:pPr>
            <w:r>
              <w:t>Benefit payable</w:t>
            </w:r>
            <w:r w:rsidR="00BB407C">
              <w:t xml:space="preserve"> </w:t>
            </w:r>
            <w:r w:rsidR="002E50D8">
              <w:t>in</w:t>
            </w:r>
            <w:r w:rsidR="00BB407C">
              <w:t xml:space="preserve"> </w:t>
            </w:r>
            <w:r w:rsidR="00954132">
              <w:t>setting</w:t>
            </w:r>
            <w:r w:rsidR="006B7841">
              <w:t xml:space="preserve"> per test</w:t>
            </w:r>
          </w:p>
        </w:tc>
        <w:tc>
          <w:tcPr>
            <w:tcW w:w="667" w:type="pct"/>
            <w:vAlign w:val="center"/>
          </w:tcPr>
          <w:p w14:paraId="184CD0BB" w14:textId="38E35156" w:rsidR="00696A79" w:rsidRDefault="00583098" w:rsidP="002B1FE7">
            <w:pPr>
              <w:pStyle w:val="TableText0"/>
              <w:jc w:val="center"/>
            </w:pPr>
            <w:r>
              <w:t>$525.00</w:t>
            </w:r>
          </w:p>
        </w:tc>
        <w:tc>
          <w:tcPr>
            <w:tcW w:w="814" w:type="pct"/>
            <w:vAlign w:val="center"/>
          </w:tcPr>
          <w:p w14:paraId="55F05B77" w14:textId="151C92BD" w:rsidR="00696A79" w:rsidRDefault="00383914" w:rsidP="002B1FE7">
            <w:pPr>
              <w:pStyle w:val="TableText0"/>
              <w:jc w:val="center"/>
            </w:pPr>
            <w:r>
              <w:t>$787.50</w:t>
            </w:r>
          </w:p>
        </w:tc>
        <w:tc>
          <w:tcPr>
            <w:tcW w:w="741" w:type="pct"/>
            <w:vAlign w:val="center"/>
          </w:tcPr>
          <w:p w14:paraId="6B5EB08A" w14:textId="490FB40E" w:rsidR="00696A79" w:rsidRPr="000F2263" w:rsidRDefault="000F2263" w:rsidP="002B1FE7">
            <w:pPr>
              <w:pStyle w:val="TableText0"/>
              <w:jc w:val="center"/>
              <w:rPr>
                <w:i/>
                <w:iCs/>
              </w:rPr>
            </w:pPr>
            <w:r w:rsidRPr="000F2263">
              <w:rPr>
                <w:i/>
                <w:iCs/>
              </w:rPr>
              <w:t>GPG applies</w:t>
            </w:r>
          </w:p>
        </w:tc>
        <w:tc>
          <w:tcPr>
            <w:tcW w:w="760" w:type="pct"/>
            <w:vAlign w:val="center"/>
          </w:tcPr>
          <w:p w14:paraId="5B55EFE4" w14:textId="3A869EC7" w:rsidR="00696A79" w:rsidRPr="000F2263" w:rsidRDefault="000F2263" w:rsidP="002B1FE7">
            <w:pPr>
              <w:pStyle w:val="TableText0"/>
              <w:jc w:val="center"/>
              <w:rPr>
                <w:i/>
                <w:iCs/>
              </w:rPr>
            </w:pPr>
            <w:r w:rsidRPr="000F2263">
              <w:rPr>
                <w:i/>
                <w:iCs/>
              </w:rPr>
              <w:t>GPG applies</w:t>
            </w:r>
          </w:p>
        </w:tc>
        <w:tc>
          <w:tcPr>
            <w:tcW w:w="836" w:type="pct"/>
            <w:vAlign w:val="center"/>
          </w:tcPr>
          <w:p w14:paraId="00F1D3A7" w14:textId="59860CA9" w:rsidR="00696A79" w:rsidRPr="000F2263" w:rsidRDefault="000F2263" w:rsidP="002B1FE7">
            <w:pPr>
              <w:pStyle w:val="TableText0"/>
              <w:jc w:val="center"/>
              <w:rPr>
                <w:i/>
                <w:iCs/>
              </w:rPr>
            </w:pPr>
            <w:r w:rsidRPr="000F2263">
              <w:rPr>
                <w:i/>
                <w:iCs/>
              </w:rPr>
              <w:t>GPG applies</w:t>
            </w:r>
          </w:p>
        </w:tc>
      </w:tr>
      <w:tr w:rsidR="002B1FE7" w14:paraId="54F53443" w14:textId="468EBFB3" w:rsidTr="002B1FE7">
        <w:tc>
          <w:tcPr>
            <w:tcW w:w="1182" w:type="pct"/>
          </w:tcPr>
          <w:p w14:paraId="5A2F9431" w14:textId="7AE1EB9D" w:rsidR="00696A79" w:rsidRDefault="00696A79" w:rsidP="00696A79">
            <w:pPr>
              <w:pStyle w:val="TableText0"/>
            </w:pPr>
            <w:r>
              <w:t>OOP costs</w:t>
            </w:r>
            <w:r w:rsidR="006B7841">
              <w:t xml:space="preserve"> per</w:t>
            </w:r>
            <w:r w:rsidR="002E50D8">
              <w:t xml:space="preserve"> test</w:t>
            </w:r>
          </w:p>
        </w:tc>
        <w:tc>
          <w:tcPr>
            <w:tcW w:w="667" w:type="pct"/>
            <w:vAlign w:val="center"/>
          </w:tcPr>
          <w:p w14:paraId="6E550034" w14:textId="51CD7F3F" w:rsidR="00696A79" w:rsidRDefault="007824DC" w:rsidP="002B1FE7">
            <w:pPr>
              <w:pStyle w:val="TableText0"/>
              <w:jc w:val="center"/>
            </w:pPr>
            <w:r>
              <w:t>$175.0</w:t>
            </w:r>
            <w:r w:rsidR="00335D72">
              <w:t>0</w:t>
            </w:r>
          </w:p>
        </w:tc>
        <w:tc>
          <w:tcPr>
            <w:tcW w:w="814" w:type="pct"/>
            <w:vAlign w:val="center"/>
          </w:tcPr>
          <w:p w14:paraId="4DF5B404" w14:textId="7ED5F718" w:rsidR="00696A79" w:rsidRDefault="006B7841" w:rsidP="002B1FE7">
            <w:pPr>
              <w:pStyle w:val="TableText0"/>
              <w:jc w:val="center"/>
            </w:pPr>
            <w:r>
              <w:t>$262.50</w:t>
            </w:r>
          </w:p>
        </w:tc>
        <w:tc>
          <w:tcPr>
            <w:tcW w:w="741" w:type="pct"/>
            <w:vAlign w:val="center"/>
          </w:tcPr>
          <w:p w14:paraId="4C7B2E53" w14:textId="690AC3AB" w:rsidR="00696A79" w:rsidRDefault="000F2263" w:rsidP="002B1FE7">
            <w:pPr>
              <w:pStyle w:val="TableText0"/>
              <w:jc w:val="center"/>
            </w:pPr>
            <w:r>
              <w:t>$102.40</w:t>
            </w:r>
          </w:p>
        </w:tc>
        <w:tc>
          <w:tcPr>
            <w:tcW w:w="760" w:type="pct"/>
            <w:vAlign w:val="center"/>
          </w:tcPr>
          <w:p w14:paraId="659F47A7" w14:textId="6D394776" w:rsidR="00696A79" w:rsidRDefault="000F2263" w:rsidP="002B1FE7">
            <w:pPr>
              <w:pStyle w:val="TableText0"/>
              <w:jc w:val="center"/>
            </w:pPr>
            <w:r>
              <w:t>$102.40</w:t>
            </w:r>
          </w:p>
        </w:tc>
        <w:tc>
          <w:tcPr>
            <w:tcW w:w="836" w:type="pct"/>
            <w:vAlign w:val="center"/>
          </w:tcPr>
          <w:p w14:paraId="6607D14C" w14:textId="49776085" w:rsidR="00696A79" w:rsidRDefault="000F2263" w:rsidP="002B1FE7">
            <w:pPr>
              <w:pStyle w:val="TableText0"/>
              <w:jc w:val="center"/>
            </w:pPr>
            <w:r>
              <w:t>$102.40</w:t>
            </w:r>
          </w:p>
        </w:tc>
      </w:tr>
    </w:tbl>
    <w:p w14:paraId="38822AE4" w14:textId="3E13483C" w:rsidR="00DC1E61" w:rsidRDefault="00CD291E" w:rsidP="006A1294">
      <w:pPr>
        <w:pStyle w:val="Tablenotes"/>
        <w:spacing w:after="0"/>
        <w:rPr>
          <w:lang w:val="en-GB" w:eastAsia="ja-JP"/>
        </w:rPr>
      </w:pPr>
      <w:r>
        <w:t>Source:</w:t>
      </w:r>
      <w:r w:rsidR="00DC1E61">
        <w:rPr>
          <w:lang w:val="en-GB" w:eastAsia="ja-JP"/>
        </w:rPr>
        <w:t xml:space="preserve"> prepared by the assessment group</w:t>
      </w:r>
      <w:r w:rsidR="00F10F1F">
        <w:rPr>
          <w:lang w:val="en-GB" w:eastAsia="ja-JP"/>
        </w:rPr>
        <w:t xml:space="preserve"> from </w:t>
      </w:r>
      <w:r w:rsidR="00785D5B">
        <w:rPr>
          <w:lang w:val="en-GB" w:eastAsia="ja-JP"/>
        </w:rPr>
        <w:t xml:space="preserve">benefits </w:t>
      </w:r>
      <w:r w:rsidR="00F10F1F">
        <w:rPr>
          <w:lang w:val="en-GB" w:eastAsia="ja-JP"/>
        </w:rPr>
        <w:t xml:space="preserve">proposed in </w:t>
      </w:r>
      <w:r w:rsidR="006C04B4">
        <w:t>Application 1796 for ADAMTS13 testing for TTP</w:t>
      </w:r>
      <w:r w:rsidR="00DC1E61">
        <w:rPr>
          <w:lang w:val="en-GB" w:eastAsia="ja-JP"/>
        </w:rPr>
        <w:t>.</w:t>
      </w:r>
    </w:p>
    <w:p w14:paraId="7C5A05B9" w14:textId="30528FC9" w:rsidR="004462D7" w:rsidRDefault="00D23421" w:rsidP="00A13226">
      <w:pPr>
        <w:pStyle w:val="Tablenotes"/>
        <w:spacing w:after="0"/>
      </w:pPr>
      <w:r>
        <w:t xml:space="preserve">GPG = </w:t>
      </w:r>
      <w:r w:rsidR="00B24A56" w:rsidRPr="00B24A56">
        <w:t>Greatest Permissible Gap</w:t>
      </w:r>
      <w:r w:rsidR="00B24A56">
        <w:t xml:space="preserve">; </w:t>
      </w:r>
      <w:r w:rsidR="00853A15">
        <w:t>OOP = out</w:t>
      </w:r>
      <w:r w:rsidR="006A1294">
        <w:t>-</w:t>
      </w:r>
      <w:r w:rsidR="00853A15">
        <w:t>of-pocket</w:t>
      </w:r>
      <w:r w:rsidR="00B24A56">
        <w:t xml:space="preserve">; </w:t>
      </w:r>
      <w:r w:rsidR="00B24A56" w:rsidRPr="00B24A56">
        <w:t xml:space="preserve">PICO = </w:t>
      </w:r>
      <w:r w:rsidR="00001A4B">
        <w:t>Population, Intervention, Comparator, Outcomes</w:t>
      </w:r>
      <w:r w:rsidR="00B24A56">
        <w:t>.</w:t>
      </w:r>
    </w:p>
    <w:p w14:paraId="5596B3B4" w14:textId="5CE326D3" w:rsidR="00A13226" w:rsidRDefault="00A13226" w:rsidP="005935FD">
      <w:pPr>
        <w:pStyle w:val="Tablenotes"/>
        <w:spacing w:after="240"/>
      </w:pPr>
      <w:r>
        <w:t>Note: GPG is $102.40 as of 01 November 2024.</w:t>
      </w:r>
    </w:p>
    <w:p w14:paraId="00FF4329" w14:textId="0305B8DB" w:rsidR="00CD291E" w:rsidRDefault="00CD291E" w:rsidP="007B2B2A">
      <w:r>
        <w:t xml:space="preserve">The total out-of-pocket costs would differ between populations. </w:t>
      </w:r>
      <w:r>
        <w:fldChar w:fldCharType="begin"/>
      </w:r>
      <w:r>
        <w:instrText xml:space="preserve"> REF _Ref192526033 \h </w:instrText>
      </w:r>
      <w:r>
        <w:fldChar w:fldCharType="separate"/>
      </w:r>
      <w:r w:rsidR="00AE1C62">
        <w:t xml:space="preserve">Table </w:t>
      </w:r>
      <w:r w:rsidR="00AE1C62">
        <w:rPr>
          <w:noProof/>
        </w:rPr>
        <w:t>13</w:t>
      </w:r>
      <w:r>
        <w:fldChar w:fldCharType="end"/>
      </w:r>
      <w:r>
        <w:t xml:space="preserve"> shows an estimate of likely out-of-pocket costs for </w:t>
      </w:r>
      <w:r w:rsidR="00D76324">
        <w:t xml:space="preserve">4 </w:t>
      </w:r>
      <w:r>
        <w:t xml:space="preserve">populations </w:t>
      </w:r>
      <w:r w:rsidR="005F1ACE">
        <w:t>– patients excluded from having TTP, patients with confirmed iTTP, patients with confirmed or excluded cTTP</w:t>
      </w:r>
      <w:r w:rsidR="00047DFE">
        <w:t>,</w:t>
      </w:r>
      <w:r w:rsidR="005F1ACE">
        <w:t xml:space="preserve"> and cascade testing.</w:t>
      </w:r>
      <w:r w:rsidR="00AD73C6">
        <w:t xml:space="preserve"> For patients with confirmed iTTP, where monitoring of ADAMTS13 activity levels is expected to be ongoing, total costs are shown for the first two years</w:t>
      </w:r>
      <w:r w:rsidR="006E6806">
        <w:t xml:space="preserve">, with ongoing annual costs ranging from </w:t>
      </w:r>
      <w:r w:rsidR="006E6806" w:rsidRPr="006E6806">
        <w:t xml:space="preserve">$204.80 </w:t>
      </w:r>
      <w:r w:rsidR="006E6806">
        <w:t>to</w:t>
      </w:r>
      <w:r w:rsidR="006E6806" w:rsidRPr="006E6806">
        <w:t xml:space="preserve"> $409.60</w:t>
      </w:r>
      <w:r w:rsidR="006E6806">
        <w:t>.</w:t>
      </w:r>
      <w:r w:rsidR="00E43BB2">
        <w:t xml:space="preserve"> It is noted, however, that patient out-</w:t>
      </w:r>
      <w:r w:rsidR="00A02127">
        <w:lastRenderedPageBreak/>
        <w:t xml:space="preserve">of-pocket costs </w:t>
      </w:r>
      <w:r w:rsidR="00C0579C">
        <w:t xml:space="preserve">may be impacted by other factors such as </w:t>
      </w:r>
      <w:r w:rsidR="00B80719">
        <w:t>the level of</w:t>
      </w:r>
      <w:r w:rsidR="00C0579C">
        <w:t xml:space="preserve"> </w:t>
      </w:r>
      <w:r w:rsidR="00E23BA9">
        <w:t>practitioners’ fees</w:t>
      </w:r>
      <w:r w:rsidR="00BD5D52">
        <w:t xml:space="preserve"> </w:t>
      </w:r>
      <w:r w:rsidR="00145ACB">
        <w:t xml:space="preserve">and </w:t>
      </w:r>
      <w:r w:rsidR="00B80719">
        <w:t xml:space="preserve">potential </w:t>
      </w:r>
      <w:r w:rsidR="005D496E">
        <w:t xml:space="preserve">rebates from private health </w:t>
      </w:r>
      <w:r w:rsidR="00CB69CC">
        <w:t>insurance</w:t>
      </w:r>
      <w:r w:rsidR="00F46925">
        <w:t>.</w:t>
      </w:r>
      <w:r w:rsidR="00BD5D52">
        <w:t xml:space="preserve"> </w:t>
      </w:r>
    </w:p>
    <w:p w14:paraId="46B887CB" w14:textId="7416DBA0" w:rsidR="00E61D70" w:rsidRDefault="004722E9" w:rsidP="004722E9">
      <w:pPr>
        <w:pStyle w:val="Caption"/>
      </w:pPr>
      <w:bookmarkStart w:id="23" w:name="_Ref192526033"/>
      <w:r>
        <w:t xml:space="preserve">Table </w:t>
      </w:r>
      <w:r>
        <w:fldChar w:fldCharType="begin"/>
      </w:r>
      <w:r>
        <w:instrText xml:space="preserve"> SEQ Table \* ARABIC </w:instrText>
      </w:r>
      <w:r>
        <w:fldChar w:fldCharType="separate"/>
      </w:r>
      <w:r w:rsidR="00AE1C62">
        <w:rPr>
          <w:noProof/>
        </w:rPr>
        <w:t>13</w:t>
      </w:r>
      <w:r>
        <w:fldChar w:fldCharType="end"/>
      </w:r>
      <w:bookmarkEnd w:id="23"/>
      <w:r>
        <w:tab/>
        <w:t xml:space="preserve">Likely out-of-pocket costs </w:t>
      </w:r>
      <w:r w:rsidR="00682289">
        <w:t xml:space="preserve">of ADAMTS13 testing </w:t>
      </w:r>
      <w:r>
        <w:t xml:space="preserve">for </w:t>
      </w:r>
      <w:r w:rsidR="00F92480">
        <w:t xml:space="preserve">4 </w:t>
      </w:r>
      <w:r>
        <w:t>populations</w:t>
      </w:r>
    </w:p>
    <w:tbl>
      <w:tblPr>
        <w:tblStyle w:val="TableGrid"/>
        <w:tblW w:w="0" w:type="auto"/>
        <w:tblInd w:w="0" w:type="dxa"/>
        <w:tblLayout w:type="fixed"/>
        <w:tblLook w:val="04A0" w:firstRow="1" w:lastRow="0" w:firstColumn="1" w:lastColumn="0" w:noHBand="0" w:noVBand="1"/>
      </w:tblPr>
      <w:tblGrid>
        <w:gridCol w:w="1980"/>
        <w:gridCol w:w="1276"/>
        <w:gridCol w:w="3260"/>
        <w:gridCol w:w="1701"/>
        <w:gridCol w:w="1354"/>
      </w:tblGrid>
      <w:tr w:rsidR="00E61D70" w14:paraId="31E1F6C3" w14:textId="77777777" w:rsidTr="003F0E9A">
        <w:tc>
          <w:tcPr>
            <w:tcW w:w="1980" w:type="dxa"/>
          </w:tcPr>
          <w:p w14:paraId="1C130E23" w14:textId="2874DFFE" w:rsidR="00E61D70" w:rsidRPr="00BA6A50" w:rsidRDefault="005A1091" w:rsidP="007F0C98">
            <w:pPr>
              <w:pStyle w:val="TableText0"/>
              <w:keepNext/>
              <w:rPr>
                <w:b/>
                <w:bCs/>
              </w:rPr>
            </w:pPr>
            <w:r w:rsidRPr="00BA6A50">
              <w:rPr>
                <w:b/>
                <w:bCs/>
              </w:rPr>
              <w:t>Testing</w:t>
            </w:r>
          </w:p>
        </w:tc>
        <w:tc>
          <w:tcPr>
            <w:tcW w:w="1276" w:type="dxa"/>
          </w:tcPr>
          <w:p w14:paraId="22120904" w14:textId="63F0E1DB" w:rsidR="00E61D70" w:rsidRPr="00B92247" w:rsidRDefault="00E61D70" w:rsidP="007F0C98">
            <w:pPr>
              <w:pStyle w:val="TableText0"/>
              <w:keepNext/>
              <w:jc w:val="center"/>
              <w:rPr>
                <w:b/>
                <w:bCs/>
              </w:rPr>
            </w:pPr>
            <w:r w:rsidRPr="00744BFB">
              <w:rPr>
                <w:b/>
                <w:bCs/>
              </w:rPr>
              <w:t>TTP excluded</w:t>
            </w:r>
            <w:r w:rsidR="00B92247">
              <w:rPr>
                <w:b/>
                <w:bCs/>
              </w:rPr>
              <w:br/>
            </w:r>
            <w:r w:rsidR="00B92247" w:rsidRPr="00B92247">
              <w:t>(PICO 1)</w:t>
            </w:r>
          </w:p>
        </w:tc>
        <w:tc>
          <w:tcPr>
            <w:tcW w:w="3260" w:type="dxa"/>
          </w:tcPr>
          <w:p w14:paraId="28F0B00D" w14:textId="0D1596DA" w:rsidR="00E61D70" w:rsidRPr="006D7896" w:rsidRDefault="006C7C3B" w:rsidP="007F0C98">
            <w:pPr>
              <w:pStyle w:val="TableText0"/>
              <w:keepNext/>
              <w:jc w:val="center"/>
              <w:rPr>
                <w:b/>
                <w:bCs/>
              </w:rPr>
            </w:pPr>
            <w:r w:rsidRPr="006D7896">
              <w:rPr>
                <w:b/>
                <w:bCs/>
              </w:rPr>
              <w:t xml:space="preserve">iTTP </w:t>
            </w:r>
            <w:r w:rsidR="006D7896" w:rsidRPr="006D7896">
              <w:rPr>
                <w:b/>
                <w:bCs/>
              </w:rPr>
              <w:t>confirmed</w:t>
            </w:r>
            <w:r w:rsidR="00B92247">
              <w:rPr>
                <w:b/>
                <w:bCs/>
              </w:rPr>
              <w:br/>
            </w:r>
            <w:r w:rsidR="00B92247" w:rsidRPr="00B92247">
              <w:t>(PICO 1</w:t>
            </w:r>
            <w:r w:rsidR="008B512C">
              <w:t xml:space="preserve"> &amp; PICO 3</w:t>
            </w:r>
            <w:r w:rsidR="00B92247" w:rsidRPr="00B92247">
              <w:t>)</w:t>
            </w:r>
          </w:p>
        </w:tc>
        <w:tc>
          <w:tcPr>
            <w:tcW w:w="1701" w:type="dxa"/>
          </w:tcPr>
          <w:p w14:paraId="349EB525" w14:textId="14EE3ADC" w:rsidR="00E61D70" w:rsidRPr="006D7896" w:rsidRDefault="006D7896" w:rsidP="007F0C98">
            <w:pPr>
              <w:pStyle w:val="TableText0"/>
              <w:keepNext/>
              <w:jc w:val="center"/>
              <w:rPr>
                <w:b/>
                <w:bCs/>
              </w:rPr>
            </w:pPr>
            <w:r w:rsidRPr="006D7896">
              <w:rPr>
                <w:b/>
                <w:bCs/>
              </w:rPr>
              <w:t>cTTP confirmed</w:t>
            </w:r>
            <w:r w:rsidR="005E70B7">
              <w:rPr>
                <w:b/>
                <w:bCs/>
              </w:rPr>
              <w:t xml:space="preserve"> or excluded</w:t>
            </w:r>
            <w:r w:rsidR="008B512C">
              <w:rPr>
                <w:b/>
                <w:bCs/>
              </w:rPr>
              <w:br/>
            </w:r>
            <w:r w:rsidR="008B512C" w:rsidRPr="00B92247">
              <w:t>(PICO 1)</w:t>
            </w:r>
          </w:p>
        </w:tc>
        <w:tc>
          <w:tcPr>
            <w:tcW w:w="1354" w:type="dxa"/>
          </w:tcPr>
          <w:p w14:paraId="47981ECA" w14:textId="07995855" w:rsidR="00E61D70" w:rsidRPr="006D7896" w:rsidRDefault="006D7896" w:rsidP="007F0C98">
            <w:pPr>
              <w:pStyle w:val="TableText0"/>
              <w:keepNext/>
              <w:jc w:val="center"/>
              <w:rPr>
                <w:b/>
                <w:bCs/>
              </w:rPr>
            </w:pPr>
            <w:r w:rsidRPr="006D7896">
              <w:rPr>
                <w:b/>
                <w:bCs/>
              </w:rPr>
              <w:t>Cascade te</w:t>
            </w:r>
            <w:r w:rsidR="008B512C">
              <w:rPr>
                <w:b/>
                <w:bCs/>
              </w:rPr>
              <w:t xml:space="preserve">st </w:t>
            </w:r>
            <w:r w:rsidR="008C0AA7">
              <w:rPr>
                <w:b/>
                <w:bCs/>
              </w:rPr>
              <w:br/>
            </w:r>
            <w:r w:rsidR="008B512C">
              <w:rPr>
                <w:b/>
                <w:bCs/>
              </w:rPr>
              <w:t>(</w:t>
            </w:r>
            <w:r w:rsidR="008F57E0">
              <w:rPr>
                <w:b/>
                <w:bCs/>
              </w:rPr>
              <w:t>p</w:t>
            </w:r>
            <w:r w:rsidR="00A44E84">
              <w:rPr>
                <w:b/>
                <w:bCs/>
              </w:rPr>
              <w:t xml:space="preserve">er </w:t>
            </w:r>
            <w:r w:rsidR="00CC1F1F">
              <w:rPr>
                <w:b/>
                <w:bCs/>
              </w:rPr>
              <w:t>sibling</w:t>
            </w:r>
            <w:r w:rsidR="00B92247">
              <w:rPr>
                <w:b/>
                <w:bCs/>
              </w:rPr>
              <w:t>)</w:t>
            </w:r>
            <w:r w:rsidR="008B512C">
              <w:rPr>
                <w:b/>
                <w:bCs/>
              </w:rPr>
              <w:t xml:space="preserve"> </w:t>
            </w:r>
            <w:r w:rsidR="008B512C" w:rsidRPr="00B92247">
              <w:t xml:space="preserve">(PICO </w:t>
            </w:r>
            <w:r w:rsidR="008B512C">
              <w:t>2</w:t>
            </w:r>
            <w:r w:rsidR="008B512C" w:rsidRPr="00B92247">
              <w:t>)</w:t>
            </w:r>
          </w:p>
        </w:tc>
      </w:tr>
      <w:tr w:rsidR="008C0AA7" w14:paraId="071BFD01" w14:textId="77777777" w:rsidTr="003F0E9A">
        <w:tc>
          <w:tcPr>
            <w:tcW w:w="1980" w:type="dxa"/>
          </w:tcPr>
          <w:p w14:paraId="44C46657" w14:textId="39E0B5D0" w:rsidR="008C0AA7" w:rsidRDefault="008C0AA7" w:rsidP="008C0AA7">
            <w:pPr>
              <w:pStyle w:val="TableText0"/>
              <w:keepNext/>
            </w:pPr>
            <w:r>
              <w:t>In-patient ADAMTS13 activity tests</w:t>
            </w:r>
          </w:p>
        </w:tc>
        <w:tc>
          <w:tcPr>
            <w:tcW w:w="1276" w:type="dxa"/>
          </w:tcPr>
          <w:p w14:paraId="3D96E6BB" w14:textId="2045204F" w:rsidR="008C0AA7" w:rsidRDefault="008C0AA7" w:rsidP="008C0AA7">
            <w:pPr>
              <w:pStyle w:val="TableText0"/>
              <w:keepNext/>
              <w:jc w:val="right"/>
            </w:pPr>
            <w:r>
              <w:t>$175.00</w:t>
            </w:r>
          </w:p>
        </w:tc>
        <w:tc>
          <w:tcPr>
            <w:tcW w:w="3260" w:type="dxa"/>
          </w:tcPr>
          <w:p w14:paraId="611E6694" w14:textId="16F543A7" w:rsidR="008C0AA7" w:rsidRDefault="008C0AA7" w:rsidP="008C0AA7">
            <w:pPr>
              <w:pStyle w:val="TableText0"/>
              <w:keepNext/>
              <w:jc w:val="right"/>
            </w:pPr>
            <w:r>
              <w:t>$175.00</w:t>
            </w:r>
          </w:p>
        </w:tc>
        <w:tc>
          <w:tcPr>
            <w:tcW w:w="1701" w:type="dxa"/>
          </w:tcPr>
          <w:p w14:paraId="66522304" w14:textId="5A31260C" w:rsidR="008C0AA7" w:rsidRDefault="008C0AA7" w:rsidP="008C0AA7">
            <w:pPr>
              <w:pStyle w:val="TableText0"/>
              <w:keepNext/>
              <w:jc w:val="right"/>
            </w:pPr>
            <w:r>
              <w:t>$175.00</w:t>
            </w:r>
          </w:p>
        </w:tc>
        <w:tc>
          <w:tcPr>
            <w:tcW w:w="1354" w:type="dxa"/>
          </w:tcPr>
          <w:p w14:paraId="781635D4" w14:textId="7F13DD34" w:rsidR="008C0AA7" w:rsidRDefault="008C0AA7" w:rsidP="008C0AA7">
            <w:pPr>
              <w:pStyle w:val="TableText0"/>
              <w:keepNext/>
              <w:jc w:val="right"/>
            </w:pPr>
            <w:r w:rsidRPr="001246AF">
              <w:t>–</w:t>
            </w:r>
          </w:p>
        </w:tc>
      </w:tr>
      <w:tr w:rsidR="008C0AA7" w14:paraId="5ABCD0B7" w14:textId="77777777" w:rsidTr="003F0E9A">
        <w:tc>
          <w:tcPr>
            <w:tcW w:w="1980" w:type="dxa"/>
            <w:tcBorders>
              <w:bottom w:val="single" w:sz="4" w:space="0" w:color="auto"/>
            </w:tcBorders>
          </w:tcPr>
          <w:p w14:paraId="57C5D3EC" w14:textId="67549C63" w:rsidR="008C0AA7" w:rsidRDefault="008C0AA7" w:rsidP="008C0AA7">
            <w:pPr>
              <w:pStyle w:val="TableText0"/>
              <w:keepNext/>
            </w:pPr>
            <w:r>
              <w:t xml:space="preserve">In-patient </w:t>
            </w:r>
            <w:r w:rsidR="00E53EBB">
              <w:t>anti-</w:t>
            </w:r>
            <w:r>
              <w:t>ADAMTS13 autoantibody tests</w:t>
            </w:r>
          </w:p>
        </w:tc>
        <w:tc>
          <w:tcPr>
            <w:tcW w:w="1276" w:type="dxa"/>
            <w:tcBorders>
              <w:bottom w:val="single" w:sz="4" w:space="0" w:color="auto"/>
            </w:tcBorders>
          </w:tcPr>
          <w:p w14:paraId="5B5FE64A" w14:textId="719084B6" w:rsidR="008C0AA7" w:rsidRDefault="008C0AA7" w:rsidP="008C0AA7">
            <w:pPr>
              <w:pStyle w:val="TableText0"/>
              <w:keepNext/>
              <w:jc w:val="right"/>
            </w:pPr>
            <w:r w:rsidRPr="002C72E3">
              <w:t>–</w:t>
            </w:r>
          </w:p>
        </w:tc>
        <w:tc>
          <w:tcPr>
            <w:tcW w:w="3260" w:type="dxa"/>
            <w:tcBorders>
              <w:bottom w:val="single" w:sz="4" w:space="0" w:color="auto"/>
            </w:tcBorders>
          </w:tcPr>
          <w:p w14:paraId="091291C2" w14:textId="60622FF3" w:rsidR="008C0AA7" w:rsidRDefault="008C0AA7" w:rsidP="008C0AA7">
            <w:pPr>
              <w:pStyle w:val="TableText0"/>
              <w:keepNext/>
              <w:jc w:val="right"/>
            </w:pPr>
            <w:r w:rsidRPr="008C77F4">
              <w:t>$262.50</w:t>
            </w:r>
          </w:p>
        </w:tc>
        <w:tc>
          <w:tcPr>
            <w:tcW w:w="1701" w:type="dxa"/>
            <w:tcBorders>
              <w:bottom w:val="single" w:sz="4" w:space="0" w:color="auto"/>
            </w:tcBorders>
          </w:tcPr>
          <w:p w14:paraId="286E7008" w14:textId="77BFA673" w:rsidR="008C0AA7" w:rsidRDefault="008C0AA7" w:rsidP="008C0AA7">
            <w:pPr>
              <w:pStyle w:val="TableText0"/>
              <w:keepNext/>
              <w:jc w:val="right"/>
            </w:pPr>
            <w:r w:rsidRPr="008C77F4">
              <w:t>$262.50</w:t>
            </w:r>
          </w:p>
        </w:tc>
        <w:tc>
          <w:tcPr>
            <w:tcW w:w="1354" w:type="dxa"/>
            <w:tcBorders>
              <w:bottom w:val="single" w:sz="4" w:space="0" w:color="auto"/>
            </w:tcBorders>
          </w:tcPr>
          <w:p w14:paraId="2FCCB15C" w14:textId="5CB540B3" w:rsidR="008C0AA7" w:rsidRDefault="008C0AA7" w:rsidP="008C0AA7">
            <w:pPr>
              <w:pStyle w:val="TableText0"/>
              <w:keepNext/>
              <w:jc w:val="right"/>
            </w:pPr>
            <w:r w:rsidRPr="001246AF">
              <w:t>–</w:t>
            </w:r>
          </w:p>
        </w:tc>
      </w:tr>
      <w:tr w:rsidR="00001683" w14:paraId="5931AD81" w14:textId="77777777" w:rsidTr="003F0E9A">
        <w:tc>
          <w:tcPr>
            <w:tcW w:w="1980" w:type="dxa"/>
            <w:tcBorders>
              <w:bottom w:val="nil"/>
            </w:tcBorders>
          </w:tcPr>
          <w:p w14:paraId="189FE276" w14:textId="2330B790" w:rsidR="00001683" w:rsidRDefault="00001683" w:rsidP="00001683">
            <w:pPr>
              <w:pStyle w:val="TableText0"/>
              <w:keepNext/>
            </w:pPr>
            <w:r>
              <w:t xml:space="preserve">Out-patient </w:t>
            </w:r>
          </w:p>
        </w:tc>
        <w:tc>
          <w:tcPr>
            <w:tcW w:w="1276" w:type="dxa"/>
            <w:tcBorders>
              <w:bottom w:val="nil"/>
            </w:tcBorders>
          </w:tcPr>
          <w:p w14:paraId="48BF8483" w14:textId="50402FFB" w:rsidR="00001683" w:rsidRDefault="00001683" w:rsidP="00001683">
            <w:pPr>
              <w:pStyle w:val="TableText0"/>
              <w:keepNext/>
              <w:jc w:val="right"/>
            </w:pPr>
            <w:r w:rsidRPr="002C72E3">
              <w:t>–</w:t>
            </w:r>
          </w:p>
        </w:tc>
        <w:tc>
          <w:tcPr>
            <w:tcW w:w="3260" w:type="dxa"/>
            <w:tcBorders>
              <w:bottom w:val="nil"/>
            </w:tcBorders>
          </w:tcPr>
          <w:p w14:paraId="764B5F8B" w14:textId="039B4393" w:rsidR="00001683" w:rsidRDefault="00001683" w:rsidP="00001683">
            <w:pPr>
              <w:pStyle w:val="TableText0"/>
              <w:keepNext/>
              <w:tabs>
                <w:tab w:val="right" w:pos="2835"/>
              </w:tabs>
            </w:pPr>
            <w:r>
              <w:t>Year 1 (8 tests)</w:t>
            </w:r>
            <w:r>
              <w:tab/>
              <w:t>$819.20</w:t>
            </w:r>
          </w:p>
        </w:tc>
        <w:tc>
          <w:tcPr>
            <w:tcW w:w="1701" w:type="dxa"/>
            <w:tcBorders>
              <w:bottom w:val="nil"/>
            </w:tcBorders>
          </w:tcPr>
          <w:p w14:paraId="449D3C0D" w14:textId="7D97A3D7" w:rsidR="00001683" w:rsidRDefault="00001683" w:rsidP="00001683">
            <w:pPr>
              <w:pStyle w:val="TableText0"/>
              <w:keepNext/>
              <w:jc w:val="right"/>
            </w:pPr>
            <w:r>
              <w:t>$204.80</w:t>
            </w:r>
            <w:r w:rsidRPr="00790298">
              <w:rPr>
                <w:vertAlign w:val="superscript"/>
              </w:rPr>
              <w:t>a</w:t>
            </w:r>
          </w:p>
        </w:tc>
        <w:tc>
          <w:tcPr>
            <w:tcW w:w="1354" w:type="dxa"/>
            <w:tcBorders>
              <w:bottom w:val="nil"/>
            </w:tcBorders>
          </w:tcPr>
          <w:p w14:paraId="5F158F92" w14:textId="7FFA592F" w:rsidR="00001683" w:rsidRDefault="00001683" w:rsidP="00001683">
            <w:pPr>
              <w:pStyle w:val="TableText0"/>
              <w:keepNext/>
              <w:jc w:val="right"/>
            </w:pPr>
            <w:r>
              <w:t>–</w:t>
            </w:r>
          </w:p>
        </w:tc>
      </w:tr>
      <w:tr w:rsidR="00001683" w14:paraId="5BA4CCF4" w14:textId="77777777" w:rsidTr="003F0E9A">
        <w:tc>
          <w:tcPr>
            <w:tcW w:w="1980" w:type="dxa"/>
            <w:tcBorders>
              <w:top w:val="nil"/>
            </w:tcBorders>
          </w:tcPr>
          <w:p w14:paraId="56B8BEA1" w14:textId="1EFEDCCA" w:rsidR="00001683" w:rsidRDefault="00001683" w:rsidP="00001683">
            <w:pPr>
              <w:pStyle w:val="TableText0"/>
              <w:keepNext/>
            </w:pPr>
            <w:r>
              <w:t>ADAMTS13 activity tests</w:t>
            </w:r>
          </w:p>
        </w:tc>
        <w:tc>
          <w:tcPr>
            <w:tcW w:w="1276" w:type="dxa"/>
            <w:tcBorders>
              <w:top w:val="nil"/>
            </w:tcBorders>
          </w:tcPr>
          <w:p w14:paraId="0875FFA8" w14:textId="497D7F62" w:rsidR="00001683" w:rsidRDefault="00001683" w:rsidP="00001683">
            <w:pPr>
              <w:pStyle w:val="TableText0"/>
              <w:keepNext/>
              <w:jc w:val="right"/>
            </w:pPr>
            <w:r w:rsidRPr="002C72E3">
              <w:t>–</w:t>
            </w:r>
          </w:p>
        </w:tc>
        <w:tc>
          <w:tcPr>
            <w:tcW w:w="3260" w:type="dxa"/>
            <w:tcBorders>
              <w:top w:val="nil"/>
            </w:tcBorders>
          </w:tcPr>
          <w:p w14:paraId="31DD895A" w14:textId="1E2D9E1F" w:rsidR="00001683" w:rsidRDefault="00001683" w:rsidP="00001683">
            <w:pPr>
              <w:pStyle w:val="TableText0"/>
              <w:keepNext/>
              <w:tabs>
                <w:tab w:val="right" w:pos="2835"/>
              </w:tabs>
            </w:pPr>
            <w:r>
              <w:t>Per year thereafter</w:t>
            </w:r>
            <w:r>
              <w:br/>
              <w:t>(2 – 4 tests)</w:t>
            </w:r>
            <w:r>
              <w:tab/>
              <w:t>$204.80 – $409.60</w:t>
            </w:r>
          </w:p>
        </w:tc>
        <w:tc>
          <w:tcPr>
            <w:tcW w:w="1701" w:type="dxa"/>
            <w:tcBorders>
              <w:top w:val="nil"/>
            </w:tcBorders>
          </w:tcPr>
          <w:p w14:paraId="1AEB19D0" w14:textId="77777777" w:rsidR="00001683" w:rsidRDefault="00001683" w:rsidP="00001683">
            <w:pPr>
              <w:pStyle w:val="TableText0"/>
              <w:keepNext/>
              <w:jc w:val="right"/>
            </w:pPr>
          </w:p>
        </w:tc>
        <w:tc>
          <w:tcPr>
            <w:tcW w:w="1354" w:type="dxa"/>
            <w:tcBorders>
              <w:top w:val="nil"/>
            </w:tcBorders>
          </w:tcPr>
          <w:p w14:paraId="484A0B6A" w14:textId="77777777" w:rsidR="00001683" w:rsidRDefault="00001683" w:rsidP="00001683">
            <w:pPr>
              <w:pStyle w:val="TableText0"/>
              <w:keepNext/>
              <w:jc w:val="right"/>
            </w:pPr>
          </w:p>
        </w:tc>
      </w:tr>
      <w:tr w:rsidR="00001683" w14:paraId="698FD069" w14:textId="77777777" w:rsidTr="003F0E9A">
        <w:tc>
          <w:tcPr>
            <w:tcW w:w="1980" w:type="dxa"/>
          </w:tcPr>
          <w:p w14:paraId="3D1B9FA3" w14:textId="6DCD98CE" w:rsidR="00001683" w:rsidRDefault="00001683" w:rsidP="00001683">
            <w:pPr>
              <w:pStyle w:val="TableText0"/>
              <w:keepNext/>
            </w:pPr>
            <w:r>
              <w:t>Genetic test of index patient</w:t>
            </w:r>
          </w:p>
        </w:tc>
        <w:tc>
          <w:tcPr>
            <w:tcW w:w="1276" w:type="dxa"/>
          </w:tcPr>
          <w:p w14:paraId="67C7FB84" w14:textId="6E8CAC37" w:rsidR="00001683" w:rsidRDefault="00001683" w:rsidP="00001683">
            <w:pPr>
              <w:pStyle w:val="TableText0"/>
              <w:keepNext/>
              <w:jc w:val="right"/>
            </w:pPr>
            <w:r w:rsidRPr="002C72E3">
              <w:t>–</w:t>
            </w:r>
          </w:p>
        </w:tc>
        <w:tc>
          <w:tcPr>
            <w:tcW w:w="3260" w:type="dxa"/>
          </w:tcPr>
          <w:p w14:paraId="7E08E5D8" w14:textId="214518BE" w:rsidR="00001683" w:rsidRDefault="00453D08" w:rsidP="00001683">
            <w:pPr>
              <w:pStyle w:val="TableText0"/>
              <w:keepNext/>
              <w:jc w:val="right"/>
            </w:pPr>
            <w:r w:rsidRPr="002C72E3">
              <w:t>–</w:t>
            </w:r>
          </w:p>
        </w:tc>
        <w:tc>
          <w:tcPr>
            <w:tcW w:w="1701" w:type="dxa"/>
          </w:tcPr>
          <w:p w14:paraId="36668914" w14:textId="78799A64" w:rsidR="00001683" w:rsidRDefault="00001683" w:rsidP="00001683">
            <w:pPr>
              <w:pStyle w:val="TableText0"/>
              <w:keepNext/>
              <w:jc w:val="right"/>
            </w:pPr>
            <w:r>
              <w:t>$102.40</w:t>
            </w:r>
          </w:p>
        </w:tc>
        <w:tc>
          <w:tcPr>
            <w:tcW w:w="1354" w:type="dxa"/>
          </w:tcPr>
          <w:p w14:paraId="16A5969D" w14:textId="4E49A008" w:rsidR="00001683" w:rsidRDefault="00001683" w:rsidP="00001683">
            <w:pPr>
              <w:pStyle w:val="TableText0"/>
              <w:keepNext/>
              <w:jc w:val="right"/>
            </w:pPr>
            <w:r>
              <w:t>–</w:t>
            </w:r>
          </w:p>
        </w:tc>
      </w:tr>
      <w:tr w:rsidR="00001683" w14:paraId="18504759" w14:textId="77777777" w:rsidTr="003F0E9A">
        <w:tc>
          <w:tcPr>
            <w:tcW w:w="1980" w:type="dxa"/>
          </w:tcPr>
          <w:p w14:paraId="773176AA" w14:textId="41366692" w:rsidR="00001683" w:rsidRDefault="00001683" w:rsidP="00001683">
            <w:pPr>
              <w:pStyle w:val="TableText0"/>
              <w:keepNext/>
            </w:pPr>
            <w:r>
              <w:t>Cascade testing</w:t>
            </w:r>
          </w:p>
        </w:tc>
        <w:tc>
          <w:tcPr>
            <w:tcW w:w="1276" w:type="dxa"/>
          </w:tcPr>
          <w:p w14:paraId="3FA24707" w14:textId="25B79D1D" w:rsidR="00001683" w:rsidRDefault="00001683" w:rsidP="00001683">
            <w:pPr>
              <w:pStyle w:val="TableText0"/>
              <w:keepNext/>
              <w:jc w:val="right"/>
            </w:pPr>
            <w:r w:rsidRPr="002C72E3">
              <w:t>–</w:t>
            </w:r>
          </w:p>
        </w:tc>
        <w:tc>
          <w:tcPr>
            <w:tcW w:w="3260" w:type="dxa"/>
          </w:tcPr>
          <w:p w14:paraId="4F8BA757" w14:textId="72D2F5A8" w:rsidR="00001683" w:rsidRDefault="00453D08" w:rsidP="00001683">
            <w:pPr>
              <w:pStyle w:val="TableText0"/>
              <w:keepNext/>
              <w:jc w:val="right"/>
            </w:pPr>
            <w:r w:rsidRPr="002C72E3">
              <w:t>–</w:t>
            </w:r>
          </w:p>
        </w:tc>
        <w:tc>
          <w:tcPr>
            <w:tcW w:w="1701" w:type="dxa"/>
          </w:tcPr>
          <w:p w14:paraId="3B9F9F9B" w14:textId="423C5A95" w:rsidR="00001683" w:rsidRDefault="00001683" w:rsidP="00001683">
            <w:pPr>
              <w:pStyle w:val="TableText0"/>
              <w:keepNext/>
              <w:jc w:val="right"/>
            </w:pPr>
            <w:r>
              <w:t>–</w:t>
            </w:r>
          </w:p>
        </w:tc>
        <w:tc>
          <w:tcPr>
            <w:tcW w:w="1354" w:type="dxa"/>
          </w:tcPr>
          <w:p w14:paraId="75BABF78" w14:textId="63FF91CC" w:rsidR="00001683" w:rsidRDefault="00001683" w:rsidP="00001683">
            <w:pPr>
              <w:pStyle w:val="TableText0"/>
              <w:keepNext/>
              <w:jc w:val="right"/>
            </w:pPr>
            <w:r>
              <w:t>$102.40</w:t>
            </w:r>
          </w:p>
        </w:tc>
      </w:tr>
      <w:tr w:rsidR="0019428B" w14:paraId="51450C63" w14:textId="77777777" w:rsidTr="003F0E9A">
        <w:tc>
          <w:tcPr>
            <w:tcW w:w="1980" w:type="dxa"/>
          </w:tcPr>
          <w:p w14:paraId="4C8CC9D6" w14:textId="4422C36B" w:rsidR="0019428B" w:rsidRPr="00FA5D16" w:rsidRDefault="0019428B" w:rsidP="0019428B">
            <w:pPr>
              <w:pStyle w:val="TableText0"/>
              <w:rPr>
                <w:b/>
                <w:bCs/>
              </w:rPr>
            </w:pPr>
            <w:r w:rsidRPr="00FA5D16">
              <w:rPr>
                <w:b/>
                <w:bCs/>
              </w:rPr>
              <w:t>Total likely OOP costs</w:t>
            </w:r>
          </w:p>
        </w:tc>
        <w:tc>
          <w:tcPr>
            <w:tcW w:w="1276" w:type="dxa"/>
          </w:tcPr>
          <w:p w14:paraId="5027E604" w14:textId="0FF797FF" w:rsidR="0019428B" w:rsidRPr="00FA5D16" w:rsidRDefault="00FA5D16" w:rsidP="0019428B">
            <w:pPr>
              <w:pStyle w:val="TableText0"/>
              <w:jc w:val="right"/>
              <w:rPr>
                <w:b/>
                <w:bCs/>
              </w:rPr>
            </w:pPr>
            <w:r w:rsidRPr="00FA5D16">
              <w:rPr>
                <w:b/>
                <w:bCs/>
              </w:rPr>
              <w:t>$175.00</w:t>
            </w:r>
          </w:p>
        </w:tc>
        <w:tc>
          <w:tcPr>
            <w:tcW w:w="3260" w:type="dxa"/>
          </w:tcPr>
          <w:p w14:paraId="25B0080A" w14:textId="496B2B40" w:rsidR="0019428B" w:rsidRPr="00FA5D16" w:rsidRDefault="00926DD9" w:rsidP="0019428B">
            <w:pPr>
              <w:pStyle w:val="TableText0"/>
              <w:jc w:val="right"/>
              <w:rPr>
                <w:b/>
                <w:bCs/>
              </w:rPr>
            </w:pPr>
            <w:r w:rsidRPr="00926DD9">
              <w:t>After 2 years:</w:t>
            </w:r>
            <w:r>
              <w:rPr>
                <w:b/>
                <w:bCs/>
              </w:rPr>
              <w:t xml:space="preserve"> </w:t>
            </w:r>
            <w:r w:rsidR="000B1D1B">
              <w:rPr>
                <w:b/>
                <w:bCs/>
              </w:rPr>
              <w:t>$1,461.</w:t>
            </w:r>
            <w:r w:rsidR="001A1FDA">
              <w:rPr>
                <w:b/>
                <w:bCs/>
              </w:rPr>
              <w:t xml:space="preserve">50 </w:t>
            </w:r>
            <w:r w:rsidR="000B1D1B">
              <w:rPr>
                <w:b/>
                <w:bCs/>
              </w:rPr>
              <w:t>–</w:t>
            </w:r>
            <w:r w:rsidR="001A1FDA">
              <w:rPr>
                <w:b/>
                <w:bCs/>
              </w:rPr>
              <w:t xml:space="preserve"> </w:t>
            </w:r>
            <w:r w:rsidR="00585185">
              <w:rPr>
                <w:b/>
                <w:bCs/>
              </w:rPr>
              <w:t>$1,66</w:t>
            </w:r>
            <w:r w:rsidR="000B1D1B">
              <w:rPr>
                <w:b/>
                <w:bCs/>
              </w:rPr>
              <w:t>6.30</w:t>
            </w:r>
          </w:p>
        </w:tc>
        <w:tc>
          <w:tcPr>
            <w:tcW w:w="1701" w:type="dxa"/>
          </w:tcPr>
          <w:p w14:paraId="6D312047" w14:textId="27A3C985" w:rsidR="0019428B" w:rsidRPr="00FA5D16" w:rsidRDefault="00B302A6" w:rsidP="0019428B">
            <w:pPr>
              <w:pStyle w:val="TableText0"/>
              <w:jc w:val="right"/>
              <w:rPr>
                <w:b/>
                <w:bCs/>
              </w:rPr>
            </w:pPr>
            <w:r>
              <w:rPr>
                <w:b/>
                <w:bCs/>
              </w:rPr>
              <w:t>$744.70</w:t>
            </w:r>
          </w:p>
        </w:tc>
        <w:tc>
          <w:tcPr>
            <w:tcW w:w="1354" w:type="dxa"/>
          </w:tcPr>
          <w:p w14:paraId="10B029EC" w14:textId="7111D08F" w:rsidR="0019428B" w:rsidRPr="009D6E48" w:rsidRDefault="009D6E48" w:rsidP="0019428B">
            <w:pPr>
              <w:pStyle w:val="TableText0"/>
              <w:jc w:val="right"/>
              <w:rPr>
                <w:b/>
                <w:bCs/>
              </w:rPr>
            </w:pPr>
            <w:r w:rsidRPr="009D6E48">
              <w:rPr>
                <w:b/>
                <w:bCs/>
              </w:rPr>
              <w:t>$102.40</w:t>
            </w:r>
          </w:p>
        </w:tc>
      </w:tr>
    </w:tbl>
    <w:p w14:paraId="3E6431C7" w14:textId="1885D8A6" w:rsidR="00110B18" w:rsidRDefault="00110B18" w:rsidP="008603D9">
      <w:pPr>
        <w:pStyle w:val="Tablenotes"/>
        <w:spacing w:after="0"/>
        <w:rPr>
          <w:lang w:val="en-GB" w:eastAsia="ja-JP"/>
        </w:rPr>
      </w:pPr>
      <w:r w:rsidRPr="00110B18">
        <w:t>Source:</w:t>
      </w:r>
      <w:r w:rsidR="00661B9D" w:rsidRPr="00661B9D">
        <w:rPr>
          <w:lang w:val="en-GB" w:eastAsia="ja-JP"/>
        </w:rPr>
        <w:t xml:space="preserve"> </w:t>
      </w:r>
      <w:r w:rsidR="00661B9D">
        <w:rPr>
          <w:lang w:val="en-GB" w:eastAsia="ja-JP"/>
        </w:rPr>
        <w:t xml:space="preserve">prepared by the assessment group from </w:t>
      </w:r>
      <w:r w:rsidR="00D9556E">
        <w:rPr>
          <w:lang w:val="en-GB" w:eastAsia="ja-JP"/>
        </w:rPr>
        <w:t>information in</w:t>
      </w:r>
      <w:r w:rsidR="00661B9D">
        <w:rPr>
          <w:lang w:val="en-GB" w:eastAsia="ja-JP"/>
        </w:rPr>
        <w:t xml:space="preserve"> </w:t>
      </w:r>
      <w:r w:rsidR="00661B9D">
        <w:t>Application 1796 for ADAMTS13 testing for TTP</w:t>
      </w:r>
      <w:r w:rsidR="00661B9D">
        <w:rPr>
          <w:lang w:val="en-GB" w:eastAsia="ja-JP"/>
        </w:rPr>
        <w:t>.</w:t>
      </w:r>
    </w:p>
    <w:p w14:paraId="48C81BF9" w14:textId="6D222992" w:rsidR="009C68E7" w:rsidRPr="00661B9D" w:rsidRDefault="009C68E7" w:rsidP="008603D9">
      <w:pPr>
        <w:pStyle w:val="Tablenotes"/>
        <w:spacing w:after="0"/>
        <w:rPr>
          <w:lang w:val="en-GB" w:eastAsia="ja-JP"/>
        </w:rPr>
      </w:pPr>
      <w:r w:rsidRPr="009C68E7">
        <w:rPr>
          <w:lang w:val="en-GB" w:eastAsia="ja-JP"/>
        </w:rPr>
        <w:t>cTTP = congenital TTP;</w:t>
      </w:r>
      <w:r>
        <w:rPr>
          <w:lang w:val="en-GB" w:eastAsia="ja-JP"/>
        </w:rPr>
        <w:t xml:space="preserve"> </w:t>
      </w:r>
      <w:r w:rsidRPr="009C68E7">
        <w:rPr>
          <w:lang w:val="en-GB" w:eastAsia="ja-JP"/>
        </w:rPr>
        <w:t>iTTP = immune-mediated TTP;</w:t>
      </w:r>
      <w:r>
        <w:rPr>
          <w:lang w:val="en-GB" w:eastAsia="ja-JP"/>
        </w:rPr>
        <w:t xml:space="preserve"> </w:t>
      </w:r>
      <w:r w:rsidRPr="009C68E7">
        <w:rPr>
          <w:lang w:val="en-GB" w:eastAsia="ja-JP"/>
        </w:rPr>
        <w:t>OOP = out-of-pocket;</w:t>
      </w:r>
      <w:r>
        <w:rPr>
          <w:lang w:val="en-GB" w:eastAsia="ja-JP"/>
        </w:rPr>
        <w:t xml:space="preserve"> </w:t>
      </w:r>
      <w:r w:rsidRPr="009C68E7">
        <w:rPr>
          <w:lang w:val="en-GB" w:eastAsia="ja-JP"/>
        </w:rPr>
        <w:t xml:space="preserve">PICO = </w:t>
      </w:r>
      <w:r w:rsidR="00001A4B">
        <w:rPr>
          <w:lang w:val="en-GB" w:eastAsia="ja-JP"/>
        </w:rPr>
        <w:t>Population, Intervention, Comparator, Outcomes</w:t>
      </w:r>
      <w:r w:rsidRPr="009C68E7">
        <w:rPr>
          <w:lang w:val="en-GB" w:eastAsia="ja-JP"/>
        </w:rPr>
        <w:t>;</w:t>
      </w:r>
      <w:r>
        <w:rPr>
          <w:lang w:val="en-GB" w:eastAsia="ja-JP"/>
        </w:rPr>
        <w:t xml:space="preserve"> </w:t>
      </w:r>
      <w:r w:rsidRPr="009C68E7">
        <w:rPr>
          <w:lang w:val="en-GB" w:eastAsia="ja-JP"/>
        </w:rPr>
        <w:t>TTP = thrombotic thrombocytopenic purpura</w:t>
      </w:r>
      <w:r>
        <w:rPr>
          <w:lang w:val="en-GB" w:eastAsia="ja-JP"/>
        </w:rPr>
        <w:t>.</w:t>
      </w:r>
    </w:p>
    <w:p w14:paraId="69370422" w14:textId="62BF0310" w:rsidR="00C5372E" w:rsidRDefault="00790298" w:rsidP="00505D79">
      <w:pPr>
        <w:pStyle w:val="Tablenotes"/>
      </w:pPr>
      <w:r w:rsidRPr="007043BD">
        <w:t>a</w:t>
      </w:r>
      <w:r w:rsidR="009D6E48">
        <w:t xml:space="preserve"> </w:t>
      </w:r>
      <w:r w:rsidR="00F164D3">
        <w:t>A</w:t>
      </w:r>
      <w:r>
        <w:t>ssumes</w:t>
      </w:r>
      <w:r w:rsidDel="00F164D3">
        <w:t xml:space="preserve"> </w:t>
      </w:r>
      <w:r w:rsidR="00F164D3">
        <w:t xml:space="preserve">2 </w:t>
      </w:r>
      <w:r>
        <w:t>ADAMTS13 activity tests</w:t>
      </w:r>
      <w:r w:rsidR="00C25596">
        <w:t xml:space="preserve"> after clinical response achieved to establish </w:t>
      </w:r>
      <w:r w:rsidR="0056330C">
        <w:t>persistently low ADAMTS13 activity levels prior to genetic testing.</w:t>
      </w:r>
    </w:p>
    <w:p w14:paraId="62338695" w14:textId="775A0FF4" w:rsidR="00D37A3F" w:rsidRDefault="003F0A39" w:rsidP="00713728">
      <w:pPr>
        <w:pStyle w:val="Heading2"/>
      </w:pPr>
      <w:r>
        <w:t>Summary of public consultation</w:t>
      </w:r>
      <w:r w:rsidRPr="00D37A3F">
        <w:t xml:space="preserve"> </w:t>
      </w:r>
      <w:r w:rsidR="00E470B0">
        <w:t>input</w:t>
      </w:r>
    </w:p>
    <w:p w14:paraId="75729D8B" w14:textId="255F0ADF" w:rsidR="00EF4F31" w:rsidRPr="00EF4F31" w:rsidRDefault="00EF4F31" w:rsidP="00EF4F31">
      <w:r>
        <w:rPr>
          <w:rFonts w:asciiTheme="minorHAnsi" w:hAnsiTheme="minorHAnsi" w:cstheme="minorHAnsi"/>
          <w:i/>
          <w:iCs/>
        </w:rPr>
        <w:t xml:space="preserve">PASC noted that there was no consultation feedback </w:t>
      </w:r>
      <w:r w:rsidR="00E21F44" w:rsidRPr="00E21F44">
        <w:rPr>
          <w:rFonts w:asciiTheme="minorHAnsi" w:hAnsiTheme="minorHAnsi" w:cstheme="minorHAnsi"/>
          <w:i/>
          <w:iCs/>
        </w:rPr>
        <w:t xml:space="preserve">received by the Department for consideration by PASC. </w:t>
      </w:r>
    </w:p>
    <w:p w14:paraId="4E68667F" w14:textId="77777777" w:rsidR="00D37A3F" w:rsidRDefault="00D37A3F" w:rsidP="00713728">
      <w:pPr>
        <w:pStyle w:val="Heading2"/>
      </w:pPr>
      <w:r w:rsidRPr="00D37A3F">
        <w:t>Next steps</w:t>
      </w:r>
    </w:p>
    <w:p w14:paraId="36AACF54" w14:textId="1E7813C8" w:rsidR="008F5F8D" w:rsidRPr="008F5F8D" w:rsidRDefault="008F5F8D" w:rsidP="008F5F8D">
      <w:r>
        <w:rPr>
          <w:rFonts w:asciiTheme="minorHAnsi" w:hAnsiTheme="minorHAnsi" w:cstheme="minorHAnsi"/>
          <w:i/>
          <w:iCs/>
        </w:rPr>
        <w:t>PASC noted that the application will proceed as a department-contracted assessment report (DCAR).</w:t>
      </w:r>
    </w:p>
    <w:p w14:paraId="1069B17C" w14:textId="77777777" w:rsidR="00EA5B48" w:rsidRPr="00EA5B48" w:rsidRDefault="00EA5B48" w:rsidP="00EA5B48">
      <w:pPr>
        <w:pStyle w:val="Heading2"/>
      </w:pPr>
      <w:r w:rsidRPr="00EA5B48">
        <w:t>Applicant Comments on Ratified PICO </w:t>
      </w:r>
    </w:p>
    <w:p w14:paraId="41CA9E37" w14:textId="77777777" w:rsidR="00EA5B48" w:rsidRPr="00EA5B48" w:rsidRDefault="00EA5B48" w:rsidP="00EA5B48">
      <w:pPr>
        <w:spacing w:after="160" w:line="259" w:lineRule="auto"/>
      </w:pPr>
      <w:r w:rsidRPr="00EA5B48">
        <w:t>The College is grateful for the careful consideration of this PICO Confirmation by PASC. In response to the committee’s deliberations, we have the following minor comments: </w:t>
      </w:r>
    </w:p>
    <w:p w14:paraId="1524785A" w14:textId="77777777" w:rsidR="00EA5B48" w:rsidRPr="00EA5B48" w:rsidRDefault="00EA5B48" w:rsidP="00EA5B48">
      <w:pPr>
        <w:numPr>
          <w:ilvl w:val="0"/>
          <w:numId w:val="53"/>
        </w:numPr>
        <w:spacing w:after="160" w:line="259" w:lineRule="auto"/>
      </w:pPr>
      <w:r w:rsidRPr="00EA5B48">
        <w:t xml:space="preserve">For added clarity, we recommend genetic testing in </w:t>
      </w:r>
      <w:r w:rsidRPr="00EA5B48">
        <w:rPr>
          <w:b/>
          <w:bCs/>
        </w:rPr>
        <w:t>Table 1</w:t>
      </w:r>
      <w:r w:rsidRPr="00EA5B48">
        <w:t xml:space="preserve"> be defined as “</w:t>
      </w:r>
      <w:r w:rsidRPr="00EA5B48">
        <w:rPr>
          <w:i/>
          <w:iCs/>
        </w:rPr>
        <w:t>ADAMTS13</w:t>
      </w:r>
      <w:r w:rsidRPr="00EA5B48">
        <w:t xml:space="preserve"> genetic test </w:t>
      </w:r>
      <w:r w:rsidRPr="00EA5B48">
        <w:rPr>
          <w:u w:val="single"/>
        </w:rPr>
        <w:t>in patients with ADAMTS13 activity &lt;10%</w:t>
      </w:r>
      <w:r w:rsidRPr="00EA5B48">
        <w:t xml:space="preserve"> and absence of anti-ADAMTS13 antibodies”. This is already implied as testing is noted as being sequential, this change is simply intended to remove any ambiguity from the indicated population for genetic testing. </w:t>
      </w:r>
    </w:p>
    <w:p w14:paraId="3329DC67" w14:textId="77777777" w:rsidR="00EA5B48" w:rsidRPr="00EA5B48" w:rsidRDefault="00EA5B48" w:rsidP="00EA5B48">
      <w:pPr>
        <w:numPr>
          <w:ilvl w:val="0"/>
          <w:numId w:val="54"/>
        </w:numPr>
        <w:spacing w:after="160" w:line="259" w:lineRule="auto"/>
      </w:pPr>
      <w:r w:rsidRPr="00EA5B48">
        <w:t>Diagnostic testing for patients with signs and symptoms suggestive of TMAs is certainly undertaken in private and community settings, albeit less commonly than in public hospitals. The conditions are not common, so the absolute numbers of tests undertaken would be relatively small. The College is happy to provide the assessment group with updated estimates for uptake during the assessment phase.</w:t>
      </w:r>
    </w:p>
    <w:p w14:paraId="0AF63286" w14:textId="77777777" w:rsidR="00E33EEB" w:rsidRDefault="00E33EEB">
      <w:pPr>
        <w:spacing w:after="160" w:line="259" w:lineRule="auto"/>
        <w:rPr>
          <w:rFonts w:ascii="Franklin Gothic Medium" w:eastAsiaTheme="majorEastAsia" w:hAnsi="Franklin Gothic Medium" w:cstheme="majorBidi"/>
          <w:color w:val="000000" w:themeColor="text1"/>
          <w:sz w:val="32"/>
          <w:szCs w:val="26"/>
        </w:rPr>
      </w:pPr>
      <w:r>
        <w:br w:type="page"/>
      </w:r>
    </w:p>
    <w:p w14:paraId="73A2A9C9" w14:textId="58B3F621" w:rsidR="006478E7" w:rsidRDefault="00A33126" w:rsidP="00713728">
      <w:pPr>
        <w:pStyle w:val="Heading2"/>
      </w:pPr>
      <w:r w:rsidRPr="00A33126">
        <w:lastRenderedPageBreak/>
        <w:t>References</w:t>
      </w:r>
    </w:p>
    <w:p w14:paraId="058D0E2D" w14:textId="42BD1D8B" w:rsidR="000A4538" w:rsidRPr="007C475B" w:rsidRDefault="000A4538" w:rsidP="003F0E9A">
      <w:pPr>
        <w:spacing w:after="120"/>
        <w:ind w:left="567" w:hanging="567"/>
      </w:pPr>
      <w:r w:rsidRPr="007C475B">
        <w:t>Alwan F, Vendramin C, Liesner R, et al.</w:t>
      </w:r>
      <w:r w:rsidR="003C24D9" w:rsidRPr="007C475B">
        <w:t xml:space="preserve"> (2019)</w:t>
      </w:r>
      <w:r w:rsidRPr="007C475B">
        <w:t xml:space="preserve"> Characterization and treatment of congenital thrombotic thrombocytopenic purpura. </w:t>
      </w:r>
      <w:r w:rsidRPr="007C475B">
        <w:rPr>
          <w:i/>
          <w:iCs/>
        </w:rPr>
        <w:t>Blood</w:t>
      </w:r>
      <w:r w:rsidRPr="007C475B">
        <w:t xml:space="preserve">. 133(15):1644-1651. doi:10.1182/blood-2018-11-884700 </w:t>
      </w:r>
    </w:p>
    <w:p w14:paraId="36B39B9D" w14:textId="6F69831B" w:rsidR="00DD2B27" w:rsidRPr="007C475B" w:rsidRDefault="00DD2B27" w:rsidP="003F0E9A">
      <w:pPr>
        <w:spacing w:after="120"/>
        <w:ind w:left="567" w:hanging="567"/>
      </w:pPr>
      <w:r w:rsidRPr="007C475B">
        <w:t xml:space="preserve">Barbour T, Scully M, Ariceta G, et al. </w:t>
      </w:r>
      <w:r w:rsidR="0048506A" w:rsidRPr="007C475B">
        <w:t xml:space="preserve">(2021) </w:t>
      </w:r>
      <w:r w:rsidRPr="007C475B">
        <w:t xml:space="preserve">Long-Term Efficacy and Safety of the Long-Acting Complement C5 Inhibitor Ravulizumab for the Treatment of Atypical Hemolytic Uremic Syndrome in Adults. </w:t>
      </w:r>
      <w:r w:rsidRPr="007C475B">
        <w:rPr>
          <w:i/>
          <w:iCs/>
        </w:rPr>
        <w:t>Kidney Int Rep</w:t>
      </w:r>
      <w:r w:rsidRPr="007C475B">
        <w:t>.;6(6):1603-1613. doi:10.1016/j.ekir.2021.03.884</w:t>
      </w:r>
    </w:p>
    <w:p w14:paraId="51D8E385" w14:textId="6A374C74" w:rsidR="00B427A0" w:rsidRPr="007C475B" w:rsidRDefault="00B427A0" w:rsidP="003F0E9A">
      <w:pPr>
        <w:spacing w:after="120"/>
        <w:ind w:left="567" w:hanging="567"/>
      </w:pPr>
      <w:r w:rsidRPr="007C475B">
        <w:t>CADTH (Canadian Agency for Drugs and Technology in Healthcare) (2023)</w:t>
      </w:r>
      <w:r w:rsidR="00FD0030" w:rsidRPr="007C475B">
        <w:t xml:space="preserve"> </w:t>
      </w:r>
      <w:hyperlink r:id="rId19" w:history="1">
        <w:r w:rsidR="00FD0030" w:rsidRPr="007C475B">
          <w:rPr>
            <w:rStyle w:val="Hyperlink"/>
            <w:rFonts w:ascii="Calibri" w:hAnsi="Calibri"/>
          </w:rPr>
          <w:t>CADTH Reimbursement Recommendation - Caplacizumab (Cablivi)</w:t>
        </w:r>
      </w:hyperlink>
      <w:r w:rsidR="00FD0030" w:rsidRPr="007C475B">
        <w:t xml:space="preserve"> </w:t>
      </w:r>
      <w:r w:rsidR="00660861" w:rsidRPr="007C475B">
        <w:t>Accessed 10 March 202</w:t>
      </w:r>
      <w:r w:rsidR="00970B5D" w:rsidRPr="007C475B">
        <w:t>5</w:t>
      </w:r>
    </w:p>
    <w:p w14:paraId="79C84F6D" w14:textId="078BC167" w:rsidR="009C0945" w:rsidRPr="007C475B" w:rsidRDefault="009C0945" w:rsidP="003F0E9A">
      <w:pPr>
        <w:spacing w:after="120"/>
        <w:ind w:left="567" w:hanging="567"/>
      </w:pPr>
      <w:r w:rsidRPr="007C475B">
        <w:t xml:space="preserve">Cuker A, Cataland SR, Coppo P, et al. (2021) Redefining outcomes in immune TTP: an international working group consensus report. </w:t>
      </w:r>
      <w:r w:rsidRPr="007C475B">
        <w:rPr>
          <w:i/>
          <w:iCs/>
        </w:rPr>
        <w:t>Blood.</w:t>
      </w:r>
      <w:r w:rsidRPr="007C475B">
        <w:t xml:space="preserve"> 137(14):1855-1861. doi:10.1182/blood.2020009150</w:t>
      </w:r>
    </w:p>
    <w:p w14:paraId="52A0A3EB" w14:textId="37EF15A2" w:rsidR="00DA2DA6" w:rsidRPr="007C475B" w:rsidRDefault="00EC2639" w:rsidP="003F0E9A">
      <w:pPr>
        <w:spacing w:after="120"/>
        <w:ind w:left="567" w:hanging="567"/>
      </w:pPr>
      <w:r w:rsidRPr="007C475B">
        <w:t xml:space="preserve">Favaloro EJ, Pasalic L, Henry B, Lippi G. </w:t>
      </w:r>
      <w:r w:rsidR="00DB1D0A" w:rsidRPr="007C475B">
        <w:t>(2</w:t>
      </w:r>
      <w:r w:rsidR="00410F57" w:rsidRPr="007C475B">
        <w:t>021</w:t>
      </w:r>
      <w:r w:rsidR="00DB1D0A" w:rsidRPr="007C475B">
        <w:t xml:space="preserve">) </w:t>
      </w:r>
      <w:r w:rsidRPr="007C475B">
        <w:t xml:space="preserve">Laboratory testing for ADAMTS13: Utility for TTP diagnosis/exclusion and beyond. </w:t>
      </w:r>
      <w:r w:rsidRPr="007C475B">
        <w:rPr>
          <w:i/>
          <w:iCs/>
        </w:rPr>
        <w:t>Am J Hematol</w:t>
      </w:r>
      <w:r w:rsidRPr="007C475B">
        <w:t>. 96(8):1049-1055. doi:10.1002/ajh.26241</w:t>
      </w:r>
    </w:p>
    <w:p w14:paraId="40DFF1C1" w14:textId="0A63BF98" w:rsidR="00202A70" w:rsidRPr="007C475B" w:rsidRDefault="00202A70" w:rsidP="003F0E9A">
      <w:pPr>
        <w:spacing w:after="120"/>
        <w:ind w:left="567" w:hanging="567"/>
      </w:pPr>
      <w:r w:rsidRPr="007C475B">
        <w:t>Favaloro, E. J., Chapman, K. et al</w:t>
      </w:r>
      <w:r w:rsidR="00AF75B8" w:rsidRPr="007C475B">
        <w:t>.</w:t>
      </w:r>
      <w:r w:rsidRPr="007C475B">
        <w:t xml:space="preserve"> (2023) Automated and Rapid ADAMTS13 Testing Using Chemiluminescence: Utility for Identification or Exclusion of TTP and Beyond. </w:t>
      </w:r>
      <w:r w:rsidRPr="007C475B">
        <w:rPr>
          <w:i/>
          <w:iCs/>
        </w:rPr>
        <w:t>Methods Mol Biol</w:t>
      </w:r>
      <w:r w:rsidR="00A810CF" w:rsidRPr="007C475B">
        <w:rPr>
          <w:i/>
          <w:iCs/>
        </w:rPr>
        <w:t>.</w:t>
      </w:r>
      <w:r w:rsidRPr="007C475B">
        <w:t xml:space="preserve"> 2663</w:t>
      </w:r>
      <w:r w:rsidR="00864EFE" w:rsidRPr="007C475B">
        <w:t>:</w:t>
      </w:r>
      <w:r w:rsidRPr="007C475B">
        <w:t xml:space="preserve"> 487-504</w:t>
      </w:r>
    </w:p>
    <w:p w14:paraId="4B2D3AD8" w14:textId="3D2F2F35" w:rsidR="00D2695C" w:rsidRPr="007C475B" w:rsidRDefault="00373D67" w:rsidP="003F0E9A">
      <w:pPr>
        <w:spacing w:after="120"/>
        <w:ind w:left="567" w:hanging="567"/>
      </w:pPr>
      <w:r w:rsidRPr="007C475B">
        <w:t xml:space="preserve">Fox LC, Cohney SJ, Kausman JY, et al. </w:t>
      </w:r>
      <w:r w:rsidR="00C372F8" w:rsidRPr="007C475B">
        <w:t xml:space="preserve">(2018) </w:t>
      </w:r>
      <w:r w:rsidRPr="007C475B">
        <w:t xml:space="preserve">Consensus opinion on diagnosis and management of thrombotic microangiopathy in Australia and New Zealand. </w:t>
      </w:r>
      <w:r w:rsidRPr="007C475B">
        <w:rPr>
          <w:i/>
          <w:iCs/>
        </w:rPr>
        <w:t>Intern Med J</w:t>
      </w:r>
      <w:r w:rsidRPr="007C475B">
        <w:t>. 48(6):624-636. doi:10.1111/imj.13804</w:t>
      </w:r>
    </w:p>
    <w:p w14:paraId="3F00F877" w14:textId="632DD389" w:rsidR="00AC3617" w:rsidRPr="007C475B" w:rsidRDefault="00AC3617" w:rsidP="003F0E9A">
      <w:pPr>
        <w:spacing w:after="120"/>
        <w:ind w:left="567" w:hanging="567"/>
      </w:pPr>
      <w:r w:rsidRPr="007C475B">
        <w:t>Kimchi-Sarfaty, C, Blaisdell, A, et al. (2008) Human Hepatic Stellate Cells Carry a New Splice Variant of the Human ADAMTS13. </w:t>
      </w:r>
      <w:r w:rsidRPr="007C475B">
        <w:rPr>
          <w:i/>
          <w:iCs/>
        </w:rPr>
        <w:t>Blood</w:t>
      </w:r>
      <w:r w:rsidRPr="007C475B">
        <w:t>, 112, 4085-4085. </w:t>
      </w:r>
      <w:hyperlink r:id="rId20" w:tgtFrame="_blank" w:history="1">
        <w:r w:rsidRPr="007C475B">
          <w:rPr>
            <w:rStyle w:val="Hyperlink"/>
            <w:rFonts w:ascii="Calibri" w:hAnsi="Calibri"/>
          </w:rPr>
          <w:t>https://doi.org/10.1182/BLOOD.V112.11.4085.4085</w:t>
        </w:r>
      </w:hyperlink>
      <w:r w:rsidRPr="007C475B">
        <w:t>.</w:t>
      </w:r>
    </w:p>
    <w:p w14:paraId="47D98757" w14:textId="32144DF5" w:rsidR="001E6F01" w:rsidRPr="007C475B" w:rsidRDefault="001E6F01" w:rsidP="003F0E9A">
      <w:pPr>
        <w:spacing w:after="120"/>
        <w:ind w:left="567" w:hanging="567"/>
      </w:pPr>
      <w:r w:rsidRPr="007C475B">
        <w:t xml:space="preserve">Legendre CM, Licht C, Muus P, et al. (2013) Terminal complement inhibitor eculizumab in atypical hemolytic-uremic syndrome. </w:t>
      </w:r>
      <w:r w:rsidRPr="007C475B">
        <w:rPr>
          <w:i/>
          <w:iCs/>
        </w:rPr>
        <w:t>N Engl J Med</w:t>
      </w:r>
      <w:r w:rsidRPr="007C475B">
        <w:t>. 368(23):2169-2181. doi:10.1056/NEJMoa1208981</w:t>
      </w:r>
    </w:p>
    <w:p w14:paraId="2B20FAB2" w14:textId="77777777" w:rsidR="00336D1C" w:rsidRPr="007C475B" w:rsidRDefault="00241D1E" w:rsidP="00E86D05">
      <w:pPr>
        <w:spacing w:after="120"/>
        <w:ind w:left="567" w:hanging="567"/>
      </w:pPr>
      <w:r w:rsidRPr="007C475B">
        <w:t xml:space="preserve">Lv H, Wang Z, Yang L, </w:t>
      </w:r>
      <w:r w:rsidR="00FA716D" w:rsidRPr="007C475B">
        <w:t>et al. (2020)</w:t>
      </w:r>
      <w:r w:rsidRPr="007C475B">
        <w:t xml:space="preserve"> Neonate with Congenital Thrombotic Thrombocytopenic Purpura: a Case Report of a de novo Compound Heterozygote Mutation in ADAMTS13 Gene and Review of Literature. </w:t>
      </w:r>
      <w:r w:rsidRPr="007C475B">
        <w:rPr>
          <w:i/>
          <w:iCs/>
        </w:rPr>
        <w:t>Clin Lab</w:t>
      </w:r>
      <w:r w:rsidRPr="007C475B">
        <w:t>. Apr 1;66(4). doi: 10.7754/Clin.Lab.2019.190715. PMID: 32255295.</w:t>
      </w:r>
    </w:p>
    <w:p w14:paraId="37DDE829" w14:textId="633609C0" w:rsidR="00C62319" w:rsidRPr="007C475B" w:rsidRDefault="00C62319" w:rsidP="003F0E9A">
      <w:pPr>
        <w:spacing w:after="120"/>
        <w:ind w:left="567" w:hanging="567"/>
      </w:pPr>
      <w:r w:rsidRPr="007C475B">
        <w:t>Martin SD, McGinnis E, Smith TW. (</w:t>
      </w:r>
      <w:r w:rsidR="0092587C" w:rsidRPr="007C475B">
        <w:t>2021)</w:t>
      </w:r>
      <w:r w:rsidRPr="007C475B">
        <w:t xml:space="preserve"> Indicators Differentiating Thrombotic Thrombocytopenic Purpura From Other Thrombotic Microangiopathies in a Canadian Apheresis Referral Center. </w:t>
      </w:r>
      <w:r w:rsidRPr="007C475B">
        <w:rPr>
          <w:i/>
          <w:iCs/>
        </w:rPr>
        <w:t>Am J Clin Pathol</w:t>
      </w:r>
      <w:r w:rsidRPr="007C475B">
        <w:t>. Nov 8;156(6):1103-1112. doi: 10.1093/ajcp/aqab078. PMID: 34160013.</w:t>
      </w:r>
    </w:p>
    <w:p w14:paraId="24BDF973" w14:textId="665722C6" w:rsidR="00783604" w:rsidRPr="007C475B" w:rsidRDefault="00783604" w:rsidP="003F0E9A">
      <w:pPr>
        <w:spacing w:after="120"/>
        <w:ind w:left="567" w:hanging="567"/>
      </w:pPr>
      <w:r w:rsidRPr="007C475B">
        <w:t xml:space="preserve">Masias C, Cataland SR. (2018) The role of ADAMTS13 testing in the diagnosis and management of thrombotic microangiopathies and thrombosis. </w:t>
      </w:r>
      <w:r w:rsidRPr="007C475B">
        <w:rPr>
          <w:i/>
          <w:iCs/>
        </w:rPr>
        <w:t>Blood.</w:t>
      </w:r>
      <w:r w:rsidRPr="007C475B">
        <w:t xml:space="preserve"> 132(9):903-910. doi:10.1182/blood-2018-02-791533</w:t>
      </w:r>
    </w:p>
    <w:p w14:paraId="1DFAB871" w14:textId="31550B7F" w:rsidR="003F1552" w:rsidRPr="007C475B" w:rsidRDefault="003F1552" w:rsidP="003F0E9A">
      <w:pPr>
        <w:spacing w:after="120"/>
        <w:ind w:left="567" w:hanging="567"/>
      </w:pPr>
      <w:r w:rsidRPr="007C475B">
        <w:t>NICE</w:t>
      </w:r>
      <w:r w:rsidR="003C24D9" w:rsidRPr="007C475B">
        <w:t xml:space="preserve"> </w:t>
      </w:r>
      <w:r w:rsidR="00F469EF" w:rsidRPr="007C475B">
        <w:t>(</w:t>
      </w:r>
      <w:r w:rsidR="00DD63F6" w:rsidRPr="007C475B">
        <w:t xml:space="preserve">National Institute for Health and Care Excellence) </w:t>
      </w:r>
      <w:r w:rsidR="003C24D9" w:rsidRPr="007C475B">
        <w:t>(2020</w:t>
      </w:r>
      <w:r w:rsidR="00F469EF" w:rsidRPr="007C475B">
        <w:t>)</w:t>
      </w:r>
      <w:r w:rsidR="00D3112D" w:rsidRPr="007C475B">
        <w:t xml:space="preserve"> </w:t>
      </w:r>
      <w:hyperlink r:id="rId21" w:history="1">
        <w:r w:rsidR="00BA6B53" w:rsidRPr="007C475B">
          <w:rPr>
            <w:rStyle w:val="Hyperlink"/>
            <w:rFonts w:ascii="Calibri" w:hAnsi="Calibri"/>
          </w:rPr>
          <w:t>Caplacizumab with plasma exchange and immunosuppression for treating acute acquired thrombotic thrombocytopenic purpura</w:t>
        </w:r>
      </w:hyperlink>
      <w:r w:rsidR="000E143B" w:rsidRPr="007C475B">
        <w:t xml:space="preserve"> </w:t>
      </w:r>
      <w:r w:rsidR="00F469EF" w:rsidRPr="007C475B">
        <w:t>(TA667). Accessed 10 March 2025</w:t>
      </w:r>
      <w:r w:rsidR="00336D1C" w:rsidRPr="007C475B">
        <w:t>.</w:t>
      </w:r>
    </w:p>
    <w:p w14:paraId="38985926" w14:textId="4EB6A319" w:rsidR="00417694" w:rsidRPr="007C475B" w:rsidRDefault="00417694" w:rsidP="003F0E9A">
      <w:pPr>
        <w:spacing w:after="120"/>
        <w:ind w:left="567" w:hanging="567"/>
      </w:pPr>
      <w:r w:rsidRPr="007C475B">
        <w:t xml:space="preserve">Peyvandi F, Scully M, Kremer Hovinga JA, et al. (2016) Caplacizumab for Acquired Thrombotic Thrombocytopenic Purpura. </w:t>
      </w:r>
      <w:r w:rsidRPr="007C475B">
        <w:rPr>
          <w:i/>
          <w:iCs/>
        </w:rPr>
        <w:t>N Engl J Med.</w:t>
      </w:r>
      <w:r w:rsidRPr="007C475B">
        <w:t xml:space="preserve"> 374(6):511-522. doi:10.1056/NEJMoa1505533</w:t>
      </w:r>
    </w:p>
    <w:p w14:paraId="51C4C8EF" w14:textId="316B5CD4" w:rsidR="00083F41" w:rsidRPr="007C475B" w:rsidRDefault="00083F41" w:rsidP="003F0E9A">
      <w:pPr>
        <w:spacing w:after="120"/>
        <w:ind w:left="567" w:hanging="567"/>
      </w:pPr>
      <w:r w:rsidRPr="007C475B">
        <w:t xml:space="preserve">Picod A, Provôt F, Coppo P. </w:t>
      </w:r>
      <w:r w:rsidR="00D3112D" w:rsidRPr="007C475B">
        <w:t xml:space="preserve">(2019) </w:t>
      </w:r>
      <w:r w:rsidRPr="007C475B">
        <w:t xml:space="preserve">Therapeutic plasma exchange in thrombotic thrombocytopenic purpura. </w:t>
      </w:r>
      <w:r w:rsidRPr="007C475B">
        <w:rPr>
          <w:i/>
          <w:iCs/>
        </w:rPr>
        <w:t>Presse Med</w:t>
      </w:r>
      <w:r w:rsidRPr="007C475B">
        <w:t>. 48(11 Pt 2):319-327. doi:10.1016/j.lpm.2019.08.024</w:t>
      </w:r>
    </w:p>
    <w:p w14:paraId="58B50A70" w14:textId="78423C5B" w:rsidR="000372FA" w:rsidRPr="007C475B" w:rsidRDefault="000372FA" w:rsidP="003F0E9A">
      <w:pPr>
        <w:spacing w:after="120"/>
        <w:ind w:left="567" w:hanging="567"/>
      </w:pPr>
      <w:r w:rsidRPr="007C475B">
        <w:lastRenderedPageBreak/>
        <w:t xml:space="preserve">Roose E, Joly BS. (2020) Current and Future Perspectives on ADAMTS13 and Thrombotic Thrombocytopenic Purpura. </w:t>
      </w:r>
      <w:r w:rsidRPr="007C475B">
        <w:rPr>
          <w:i/>
          <w:iCs/>
        </w:rPr>
        <w:t>Hamostaseologie</w:t>
      </w:r>
      <w:r w:rsidRPr="007C475B">
        <w:t>. 40(3):322-336. doi:10.1055/a-1171-0473</w:t>
      </w:r>
    </w:p>
    <w:p w14:paraId="07AA5553" w14:textId="6C1C351B" w:rsidR="004B062F" w:rsidRPr="007C475B" w:rsidRDefault="004B062F" w:rsidP="003F0E9A">
      <w:pPr>
        <w:spacing w:after="120"/>
        <w:ind w:left="567" w:hanging="567"/>
      </w:pPr>
      <w:r w:rsidRPr="007C475B">
        <w:t xml:space="preserve">Scully M, Antun A, Cataland SR, et al. (2024) Recombinant ADAMTS13 in Congenital Thrombotic Thrombocytopenic Purpura. </w:t>
      </w:r>
      <w:r w:rsidRPr="007C475B">
        <w:rPr>
          <w:i/>
          <w:iCs/>
        </w:rPr>
        <w:t>N Engl J Med</w:t>
      </w:r>
      <w:r w:rsidRPr="007C475B">
        <w:t>. 390(17):1584-1596. doi:10.1056/NEJMoa2314793</w:t>
      </w:r>
    </w:p>
    <w:p w14:paraId="44F0CEF6" w14:textId="7CEAB98A" w:rsidR="00CA5566" w:rsidRPr="007C475B" w:rsidRDefault="00CA5566" w:rsidP="003F0E9A">
      <w:pPr>
        <w:spacing w:after="120"/>
        <w:ind w:left="567" w:hanging="567"/>
      </w:pPr>
      <w:r w:rsidRPr="007C475B">
        <w:t xml:space="preserve">Scully M, Cataland SR, Peyvandi F, et al. (2019) Caplacizumab Treatment for Acquired Thrombotic Thrombocytopenic Purpura. </w:t>
      </w:r>
      <w:r w:rsidRPr="007C475B">
        <w:rPr>
          <w:i/>
          <w:iCs/>
        </w:rPr>
        <w:t>N Engl J Med.</w:t>
      </w:r>
      <w:r w:rsidRPr="007C475B">
        <w:t xml:space="preserve"> 380(4):335-346. doi:10.1056/NEJMoa1806311</w:t>
      </w:r>
    </w:p>
    <w:p w14:paraId="068BF923" w14:textId="5AB32CA0" w:rsidR="00C93178" w:rsidRPr="007C475B" w:rsidRDefault="00591DC3" w:rsidP="003F0E9A">
      <w:pPr>
        <w:spacing w:after="120"/>
        <w:ind w:left="567" w:hanging="567"/>
      </w:pPr>
      <w:r w:rsidRPr="007C475B">
        <w:t xml:space="preserve">Scully M, Rayment R, Clark A, et al. </w:t>
      </w:r>
      <w:r w:rsidR="00D3112D" w:rsidRPr="007C475B">
        <w:t xml:space="preserve">(2023) </w:t>
      </w:r>
      <w:r w:rsidRPr="007C475B">
        <w:t xml:space="preserve">A British Society for Haematology Guideline: Diagnosis and management of thrombotic thrombocytopenic purpura and thrombotic microangiopathies. </w:t>
      </w:r>
      <w:r w:rsidRPr="007C475B">
        <w:rPr>
          <w:i/>
          <w:iCs/>
        </w:rPr>
        <w:t>Br J Haematol</w:t>
      </w:r>
      <w:r w:rsidRPr="007C475B">
        <w:t>. 203(4):546-563. doi:10.1111/bjh.19026</w:t>
      </w:r>
    </w:p>
    <w:p w14:paraId="45DE622E" w14:textId="31C3ECC4" w:rsidR="00EE5963" w:rsidRPr="007C475B" w:rsidRDefault="00F6374E" w:rsidP="003F0E9A">
      <w:pPr>
        <w:spacing w:after="120"/>
        <w:ind w:left="567" w:hanging="567"/>
      </w:pPr>
      <w:r w:rsidRPr="007C475B">
        <w:t xml:space="preserve">Singh D, Subhan MO, de Groot R, et al. (2023) ADAMTS13 activity testing: evaluation of commercial platforms for diagnosis and monitoring of thrombotic thrombocytopenic purpura. </w:t>
      </w:r>
      <w:r w:rsidRPr="007C475B">
        <w:rPr>
          <w:i/>
          <w:iCs/>
        </w:rPr>
        <w:t>Res Pract Thromb Haemost</w:t>
      </w:r>
      <w:r w:rsidRPr="007C475B">
        <w:t>. 2023;7(2): doi:10.1016/j.rpth.2023.100108</w:t>
      </w:r>
    </w:p>
    <w:p w14:paraId="3C827880" w14:textId="47C4A224" w:rsidR="00437868" w:rsidRPr="007C475B" w:rsidRDefault="00437868" w:rsidP="003F0E9A">
      <w:pPr>
        <w:spacing w:after="120"/>
        <w:ind w:left="567" w:hanging="567"/>
      </w:pPr>
      <w:r w:rsidRPr="007C475B">
        <w:t xml:space="preserve">Sukumar S, Lämmle B, Cataland SR. (2021) Thrombotic Thrombocytopenic Purpura: Pathophysiology, Diagnosis, and Management. </w:t>
      </w:r>
      <w:r w:rsidRPr="007C475B">
        <w:rPr>
          <w:i/>
          <w:iCs/>
        </w:rPr>
        <w:t>J Clin Med</w:t>
      </w:r>
      <w:r w:rsidRPr="007C475B">
        <w:t>. Feb 2;10(3):536. doi: 10.3390/jcm10030536. PMID: 33540569; PMCID: PMC7867179.</w:t>
      </w:r>
    </w:p>
    <w:p w14:paraId="3E0546BA" w14:textId="3B3C39C0" w:rsidR="00E8589B" w:rsidRPr="007C475B" w:rsidRDefault="00E8589B" w:rsidP="003F0E9A">
      <w:pPr>
        <w:spacing w:after="120"/>
        <w:ind w:left="567" w:hanging="567"/>
      </w:pPr>
      <w:r w:rsidRPr="007C475B">
        <w:t>Tanaka K, Adams B, Aris AM, et al. (</w:t>
      </w:r>
      <w:r w:rsidR="00123D14" w:rsidRPr="007C475B">
        <w:t xml:space="preserve">2021) </w:t>
      </w:r>
      <w:r w:rsidRPr="007C475B">
        <w:t>The long-acting C5 inhibitor, ravulizumab, is efficacious and safe in pediatric patients with atypical hemolytic uremic syndrome previously treated with eculizumab</w:t>
      </w:r>
      <w:r w:rsidR="00367D1A" w:rsidRPr="007C475B">
        <w:t>.</w:t>
      </w:r>
      <w:r w:rsidRPr="007C475B">
        <w:t xml:space="preserve"> </w:t>
      </w:r>
      <w:r w:rsidRPr="007C475B">
        <w:rPr>
          <w:i/>
          <w:iCs/>
        </w:rPr>
        <w:t>Pediatr Nephrol</w:t>
      </w:r>
      <w:r w:rsidRPr="007C475B">
        <w:t>. 36(4):889-898. doi:10.1007/s00467-020-04774-2</w:t>
      </w:r>
    </w:p>
    <w:p w14:paraId="5E23D218" w14:textId="187EE614" w:rsidR="00D25DF7" w:rsidRPr="007C475B" w:rsidRDefault="00D25DF7" w:rsidP="003F0E9A">
      <w:pPr>
        <w:spacing w:after="120"/>
        <w:ind w:left="567" w:hanging="567"/>
      </w:pPr>
      <w:r w:rsidRPr="007C475B">
        <w:t>Tanudisastro HA, Holman K, Ho G</w:t>
      </w:r>
      <w:r w:rsidR="00270808" w:rsidRPr="007C475B">
        <w:t>,</w:t>
      </w:r>
      <w:r w:rsidR="003B71FC" w:rsidRPr="007C475B">
        <w:t xml:space="preserve"> </w:t>
      </w:r>
      <w:r w:rsidRPr="007C475B">
        <w:rPr>
          <w:i/>
          <w:iCs/>
        </w:rPr>
        <w:t>et al.</w:t>
      </w:r>
      <w:r w:rsidR="003B71FC" w:rsidRPr="007C475B">
        <w:t xml:space="preserve"> (2021) </w:t>
      </w:r>
      <w:r w:rsidRPr="007C475B">
        <w:t>Australia and New Zealand renal gene panel testing in routine clinical practice of 542 families.</w:t>
      </w:r>
      <w:r w:rsidR="003B71FC" w:rsidRPr="007C475B">
        <w:t xml:space="preserve"> </w:t>
      </w:r>
      <w:r w:rsidRPr="007C475B">
        <w:rPr>
          <w:i/>
          <w:iCs/>
        </w:rPr>
        <w:t>npj Genom. Med.</w:t>
      </w:r>
      <w:r w:rsidR="003B71FC" w:rsidRPr="007C475B">
        <w:t xml:space="preserve"> </w:t>
      </w:r>
      <w:r w:rsidRPr="007C475B">
        <w:rPr>
          <w:b/>
          <w:bCs/>
        </w:rPr>
        <w:t>6</w:t>
      </w:r>
      <w:r w:rsidRPr="007C475B">
        <w:t>, 20.</w:t>
      </w:r>
    </w:p>
    <w:sectPr w:rsidR="00D25DF7" w:rsidRPr="007C475B" w:rsidSect="00AE6FE0">
      <w:headerReference w:type="even" r:id="rId22"/>
      <w:headerReference w:type="default" r:id="rId23"/>
      <w:footerReference w:type="even" r:id="rId24"/>
      <w:footerReference w:type="default" r:id="rId25"/>
      <w:headerReference w:type="first" r:id="rId26"/>
      <w:footerReference w:type="first" r:id="rId27"/>
      <w:pgSz w:w="11906" w:h="16838"/>
      <w:pgMar w:top="682" w:right="1134" w:bottom="102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1DAC0D" w14:textId="77777777" w:rsidR="00DA4E1D" w:rsidRDefault="00DA4E1D" w:rsidP="0016315C">
      <w:pPr>
        <w:spacing w:after="0" w:line="240" w:lineRule="auto"/>
      </w:pPr>
      <w:r>
        <w:separator/>
      </w:r>
    </w:p>
  </w:endnote>
  <w:endnote w:type="continuationSeparator" w:id="0">
    <w:p w14:paraId="1FB07B5D" w14:textId="77777777" w:rsidR="00DA4E1D" w:rsidRDefault="00DA4E1D" w:rsidP="0016315C">
      <w:pPr>
        <w:spacing w:after="0" w:line="240" w:lineRule="auto"/>
      </w:pPr>
      <w:r>
        <w:continuationSeparator/>
      </w:r>
    </w:p>
  </w:endnote>
  <w:endnote w:type="continuationNotice" w:id="1">
    <w:p w14:paraId="5C52439C" w14:textId="77777777" w:rsidR="00DA4E1D" w:rsidRDefault="00DA4E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1D3D2" w14:textId="3251E85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3A1E02">
      <w:rPr>
        <w:rStyle w:val="PageNumber"/>
        <w:noProof/>
      </w:rPr>
      <w:t>1</w:t>
    </w:r>
    <w:r>
      <w:rPr>
        <w:rStyle w:val="PageNumber"/>
      </w:rPr>
      <w:fldChar w:fldCharType="end"/>
    </w:r>
  </w:p>
  <w:p w14:paraId="74E72C2D" w14:textId="77777777" w:rsidR="00685355" w:rsidRDefault="00685355" w:rsidP="0068535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093382827"/>
      <w:docPartObj>
        <w:docPartGallery w:val="Page Numbers (Bottom of Page)"/>
        <w:docPartUnique/>
      </w:docPartObj>
    </w:sdtPr>
    <w:sdtEndPr>
      <w:rPr>
        <w:rStyle w:val="PageNumber"/>
      </w:rPr>
    </w:sdtEndPr>
    <w:sdtContent>
      <w:p w14:paraId="4DE593B1" w14:textId="39D5A86A" w:rsidR="00685355" w:rsidRDefault="006853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747D333" w14:textId="252A1899" w:rsidR="41B304CA" w:rsidRDefault="00AF2CAA" w:rsidP="41B304CA">
    <w:pPr>
      <w:jc w:val="center"/>
    </w:pPr>
    <w:r>
      <w:t>R</w:t>
    </w:r>
    <w:r w:rsidR="00692806">
      <w:t>atified</w:t>
    </w:r>
    <w:r w:rsidR="41B304CA">
      <w:t xml:space="preserve"> PICO Confirmation – April 2025 Meeting</w:t>
    </w:r>
    <w:r w:rsidR="41B304CA">
      <w:br/>
      <w:t xml:space="preserve">1796 – </w:t>
    </w:r>
    <w:r w:rsidR="41B304CA" w:rsidRPr="41B304CA">
      <w:t>ADAMTS13 testing for the diagnosis of thrombotic thrombocytopenic purpura (TTP)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75782" w14:textId="77777777" w:rsidR="00AF2CAA" w:rsidRDefault="00AF2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FEA93" w14:textId="77777777" w:rsidR="00DA4E1D" w:rsidRDefault="00DA4E1D" w:rsidP="0016315C">
      <w:pPr>
        <w:spacing w:after="0" w:line="240" w:lineRule="auto"/>
      </w:pPr>
      <w:r>
        <w:separator/>
      </w:r>
    </w:p>
  </w:footnote>
  <w:footnote w:type="continuationSeparator" w:id="0">
    <w:p w14:paraId="13C8783E" w14:textId="77777777" w:rsidR="00DA4E1D" w:rsidRDefault="00DA4E1D" w:rsidP="0016315C">
      <w:pPr>
        <w:spacing w:after="0" w:line="240" w:lineRule="auto"/>
      </w:pPr>
      <w:r>
        <w:continuationSeparator/>
      </w:r>
    </w:p>
  </w:footnote>
  <w:footnote w:type="continuationNotice" w:id="1">
    <w:p w14:paraId="47C1E3E7" w14:textId="77777777" w:rsidR="00DA4E1D" w:rsidRDefault="00DA4E1D">
      <w:pPr>
        <w:spacing w:after="0" w:line="240" w:lineRule="auto"/>
      </w:pPr>
    </w:p>
  </w:footnote>
  <w:footnote w:id="2">
    <w:p w14:paraId="157C3553" w14:textId="77777777" w:rsidR="00CE62A5" w:rsidRDefault="00CE62A5" w:rsidP="003F0E9A">
      <w:pPr>
        <w:pStyle w:val="Tablenotes"/>
      </w:pPr>
      <w:r>
        <w:rPr>
          <w:rStyle w:val="FootnoteReference"/>
        </w:rPr>
        <w:footnoteRef/>
      </w:r>
      <w:r>
        <w:t xml:space="preserve"> </w:t>
      </w:r>
      <w:r w:rsidRPr="00304A39">
        <w:rPr>
          <w:lang w:val="en-US"/>
        </w:rPr>
        <w:t>Pre-PASC meeting with Department and applicant</w:t>
      </w:r>
      <w:r>
        <w:rPr>
          <w:lang w:val="en-US"/>
        </w:rPr>
        <w:t>, 26 February 2025.</w:t>
      </w:r>
    </w:p>
  </w:footnote>
  <w:footnote w:id="3">
    <w:p w14:paraId="6ABAE039" w14:textId="77777777" w:rsidR="007306C5" w:rsidRDefault="007306C5" w:rsidP="003F0E9A">
      <w:pPr>
        <w:pStyle w:val="Tablenotes"/>
      </w:pPr>
      <w:r>
        <w:rPr>
          <w:rStyle w:val="FootnoteReference"/>
        </w:rPr>
        <w:footnoteRef/>
      </w:r>
      <w:r>
        <w:t xml:space="preserve"> </w:t>
      </w:r>
      <w:r w:rsidRPr="00304A39">
        <w:rPr>
          <w:lang w:val="en-US"/>
        </w:rPr>
        <w:t>Pre-PASC meeting with Department and applicant</w:t>
      </w:r>
      <w:r>
        <w:rPr>
          <w:lang w:val="en-US"/>
        </w:rPr>
        <w:t>, 26 February 2025.</w:t>
      </w:r>
    </w:p>
  </w:footnote>
  <w:footnote w:id="4">
    <w:p w14:paraId="15EABFA9" w14:textId="77777777" w:rsidR="007F7A46" w:rsidRDefault="007F7A46" w:rsidP="003F0E9A">
      <w:pPr>
        <w:pStyle w:val="Tablenotes"/>
      </w:pPr>
      <w:r>
        <w:rPr>
          <w:rStyle w:val="FootnoteReference"/>
        </w:rPr>
        <w:footnoteRef/>
      </w:r>
      <w:r>
        <w:t xml:space="preserve"> The ACL AcuStar automated system (Werfen) uses a HemosIL kit to assay ADAMTS13 activity.</w:t>
      </w:r>
    </w:p>
  </w:footnote>
  <w:footnote w:id="5">
    <w:p w14:paraId="0C4F6F4B" w14:textId="77777777" w:rsidR="000E4880" w:rsidRDefault="000E4880" w:rsidP="003F0E9A">
      <w:pPr>
        <w:pStyle w:val="Tablenotes"/>
      </w:pPr>
      <w:r>
        <w:rPr>
          <w:rStyle w:val="FootnoteReference"/>
        </w:rPr>
        <w:footnoteRef/>
      </w:r>
      <w:r>
        <w:t xml:space="preserve"> </w:t>
      </w:r>
      <w:r w:rsidRPr="00304A39">
        <w:rPr>
          <w:lang w:val="en-US"/>
        </w:rPr>
        <w:t>Pre-PASC meeting with Department and applicant</w:t>
      </w:r>
      <w:r>
        <w:rPr>
          <w:lang w:val="en-US"/>
        </w:rPr>
        <w:t>, 26 February 2025.</w:t>
      </w:r>
    </w:p>
  </w:footnote>
  <w:footnote w:id="6">
    <w:p w14:paraId="54BDC483" w14:textId="77777777" w:rsidR="00093E9E" w:rsidRDefault="00093E9E" w:rsidP="003F0E9A">
      <w:pPr>
        <w:pStyle w:val="Tablenotes"/>
      </w:pPr>
      <w:r>
        <w:rPr>
          <w:rStyle w:val="FootnoteReference"/>
        </w:rPr>
        <w:footnoteRef/>
      </w:r>
      <w:r>
        <w:t xml:space="preserve"> TGA Recall Reference </w:t>
      </w:r>
      <w:r w:rsidRPr="00A96A84">
        <w:t>RC-2024-RN-00633-1</w:t>
      </w:r>
      <w:r>
        <w:t>; 12 August 2024.</w:t>
      </w:r>
    </w:p>
  </w:footnote>
  <w:footnote w:id="7">
    <w:p w14:paraId="3163D5D1" w14:textId="6FBE5F7B" w:rsidR="009E555A" w:rsidRDefault="009E555A" w:rsidP="003F0E9A">
      <w:pPr>
        <w:pStyle w:val="Tablenotes"/>
      </w:pPr>
      <w:r>
        <w:rPr>
          <w:rStyle w:val="FootnoteReference"/>
        </w:rPr>
        <w:footnoteRef/>
      </w:r>
      <w:r>
        <w:t xml:space="preserve"> </w:t>
      </w:r>
      <w:r w:rsidRPr="00304A39">
        <w:rPr>
          <w:lang w:val="en-US"/>
        </w:rPr>
        <w:t>Pre-PASC meeting with Department and applicant</w:t>
      </w:r>
      <w:r>
        <w:rPr>
          <w:lang w:val="en-US"/>
        </w:rPr>
        <w:t>, 26 February 2025.</w:t>
      </w:r>
    </w:p>
  </w:footnote>
  <w:footnote w:id="8">
    <w:p w14:paraId="027E0244" w14:textId="46146663" w:rsidR="009C695A" w:rsidRDefault="009C695A" w:rsidP="003F0E9A">
      <w:pPr>
        <w:pStyle w:val="Tablenotes"/>
      </w:pPr>
      <w:r>
        <w:rPr>
          <w:rStyle w:val="FootnoteReference"/>
        </w:rPr>
        <w:footnoteRef/>
      </w:r>
      <w:r>
        <w:t xml:space="preserve"> </w:t>
      </w:r>
      <w:r w:rsidR="00D32331">
        <w:t>To initiate treatment, p</w:t>
      </w:r>
      <w:r w:rsidRPr="009C695A">
        <w:t>atient</w:t>
      </w:r>
      <w:r w:rsidR="00D32331">
        <w:t>s</w:t>
      </w:r>
      <w:r w:rsidRPr="009C695A">
        <w:t xml:space="preserve"> must have ADAMTS13 activity of greater than or equal to 10% on a blood sample taken prior to plasma exchange or infusion; or, if ADAMTS13 activity was not collected prior to plasma exchange or infusion, patient must have platelet counts of greater than 30x10</w:t>
      </w:r>
      <w:r w:rsidRPr="003F0E9A">
        <w:rPr>
          <w:vertAlign w:val="superscript"/>
        </w:rPr>
        <w:t>9</w:t>
      </w:r>
      <w:r w:rsidRPr="009C695A">
        <w:t>/L and a serum creatinine of greater than 150 mol/L</w:t>
      </w:r>
      <w:r w:rsidR="00712D3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BD7F" w14:textId="77777777" w:rsidR="00AF2CAA" w:rsidRDefault="00AF2C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90"/>
      <w:gridCol w:w="3190"/>
      <w:gridCol w:w="3190"/>
    </w:tblGrid>
    <w:tr w:rsidR="628F6C62" w14:paraId="30E3AEF3" w14:textId="77777777" w:rsidTr="009A4FFB">
      <w:trPr>
        <w:trHeight w:val="300"/>
      </w:trPr>
      <w:tc>
        <w:tcPr>
          <w:tcW w:w="3190" w:type="dxa"/>
        </w:tcPr>
        <w:p w14:paraId="49F52A5F" w14:textId="193E79C1" w:rsidR="628F6C62" w:rsidRDefault="628F6C62" w:rsidP="009A4FFB">
          <w:pPr>
            <w:pStyle w:val="Header"/>
            <w:ind w:left="-115"/>
          </w:pPr>
        </w:p>
      </w:tc>
      <w:tc>
        <w:tcPr>
          <w:tcW w:w="3190" w:type="dxa"/>
        </w:tcPr>
        <w:p w14:paraId="36E67869" w14:textId="784854AB" w:rsidR="628F6C62" w:rsidRDefault="628F6C62" w:rsidP="009A4FFB">
          <w:pPr>
            <w:pStyle w:val="Header"/>
            <w:jc w:val="center"/>
          </w:pPr>
        </w:p>
      </w:tc>
      <w:tc>
        <w:tcPr>
          <w:tcW w:w="3190" w:type="dxa"/>
        </w:tcPr>
        <w:p w14:paraId="7D0E02FB" w14:textId="1ED15B37" w:rsidR="628F6C62" w:rsidRDefault="628F6C62" w:rsidP="009A4FFB">
          <w:pPr>
            <w:pStyle w:val="Header"/>
            <w:ind w:right="-115"/>
            <w:jc w:val="right"/>
          </w:pPr>
        </w:p>
      </w:tc>
    </w:tr>
  </w:tbl>
  <w:p w14:paraId="1C2EB0F3" w14:textId="656C0405" w:rsidR="628F6C62" w:rsidRDefault="628F6C62" w:rsidP="009A4F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1621B" w14:textId="77777777" w:rsidR="00AF2CAA" w:rsidRDefault="00AF2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536A"/>
    <w:multiLevelType w:val="hybridMultilevel"/>
    <w:tmpl w:val="B3C2C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762D0"/>
    <w:multiLevelType w:val="hybridMultilevel"/>
    <w:tmpl w:val="317E0F9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7E2F4D"/>
    <w:multiLevelType w:val="hybridMultilevel"/>
    <w:tmpl w:val="A5DA3E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A2123"/>
    <w:multiLevelType w:val="hybridMultilevel"/>
    <w:tmpl w:val="495842A2"/>
    <w:lvl w:ilvl="0" w:tplc="1172BB6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0C4066"/>
    <w:multiLevelType w:val="hybridMultilevel"/>
    <w:tmpl w:val="A38E278A"/>
    <w:lvl w:ilvl="0" w:tplc="1172BB6C">
      <w:start w:val="1"/>
      <w:numFmt w:val="lowerLetter"/>
      <w:lvlText w:val="(%1)"/>
      <w:lvlJc w:val="left"/>
      <w:pPr>
        <w:ind w:left="1080" w:hanging="360"/>
      </w:pPr>
      <w:rPr>
        <w:rFonts w:hint="default"/>
      </w:rPr>
    </w:lvl>
    <w:lvl w:ilvl="1" w:tplc="FFFFFFFF">
      <w:numFmt w:val="bullet"/>
      <w:lvlText w:val="•"/>
      <w:lvlJc w:val="left"/>
      <w:pPr>
        <w:ind w:left="2160" w:hanging="720"/>
      </w:pPr>
      <w:rPr>
        <w:rFonts w:ascii="Calibri" w:eastAsia="Calibri"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DAF263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FFB5606"/>
    <w:multiLevelType w:val="hybridMultilevel"/>
    <w:tmpl w:val="4FCCA9F6"/>
    <w:lvl w:ilvl="0" w:tplc="0C090001">
      <w:start w:val="1"/>
      <w:numFmt w:val="bullet"/>
      <w:lvlText w:val=""/>
      <w:lvlJc w:val="left"/>
      <w:pPr>
        <w:ind w:left="1080" w:hanging="360"/>
      </w:pPr>
      <w:rPr>
        <w:rFonts w:ascii="Symbol" w:hAnsi="Symbol" w:hint="default"/>
      </w:rPr>
    </w:lvl>
    <w:lvl w:ilvl="1" w:tplc="FFFFFFFF">
      <w:numFmt w:val="bullet"/>
      <w:lvlText w:val="•"/>
      <w:lvlJc w:val="left"/>
      <w:pPr>
        <w:ind w:left="2160" w:hanging="720"/>
      </w:pPr>
      <w:rPr>
        <w:rFonts w:ascii="Calibri" w:eastAsia="Calibri"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3E4740"/>
    <w:multiLevelType w:val="hybridMultilevel"/>
    <w:tmpl w:val="5D2E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E14BA9"/>
    <w:multiLevelType w:val="hybridMultilevel"/>
    <w:tmpl w:val="9A7061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E84846"/>
    <w:multiLevelType w:val="hybridMultilevel"/>
    <w:tmpl w:val="DA405F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0F66DC3"/>
    <w:multiLevelType w:val="hybridMultilevel"/>
    <w:tmpl w:val="9CFE45AA"/>
    <w:lvl w:ilvl="0" w:tplc="C374E33E">
      <w:start w:val="1"/>
      <w:numFmt w:val="decimal"/>
      <w:lvlText w:val="%1."/>
      <w:lvlJc w:val="left"/>
      <w:pPr>
        <w:ind w:left="587" w:hanging="360"/>
      </w:pPr>
      <w:rPr>
        <w:rFonts w:hint="default"/>
        <w:b/>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11" w15:restartNumberingAfterBreak="0">
    <w:nsid w:val="16557D1E"/>
    <w:multiLevelType w:val="hybridMultilevel"/>
    <w:tmpl w:val="4316392A"/>
    <w:lvl w:ilvl="0" w:tplc="FFFFFFFF">
      <w:start w:val="1"/>
      <w:numFmt w:val="bullet"/>
      <w:lvlText w:val=""/>
      <w:lvlJc w:val="left"/>
      <w:pPr>
        <w:ind w:left="720" w:hanging="360"/>
      </w:pPr>
      <w:rPr>
        <w:rFonts w:ascii="Symbol" w:hAnsi="Symbol" w:hint="default"/>
      </w:rPr>
    </w:lvl>
    <w:lvl w:ilvl="1" w:tplc="D2E88E44">
      <w:start w:val="1"/>
      <w:numFmt w:val="lowerRoman"/>
      <w:lvlText w:val="(%2)"/>
      <w:lvlJc w:val="left"/>
      <w:pPr>
        <w:ind w:left="1800" w:hanging="72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964522C"/>
    <w:multiLevelType w:val="hybridMultilevel"/>
    <w:tmpl w:val="DD9653D6"/>
    <w:lvl w:ilvl="0" w:tplc="C864573A">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96061C"/>
    <w:multiLevelType w:val="hybridMultilevel"/>
    <w:tmpl w:val="42D674FC"/>
    <w:lvl w:ilvl="0" w:tplc="0C09000F">
      <w:start w:val="1"/>
      <w:numFmt w:val="decimal"/>
      <w:lvlText w:val="%1."/>
      <w:lvlJc w:val="left"/>
      <w:pPr>
        <w:ind w:left="947" w:hanging="360"/>
      </w:p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14" w15:restartNumberingAfterBreak="0">
    <w:nsid w:val="23B8720B"/>
    <w:multiLevelType w:val="hybridMultilevel"/>
    <w:tmpl w:val="DA6CE8B6"/>
    <w:lvl w:ilvl="0" w:tplc="1172B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43D7F4D"/>
    <w:multiLevelType w:val="hybridMultilevel"/>
    <w:tmpl w:val="0AB897B6"/>
    <w:lvl w:ilvl="0" w:tplc="39C824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4E403D0"/>
    <w:multiLevelType w:val="hybridMultilevel"/>
    <w:tmpl w:val="F1560CD4"/>
    <w:lvl w:ilvl="0" w:tplc="1172B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A357A9F"/>
    <w:multiLevelType w:val="hybridMultilevel"/>
    <w:tmpl w:val="D8C46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C0389"/>
    <w:multiLevelType w:val="hybridMultilevel"/>
    <w:tmpl w:val="A140BE94"/>
    <w:lvl w:ilvl="0" w:tplc="0C090001">
      <w:start w:val="1"/>
      <w:numFmt w:val="bullet"/>
      <w:lvlText w:val=""/>
      <w:lvlJc w:val="left"/>
      <w:pPr>
        <w:ind w:left="1080" w:hanging="360"/>
      </w:pPr>
      <w:rPr>
        <w:rFonts w:ascii="Symbol" w:hAnsi="Symbol" w:hint="default"/>
      </w:rPr>
    </w:lvl>
    <w:lvl w:ilvl="1" w:tplc="FFFFFFFF">
      <w:numFmt w:val="bullet"/>
      <w:lvlText w:val="•"/>
      <w:lvlJc w:val="left"/>
      <w:pPr>
        <w:ind w:left="2160" w:hanging="720"/>
      </w:pPr>
      <w:rPr>
        <w:rFonts w:ascii="Calibri" w:eastAsia="Calibri"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FF9263E"/>
    <w:multiLevelType w:val="hybridMultilevel"/>
    <w:tmpl w:val="FAC605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3C0377"/>
    <w:multiLevelType w:val="hybridMultilevel"/>
    <w:tmpl w:val="21261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7D09B2"/>
    <w:multiLevelType w:val="hybridMultilevel"/>
    <w:tmpl w:val="62AE284A"/>
    <w:lvl w:ilvl="0" w:tplc="1182F662">
      <w:start w:val="1"/>
      <w:numFmt w:val="lowerLetter"/>
      <w:lvlText w:val="(%1)"/>
      <w:lvlJc w:val="left"/>
      <w:pPr>
        <w:ind w:left="1080" w:hanging="360"/>
      </w:pPr>
      <w:rPr>
        <w:rFonts w:asciiTheme="minorHAnsi" w:eastAsia="Times New Roman" w:hAnsiTheme="minorHAnsi" w:cstheme="minorHAnsi" w:hint="default"/>
        <w:b/>
        <w:bCs/>
      </w:rPr>
    </w:lvl>
    <w:lvl w:ilvl="1" w:tplc="2AB6E584">
      <w:numFmt w:val="bullet"/>
      <w:lvlText w:val="•"/>
      <w:lvlJc w:val="left"/>
      <w:pPr>
        <w:ind w:left="2160" w:hanging="720"/>
      </w:pPr>
      <w:rPr>
        <w:rFonts w:ascii="Calibri" w:eastAsia="Calibri" w:hAnsi="Calibri" w:cs="Calibri" w:hint="default"/>
      </w:rPr>
    </w:lvl>
    <w:lvl w:ilvl="2" w:tplc="9272C69E">
      <w:start w:val="1"/>
      <w:numFmt w:val="decimal"/>
      <w:lvlText w:val="%3."/>
      <w:lvlJc w:val="left"/>
      <w:pPr>
        <w:ind w:left="3060" w:hanging="72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371F631B"/>
    <w:multiLevelType w:val="hybridMultilevel"/>
    <w:tmpl w:val="ACD88202"/>
    <w:lvl w:ilvl="0" w:tplc="C374E33E">
      <w:start w:val="1"/>
      <w:numFmt w:val="decimal"/>
      <w:lvlText w:val="%1."/>
      <w:lvlJc w:val="left"/>
      <w:pPr>
        <w:ind w:left="587" w:hanging="360"/>
      </w:pPr>
      <w:rPr>
        <w:rFonts w:hint="default"/>
        <w:b/>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23" w15:restartNumberingAfterBreak="0">
    <w:nsid w:val="373D623F"/>
    <w:multiLevelType w:val="multilevel"/>
    <w:tmpl w:val="1D1861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9332268"/>
    <w:multiLevelType w:val="hybridMultilevel"/>
    <w:tmpl w:val="29F614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EE10E5A"/>
    <w:multiLevelType w:val="hybridMultilevel"/>
    <w:tmpl w:val="6CAA2CC0"/>
    <w:lvl w:ilvl="0" w:tplc="26EC71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F0025ED"/>
    <w:multiLevelType w:val="hybridMultilevel"/>
    <w:tmpl w:val="46D00264"/>
    <w:lvl w:ilvl="0" w:tplc="FFFFFFFF">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F432008"/>
    <w:multiLevelType w:val="hybridMultilevel"/>
    <w:tmpl w:val="01207522"/>
    <w:lvl w:ilvl="0" w:tplc="1172BB6C">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7095746"/>
    <w:multiLevelType w:val="hybridMultilevel"/>
    <w:tmpl w:val="28BC0FCE"/>
    <w:lvl w:ilvl="0" w:tplc="A26EFB64">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4A7957A2"/>
    <w:multiLevelType w:val="hybridMultilevel"/>
    <w:tmpl w:val="6448B846"/>
    <w:lvl w:ilvl="0" w:tplc="008C67C6">
      <w:start w:val="1"/>
      <w:numFmt w:val="bullet"/>
      <w:pStyle w:val="TableTextbullet"/>
      <w:lvlText w:val=""/>
      <w:lvlJc w:val="left"/>
      <w:pPr>
        <w:ind w:left="720" w:hanging="360"/>
      </w:pPr>
      <w:rPr>
        <w:rFonts w:ascii="Symbol" w:hAnsi="Symbol" w:hint="default"/>
      </w:rPr>
    </w:lvl>
    <w:lvl w:ilvl="1" w:tplc="EE5AAB0A">
      <w:start w:val="1"/>
      <w:numFmt w:val="bullet"/>
      <w:pStyle w:val="TableTextbullet2ndlevel"/>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8B57B2"/>
    <w:multiLevelType w:val="hybridMultilevel"/>
    <w:tmpl w:val="1F52ECB4"/>
    <w:lvl w:ilvl="0" w:tplc="7CCC0950">
      <w:start w:val="1"/>
      <w:numFmt w:val="decimal"/>
      <w:lvlText w:val="%1."/>
      <w:lvlJc w:val="left"/>
      <w:pPr>
        <w:ind w:left="720"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D00A2F"/>
    <w:multiLevelType w:val="multilevel"/>
    <w:tmpl w:val="6D6EB614"/>
    <w:styleLink w:val="Headings"/>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decimal"/>
      <w:lvlRestart w:val="0"/>
      <w:suff w:val="nothing"/>
      <w:lvlText w:val="%8%7"/>
      <w:lvlJc w:val="left"/>
      <w:pPr>
        <w:ind w:left="0" w:firstLine="0"/>
      </w:pPr>
      <w:rPr>
        <w:rFonts w:hint="default"/>
      </w:rPr>
    </w:lvl>
    <w:lvl w:ilvl="8">
      <w:start w:val="1"/>
      <w:numFmt w:val="decimal"/>
      <w:suff w:val="nothing"/>
      <w:lvlText w:val="%7"/>
      <w:lvlJc w:val="left"/>
      <w:pPr>
        <w:ind w:left="0" w:firstLine="0"/>
      </w:pPr>
      <w:rPr>
        <w:rFonts w:hint="default"/>
      </w:rPr>
    </w:lvl>
  </w:abstractNum>
  <w:abstractNum w:abstractNumId="32" w15:restartNumberingAfterBreak="0">
    <w:nsid w:val="52A66927"/>
    <w:multiLevelType w:val="hybridMultilevel"/>
    <w:tmpl w:val="39502794"/>
    <w:lvl w:ilvl="0" w:tplc="D2E88E4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3151B3C"/>
    <w:multiLevelType w:val="hybridMultilevel"/>
    <w:tmpl w:val="08E0C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3552FF1"/>
    <w:multiLevelType w:val="hybridMultilevel"/>
    <w:tmpl w:val="FBCE9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FF0110"/>
    <w:multiLevelType w:val="hybridMultilevel"/>
    <w:tmpl w:val="DBA873F8"/>
    <w:lvl w:ilvl="0" w:tplc="03DA1D4E">
      <w:start w:val="1"/>
      <w:numFmt w:val="bullet"/>
      <w:pStyle w:val="Instructionaltext-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cs="Wingdings" w:hint="default"/>
      </w:rPr>
    </w:lvl>
    <w:lvl w:ilvl="3" w:tplc="0C090001" w:tentative="1">
      <w:start w:val="1"/>
      <w:numFmt w:val="bullet"/>
      <w:lvlText w:val=""/>
      <w:lvlJc w:val="left"/>
      <w:pPr>
        <w:ind w:left="3237" w:hanging="360"/>
      </w:pPr>
      <w:rPr>
        <w:rFonts w:ascii="Symbol" w:hAnsi="Symbol" w:cs="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cs="Wingdings" w:hint="default"/>
      </w:rPr>
    </w:lvl>
    <w:lvl w:ilvl="6" w:tplc="0C090001" w:tentative="1">
      <w:start w:val="1"/>
      <w:numFmt w:val="bullet"/>
      <w:lvlText w:val=""/>
      <w:lvlJc w:val="left"/>
      <w:pPr>
        <w:ind w:left="5397" w:hanging="360"/>
      </w:pPr>
      <w:rPr>
        <w:rFonts w:ascii="Symbol" w:hAnsi="Symbol" w:cs="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cs="Wingdings" w:hint="default"/>
      </w:rPr>
    </w:lvl>
  </w:abstractNum>
  <w:abstractNum w:abstractNumId="36"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8C40F09"/>
    <w:multiLevelType w:val="hybridMultilevel"/>
    <w:tmpl w:val="0868B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085294"/>
    <w:multiLevelType w:val="hybridMultilevel"/>
    <w:tmpl w:val="5F8AA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91A09F8"/>
    <w:multiLevelType w:val="hybridMultilevel"/>
    <w:tmpl w:val="2500B5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5A26309D"/>
    <w:multiLevelType w:val="hybridMultilevel"/>
    <w:tmpl w:val="505E77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A373017"/>
    <w:multiLevelType w:val="multilevel"/>
    <w:tmpl w:val="48380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8F13C9"/>
    <w:multiLevelType w:val="hybridMultilevel"/>
    <w:tmpl w:val="6DE8F7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2D41C7"/>
    <w:multiLevelType w:val="hybridMultilevel"/>
    <w:tmpl w:val="F0848028"/>
    <w:lvl w:ilvl="0" w:tplc="FFFFFFFF">
      <w:start w:val="1"/>
      <w:numFmt w:val="decimal"/>
      <w:lvlText w:val="%1."/>
      <w:lvlJc w:val="left"/>
      <w:pPr>
        <w:ind w:left="1080" w:hanging="360"/>
      </w:pPr>
      <w:rPr>
        <w:rFonts w:hint="default"/>
      </w:rPr>
    </w:lvl>
    <w:lvl w:ilvl="1" w:tplc="0C090017">
      <w:start w:val="1"/>
      <w:numFmt w:val="lowerLetter"/>
      <w:lvlText w:val="%2)"/>
      <w:lvlJc w:val="left"/>
      <w:pPr>
        <w:ind w:left="1800" w:hanging="360"/>
      </w:pPr>
    </w:lvl>
    <w:lvl w:ilvl="2" w:tplc="FFFFFFFF">
      <w:start w:val="1"/>
      <w:numFmt w:val="decimal"/>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5F0A4379"/>
    <w:multiLevelType w:val="hybridMultilevel"/>
    <w:tmpl w:val="8806B79E"/>
    <w:lvl w:ilvl="0" w:tplc="C374E33E">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647D67DD"/>
    <w:multiLevelType w:val="multilevel"/>
    <w:tmpl w:val="BB30B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7822C6D"/>
    <w:multiLevelType w:val="hybridMultilevel"/>
    <w:tmpl w:val="01C41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B91418"/>
    <w:multiLevelType w:val="hybridMultilevel"/>
    <w:tmpl w:val="66983B74"/>
    <w:lvl w:ilvl="0" w:tplc="FFFFFFFF">
      <w:start w:val="1"/>
      <w:numFmt w:val="decimal"/>
      <w:lvlText w:val="%1."/>
      <w:lvlJc w:val="left"/>
      <w:pPr>
        <w:ind w:left="1080" w:hanging="360"/>
      </w:pPr>
      <w:rPr>
        <w:rFonts w:hint="default"/>
      </w:rPr>
    </w:lvl>
    <w:lvl w:ilvl="1" w:tplc="FFFFFFFF">
      <w:numFmt w:val="bullet"/>
      <w:lvlText w:val="•"/>
      <w:lvlJc w:val="left"/>
      <w:pPr>
        <w:ind w:left="2160" w:hanging="720"/>
      </w:pPr>
      <w:rPr>
        <w:rFonts w:ascii="Calibri" w:eastAsia="Calibri" w:hAnsi="Calibri" w:cs="Calibri" w:hint="default"/>
      </w:rPr>
    </w:lvl>
    <w:lvl w:ilvl="2" w:tplc="FFFFFFFF">
      <w:start w:val="1"/>
      <w:numFmt w:val="decimal"/>
      <w:lvlText w:val="%3."/>
      <w:lvlJc w:val="left"/>
      <w:pPr>
        <w:ind w:left="3060" w:hanging="72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8" w15:restartNumberingAfterBreak="0">
    <w:nsid w:val="6CB6438E"/>
    <w:multiLevelType w:val="hybridMultilevel"/>
    <w:tmpl w:val="ABA2F174"/>
    <w:lvl w:ilvl="0" w:tplc="1172B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71396690"/>
    <w:multiLevelType w:val="hybridMultilevel"/>
    <w:tmpl w:val="F618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6DF24F0"/>
    <w:multiLevelType w:val="hybridMultilevel"/>
    <w:tmpl w:val="A78E875A"/>
    <w:lvl w:ilvl="0" w:tplc="1172BB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8EF38EE"/>
    <w:multiLevelType w:val="hybridMultilevel"/>
    <w:tmpl w:val="7DD25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937726E"/>
    <w:multiLevelType w:val="hybridMultilevel"/>
    <w:tmpl w:val="D4AC63DE"/>
    <w:lvl w:ilvl="0" w:tplc="0C090001">
      <w:start w:val="1"/>
      <w:numFmt w:val="bullet"/>
      <w:lvlText w:val=""/>
      <w:lvlJc w:val="left"/>
      <w:pPr>
        <w:ind w:left="1080" w:hanging="360"/>
      </w:pPr>
      <w:rPr>
        <w:rFonts w:ascii="Symbol" w:hAnsi="Symbol" w:hint="default"/>
      </w:rPr>
    </w:lvl>
    <w:lvl w:ilvl="1" w:tplc="FFFFFFFF">
      <w:numFmt w:val="bullet"/>
      <w:lvlText w:val="•"/>
      <w:lvlJc w:val="left"/>
      <w:pPr>
        <w:ind w:left="2160" w:hanging="720"/>
      </w:pPr>
      <w:rPr>
        <w:rFonts w:ascii="Calibri" w:eastAsia="Calibri"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7EF00EF4"/>
    <w:multiLevelType w:val="multilevel"/>
    <w:tmpl w:val="9592715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8845196">
    <w:abstractNumId w:val="36"/>
  </w:num>
  <w:num w:numId="2" w16cid:durableId="342558745">
    <w:abstractNumId w:val="35"/>
  </w:num>
  <w:num w:numId="3" w16cid:durableId="768503023">
    <w:abstractNumId w:val="28"/>
  </w:num>
  <w:num w:numId="4" w16cid:durableId="1589919502">
    <w:abstractNumId w:val="29"/>
  </w:num>
  <w:num w:numId="5" w16cid:durableId="13846930">
    <w:abstractNumId w:val="49"/>
  </w:num>
  <w:num w:numId="6" w16cid:durableId="1956446830">
    <w:abstractNumId w:val="19"/>
  </w:num>
  <w:num w:numId="7" w16cid:durableId="1510098777">
    <w:abstractNumId w:val="30"/>
  </w:num>
  <w:num w:numId="8" w16cid:durableId="1546287111">
    <w:abstractNumId w:val="12"/>
  </w:num>
  <w:num w:numId="9" w16cid:durableId="364015538">
    <w:abstractNumId w:val="21"/>
  </w:num>
  <w:num w:numId="10" w16cid:durableId="1939559953">
    <w:abstractNumId w:val="31"/>
  </w:num>
  <w:num w:numId="11" w16cid:durableId="467825594">
    <w:abstractNumId w:val="51"/>
  </w:num>
  <w:num w:numId="12" w16cid:durableId="1877351724">
    <w:abstractNumId w:val="9"/>
  </w:num>
  <w:num w:numId="13" w16cid:durableId="352728987">
    <w:abstractNumId w:val="18"/>
  </w:num>
  <w:num w:numId="14" w16cid:durableId="1823542460">
    <w:abstractNumId w:val="6"/>
  </w:num>
  <w:num w:numId="15" w16cid:durableId="288242180">
    <w:abstractNumId w:val="34"/>
  </w:num>
  <w:num w:numId="16" w16cid:durableId="692000454">
    <w:abstractNumId w:val="17"/>
  </w:num>
  <w:num w:numId="17" w16cid:durableId="1232276774">
    <w:abstractNumId w:val="0"/>
  </w:num>
  <w:num w:numId="18" w16cid:durableId="589126222">
    <w:abstractNumId w:val="52"/>
  </w:num>
  <w:num w:numId="19" w16cid:durableId="1615480790">
    <w:abstractNumId w:val="33"/>
  </w:num>
  <w:num w:numId="20" w16cid:durableId="2076051063">
    <w:abstractNumId w:val="7"/>
  </w:num>
  <w:num w:numId="21" w16cid:durableId="259531776">
    <w:abstractNumId w:val="20"/>
  </w:num>
  <w:num w:numId="22" w16cid:durableId="968826773">
    <w:abstractNumId w:val="2"/>
  </w:num>
  <w:num w:numId="23" w16cid:durableId="1109858273">
    <w:abstractNumId w:val="8"/>
  </w:num>
  <w:num w:numId="24" w16cid:durableId="868638367">
    <w:abstractNumId w:val="13"/>
  </w:num>
  <w:num w:numId="25" w16cid:durableId="336464971">
    <w:abstractNumId w:val="10"/>
  </w:num>
  <w:num w:numId="26" w16cid:durableId="2060323243">
    <w:abstractNumId w:val="44"/>
  </w:num>
  <w:num w:numId="27" w16cid:durableId="1820077833">
    <w:abstractNumId w:val="22"/>
  </w:num>
  <w:num w:numId="28" w16cid:durableId="635335052">
    <w:abstractNumId w:val="40"/>
  </w:num>
  <w:num w:numId="29" w16cid:durableId="1129857036">
    <w:abstractNumId w:val="38"/>
  </w:num>
  <w:num w:numId="30" w16cid:durableId="572785517">
    <w:abstractNumId w:val="47"/>
  </w:num>
  <w:num w:numId="31" w16cid:durableId="1260599879">
    <w:abstractNumId w:val="26"/>
  </w:num>
  <w:num w:numId="32" w16cid:durableId="490486662">
    <w:abstractNumId w:val="43"/>
  </w:num>
  <w:num w:numId="33" w16cid:durableId="491289566">
    <w:abstractNumId w:val="15"/>
  </w:num>
  <w:num w:numId="34" w16cid:durableId="1814173618">
    <w:abstractNumId w:val="25"/>
  </w:num>
  <w:num w:numId="35" w16cid:durableId="1732995945">
    <w:abstractNumId w:val="27"/>
  </w:num>
  <w:num w:numId="36" w16cid:durableId="955478398">
    <w:abstractNumId w:val="1"/>
  </w:num>
  <w:num w:numId="37" w16cid:durableId="1093017840">
    <w:abstractNumId w:val="4"/>
  </w:num>
  <w:num w:numId="38" w16cid:durableId="1848254198">
    <w:abstractNumId w:val="14"/>
  </w:num>
  <w:num w:numId="39" w16cid:durableId="586117902">
    <w:abstractNumId w:val="3"/>
  </w:num>
  <w:num w:numId="40" w16cid:durableId="1110707824">
    <w:abstractNumId w:val="16"/>
  </w:num>
  <w:num w:numId="41" w16cid:durableId="1022785079">
    <w:abstractNumId w:val="48"/>
  </w:num>
  <w:num w:numId="42" w16cid:durableId="1864591614">
    <w:abstractNumId w:val="46"/>
  </w:num>
  <w:num w:numId="43" w16cid:durableId="1143618883">
    <w:abstractNumId w:val="42"/>
  </w:num>
  <w:num w:numId="44" w16cid:durableId="1296106341">
    <w:abstractNumId w:val="5"/>
  </w:num>
  <w:num w:numId="45" w16cid:durableId="892233109">
    <w:abstractNumId w:val="23"/>
  </w:num>
  <w:num w:numId="46" w16cid:durableId="458770322">
    <w:abstractNumId w:val="53"/>
  </w:num>
  <w:num w:numId="47" w16cid:durableId="1133786927">
    <w:abstractNumId w:val="24"/>
  </w:num>
  <w:num w:numId="48" w16cid:durableId="1909150743">
    <w:abstractNumId w:val="32"/>
  </w:num>
  <w:num w:numId="49" w16cid:durableId="1131825833">
    <w:abstractNumId w:val="11"/>
  </w:num>
  <w:num w:numId="50" w16cid:durableId="1868903111">
    <w:abstractNumId w:val="39"/>
  </w:num>
  <w:num w:numId="51" w16cid:durableId="859048566">
    <w:abstractNumId w:val="37"/>
  </w:num>
  <w:num w:numId="52" w16cid:durableId="15038975">
    <w:abstractNumId w:val="50"/>
  </w:num>
  <w:num w:numId="53" w16cid:durableId="1142116776">
    <w:abstractNumId w:val="45"/>
  </w:num>
  <w:num w:numId="54" w16cid:durableId="422186516">
    <w:abstractNumId w:val="4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9C"/>
    <w:rsid w:val="0000051B"/>
    <w:rsid w:val="0000052F"/>
    <w:rsid w:val="00000D1B"/>
    <w:rsid w:val="00000D2C"/>
    <w:rsid w:val="00000D41"/>
    <w:rsid w:val="0000118A"/>
    <w:rsid w:val="0000123A"/>
    <w:rsid w:val="00001683"/>
    <w:rsid w:val="00001743"/>
    <w:rsid w:val="0000183B"/>
    <w:rsid w:val="00001897"/>
    <w:rsid w:val="00001A40"/>
    <w:rsid w:val="00001A4B"/>
    <w:rsid w:val="00001FDF"/>
    <w:rsid w:val="000020FA"/>
    <w:rsid w:val="000024BF"/>
    <w:rsid w:val="00002557"/>
    <w:rsid w:val="000026D3"/>
    <w:rsid w:val="00002C96"/>
    <w:rsid w:val="0000313B"/>
    <w:rsid w:val="0000321B"/>
    <w:rsid w:val="000033D6"/>
    <w:rsid w:val="000033D9"/>
    <w:rsid w:val="000036AF"/>
    <w:rsid w:val="00003956"/>
    <w:rsid w:val="00003EB1"/>
    <w:rsid w:val="00003F38"/>
    <w:rsid w:val="0000416D"/>
    <w:rsid w:val="00004294"/>
    <w:rsid w:val="000042A0"/>
    <w:rsid w:val="00004406"/>
    <w:rsid w:val="00005711"/>
    <w:rsid w:val="00005799"/>
    <w:rsid w:val="00005CF9"/>
    <w:rsid w:val="00005EC4"/>
    <w:rsid w:val="000063BF"/>
    <w:rsid w:val="00006837"/>
    <w:rsid w:val="0000684A"/>
    <w:rsid w:val="0000685C"/>
    <w:rsid w:val="00006AF5"/>
    <w:rsid w:val="00006E6B"/>
    <w:rsid w:val="0000715E"/>
    <w:rsid w:val="00007281"/>
    <w:rsid w:val="000073AA"/>
    <w:rsid w:val="00007842"/>
    <w:rsid w:val="00007878"/>
    <w:rsid w:val="000078A7"/>
    <w:rsid w:val="00007A59"/>
    <w:rsid w:val="00007F09"/>
    <w:rsid w:val="00007FEA"/>
    <w:rsid w:val="00010051"/>
    <w:rsid w:val="000103E2"/>
    <w:rsid w:val="00010592"/>
    <w:rsid w:val="00010A79"/>
    <w:rsid w:val="00010C04"/>
    <w:rsid w:val="000114FB"/>
    <w:rsid w:val="00011AE9"/>
    <w:rsid w:val="00012136"/>
    <w:rsid w:val="0001216F"/>
    <w:rsid w:val="00012301"/>
    <w:rsid w:val="00012325"/>
    <w:rsid w:val="0001237D"/>
    <w:rsid w:val="0001239F"/>
    <w:rsid w:val="000123E8"/>
    <w:rsid w:val="00012410"/>
    <w:rsid w:val="0001290E"/>
    <w:rsid w:val="00012B51"/>
    <w:rsid w:val="00012BBA"/>
    <w:rsid w:val="00012D1D"/>
    <w:rsid w:val="00012E70"/>
    <w:rsid w:val="00012EDD"/>
    <w:rsid w:val="00012FD0"/>
    <w:rsid w:val="00013082"/>
    <w:rsid w:val="000134F6"/>
    <w:rsid w:val="00013710"/>
    <w:rsid w:val="00013A61"/>
    <w:rsid w:val="00014643"/>
    <w:rsid w:val="0001472E"/>
    <w:rsid w:val="000148EA"/>
    <w:rsid w:val="00014DDB"/>
    <w:rsid w:val="00014EFB"/>
    <w:rsid w:val="000150BC"/>
    <w:rsid w:val="00015247"/>
    <w:rsid w:val="0001564C"/>
    <w:rsid w:val="0001592D"/>
    <w:rsid w:val="00015CC7"/>
    <w:rsid w:val="00015DB8"/>
    <w:rsid w:val="00015E2D"/>
    <w:rsid w:val="00015F18"/>
    <w:rsid w:val="00015F76"/>
    <w:rsid w:val="00016270"/>
    <w:rsid w:val="00016311"/>
    <w:rsid w:val="00016552"/>
    <w:rsid w:val="00016ED3"/>
    <w:rsid w:val="000172C3"/>
    <w:rsid w:val="00017477"/>
    <w:rsid w:val="00017616"/>
    <w:rsid w:val="00017946"/>
    <w:rsid w:val="000204E1"/>
    <w:rsid w:val="000206DB"/>
    <w:rsid w:val="0002087B"/>
    <w:rsid w:val="00020CF5"/>
    <w:rsid w:val="00020D19"/>
    <w:rsid w:val="0002110D"/>
    <w:rsid w:val="000212B9"/>
    <w:rsid w:val="00021665"/>
    <w:rsid w:val="000216E7"/>
    <w:rsid w:val="00021B0B"/>
    <w:rsid w:val="00021B16"/>
    <w:rsid w:val="00021F69"/>
    <w:rsid w:val="00021F73"/>
    <w:rsid w:val="0002219C"/>
    <w:rsid w:val="000223AA"/>
    <w:rsid w:val="000224F6"/>
    <w:rsid w:val="00022748"/>
    <w:rsid w:val="000229C1"/>
    <w:rsid w:val="00022D5A"/>
    <w:rsid w:val="00022E2E"/>
    <w:rsid w:val="000230F2"/>
    <w:rsid w:val="00023628"/>
    <w:rsid w:val="000236DD"/>
    <w:rsid w:val="0002390F"/>
    <w:rsid w:val="000239AE"/>
    <w:rsid w:val="00023C60"/>
    <w:rsid w:val="00023E87"/>
    <w:rsid w:val="00023EF0"/>
    <w:rsid w:val="000241BF"/>
    <w:rsid w:val="000242C6"/>
    <w:rsid w:val="00024347"/>
    <w:rsid w:val="00024912"/>
    <w:rsid w:val="0002494D"/>
    <w:rsid w:val="00024978"/>
    <w:rsid w:val="00024AA8"/>
    <w:rsid w:val="00024ACC"/>
    <w:rsid w:val="00024B3B"/>
    <w:rsid w:val="00024BB9"/>
    <w:rsid w:val="00024CC3"/>
    <w:rsid w:val="00024DC9"/>
    <w:rsid w:val="00024E42"/>
    <w:rsid w:val="00024EAB"/>
    <w:rsid w:val="00024F21"/>
    <w:rsid w:val="00024FE3"/>
    <w:rsid w:val="00025467"/>
    <w:rsid w:val="000255AB"/>
    <w:rsid w:val="0002587C"/>
    <w:rsid w:val="00025A85"/>
    <w:rsid w:val="00025C96"/>
    <w:rsid w:val="00025DF0"/>
    <w:rsid w:val="00025FD1"/>
    <w:rsid w:val="0002641A"/>
    <w:rsid w:val="000265A9"/>
    <w:rsid w:val="000266BE"/>
    <w:rsid w:val="00026B4A"/>
    <w:rsid w:val="00026B92"/>
    <w:rsid w:val="00026CE3"/>
    <w:rsid w:val="00026DC8"/>
    <w:rsid w:val="00026F0B"/>
    <w:rsid w:val="00026FDE"/>
    <w:rsid w:val="00026FE7"/>
    <w:rsid w:val="000271A7"/>
    <w:rsid w:val="00027456"/>
    <w:rsid w:val="00027BA4"/>
    <w:rsid w:val="00027C76"/>
    <w:rsid w:val="00027C79"/>
    <w:rsid w:val="00027F69"/>
    <w:rsid w:val="00030144"/>
    <w:rsid w:val="00030B21"/>
    <w:rsid w:val="0003116B"/>
    <w:rsid w:val="000311C3"/>
    <w:rsid w:val="00031395"/>
    <w:rsid w:val="000318D3"/>
    <w:rsid w:val="00031C51"/>
    <w:rsid w:val="00031E8D"/>
    <w:rsid w:val="00031FAA"/>
    <w:rsid w:val="00031FFA"/>
    <w:rsid w:val="000322AC"/>
    <w:rsid w:val="000323F7"/>
    <w:rsid w:val="0003257F"/>
    <w:rsid w:val="00032A2B"/>
    <w:rsid w:val="00032CA2"/>
    <w:rsid w:val="00032DA5"/>
    <w:rsid w:val="0003310A"/>
    <w:rsid w:val="00033150"/>
    <w:rsid w:val="000331AE"/>
    <w:rsid w:val="0003325B"/>
    <w:rsid w:val="00033573"/>
    <w:rsid w:val="000337A4"/>
    <w:rsid w:val="00034089"/>
    <w:rsid w:val="0003446D"/>
    <w:rsid w:val="00034B8F"/>
    <w:rsid w:val="00034C91"/>
    <w:rsid w:val="000350F6"/>
    <w:rsid w:val="0003536C"/>
    <w:rsid w:val="0003548E"/>
    <w:rsid w:val="0003550C"/>
    <w:rsid w:val="0003569D"/>
    <w:rsid w:val="00035762"/>
    <w:rsid w:val="00035AE0"/>
    <w:rsid w:val="000365E0"/>
    <w:rsid w:val="0003688D"/>
    <w:rsid w:val="00036ABD"/>
    <w:rsid w:val="00036D26"/>
    <w:rsid w:val="00036D71"/>
    <w:rsid w:val="00036E2B"/>
    <w:rsid w:val="00036E88"/>
    <w:rsid w:val="00037224"/>
    <w:rsid w:val="000372CE"/>
    <w:rsid w:val="000372FA"/>
    <w:rsid w:val="000378A2"/>
    <w:rsid w:val="00037C5B"/>
    <w:rsid w:val="0004003C"/>
    <w:rsid w:val="0004023E"/>
    <w:rsid w:val="00040435"/>
    <w:rsid w:val="000407E7"/>
    <w:rsid w:val="0004080E"/>
    <w:rsid w:val="00040975"/>
    <w:rsid w:val="00040AEF"/>
    <w:rsid w:val="00040D07"/>
    <w:rsid w:val="00040D6C"/>
    <w:rsid w:val="00040F47"/>
    <w:rsid w:val="00041282"/>
    <w:rsid w:val="00041355"/>
    <w:rsid w:val="00041394"/>
    <w:rsid w:val="00041482"/>
    <w:rsid w:val="000418EB"/>
    <w:rsid w:val="000419C2"/>
    <w:rsid w:val="00041A9B"/>
    <w:rsid w:val="00041CF5"/>
    <w:rsid w:val="000420FD"/>
    <w:rsid w:val="000422FF"/>
    <w:rsid w:val="0004247C"/>
    <w:rsid w:val="000424CF"/>
    <w:rsid w:val="000424F0"/>
    <w:rsid w:val="00042628"/>
    <w:rsid w:val="00042AA1"/>
    <w:rsid w:val="00042C9E"/>
    <w:rsid w:val="00042FDD"/>
    <w:rsid w:val="00043330"/>
    <w:rsid w:val="00043BD3"/>
    <w:rsid w:val="00043C83"/>
    <w:rsid w:val="00043DE6"/>
    <w:rsid w:val="000443D0"/>
    <w:rsid w:val="0004473B"/>
    <w:rsid w:val="0004489C"/>
    <w:rsid w:val="00044A72"/>
    <w:rsid w:val="00044AEE"/>
    <w:rsid w:val="00044B0E"/>
    <w:rsid w:val="00044D59"/>
    <w:rsid w:val="00044ECD"/>
    <w:rsid w:val="000455CA"/>
    <w:rsid w:val="000456A3"/>
    <w:rsid w:val="00045826"/>
    <w:rsid w:val="00045A44"/>
    <w:rsid w:val="00045A5B"/>
    <w:rsid w:val="00045B39"/>
    <w:rsid w:val="00045DEC"/>
    <w:rsid w:val="00045FF2"/>
    <w:rsid w:val="00046248"/>
    <w:rsid w:val="0004628B"/>
    <w:rsid w:val="000463EF"/>
    <w:rsid w:val="0004668E"/>
    <w:rsid w:val="000467DA"/>
    <w:rsid w:val="00046BC1"/>
    <w:rsid w:val="00046F3B"/>
    <w:rsid w:val="00046FAF"/>
    <w:rsid w:val="00047411"/>
    <w:rsid w:val="0004792D"/>
    <w:rsid w:val="00047C54"/>
    <w:rsid w:val="00047DFE"/>
    <w:rsid w:val="00047EF5"/>
    <w:rsid w:val="000504E1"/>
    <w:rsid w:val="00050EE6"/>
    <w:rsid w:val="000510F8"/>
    <w:rsid w:val="0005132E"/>
    <w:rsid w:val="00051538"/>
    <w:rsid w:val="0005171F"/>
    <w:rsid w:val="0005187D"/>
    <w:rsid w:val="0005191B"/>
    <w:rsid w:val="00051D68"/>
    <w:rsid w:val="000528FB"/>
    <w:rsid w:val="00052D65"/>
    <w:rsid w:val="0005312E"/>
    <w:rsid w:val="00053156"/>
    <w:rsid w:val="0005339F"/>
    <w:rsid w:val="000537D7"/>
    <w:rsid w:val="00053887"/>
    <w:rsid w:val="00053BBA"/>
    <w:rsid w:val="00053D2C"/>
    <w:rsid w:val="00053D8A"/>
    <w:rsid w:val="00054044"/>
    <w:rsid w:val="00054228"/>
    <w:rsid w:val="00054249"/>
    <w:rsid w:val="000542F4"/>
    <w:rsid w:val="000546C0"/>
    <w:rsid w:val="0005490B"/>
    <w:rsid w:val="00054A13"/>
    <w:rsid w:val="00054DA1"/>
    <w:rsid w:val="00055272"/>
    <w:rsid w:val="000554A0"/>
    <w:rsid w:val="00055545"/>
    <w:rsid w:val="00055614"/>
    <w:rsid w:val="00055618"/>
    <w:rsid w:val="00055AB7"/>
    <w:rsid w:val="00055D0E"/>
    <w:rsid w:val="00055D3A"/>
    <w:rsid w:val="00055FBE"/>
    <w:rsid w:val="000565C6"/>
    <w:rsid w:val="0005692D"/>
    <w:rsid w:val="0005727B"/>
    <w:rsid w:val="0005736D"/>
    <w:rsid w:val="000575EA"/>
    <w:rsid w:val="00057778"/>
    <w:rsid w:val="000578CA"/>
    <w:rsid w:val="000578EB"/>
    <w:rsid w:val="00057EF7"/>
    <w:rsid w:val="00057F52"/>
    <w:rsid w:val="00057F63"/>
    <w:rsid w:val="00060015"/>
    <w:rsid w:val="0006034A"/>
    <w:rsid w:val="00060724"/>
    <w:rsid w:val="000608BE"/>
    <w:rsid w:val="00061090"/>
    <w:rsid w:val="000611ED"/>
    <w:rsid w:val="00061200"/>
    <w:rsid w:val="0006126C"/>
    <w:rsid w:val="00061622"/>
    <w:rsid w:val="00061A6A"/>
    <w:rsid w:val="000621F7"/>
    <w:rsid w:val="00062385"/>
    <w:rsid w:val="000623E7"/>
    <w:rsid w:val="000625F3"/>
    <w:rsid w:val="000626C0"/>
    <w:rsid w:val="00062A3D"/>
    <w:rsid w:val="00062EAF"/>
    <w:rsid w:val="0006387F"/>
    <w:rsid w:val="000638C2"/>
    <w:rsid w:val="00063CD3"/>
    <w:rsid w:val="00063E22"/>
    <w:rsid w:val="00063FC7"/>
    <w:rsid w:val="0006403E"/>
    <w:rsid w:val="000641A0"/>
    <w:rsid w:val="000642A2"/>
    <w:rsid w:val="0006443F"/>
    <w:rsid w:val="00064637"/>
    <w:rsid w:val="000646B3"/>
    <w:rsid w:val="00064706"/>
    <w:rsid w:val="00064DFE"/>
    <w:rsid w:val="00064FA5"/>
    <w:rsid w:val="000650B4"/>
    <w:rsid w:val="000650E8"/>
    <w:rsid w:val="0006519D"/>
    <w:rsid w:val="000651D9"/>
    <w:rsid w:val="0006521E"/>
    <w:rsid w:val="00065407"/>
    <w:rsid w:val="000654F1"/>
    <w:rsid w:val="00065870"/>
    <w:rsid w:val="000662C7"/>
    <w:rsid w:val="00066616"/>
    <w:rsid w:val="0006704A"/>
    <w:rsid w:val="0006755B"/>
    <w:rsid w:val="000678A7"/>
    <w:rsid w:val="00067CC5"/>
    <w:rsid w:val="00067ECF"/>
    <w:rsid w:val="00067F45"/>
    <w:rsid w:val="00067FCD"/>
    <w:rsid w:val="00067FD4"/>
    <w:rsid w:val="000701A7"/>
    <w:rsid w:val="0007031D"/>
    <w:rsid w:val="00070338"/>
    <w:rsid w:val="00070BC6"/>
    <w:rsid w:val="0007177F"/>
    <w:rsid w:val="00071E09"/>
    <w:rsid w:val="00072138"/>
    <w:rsid w:val="000723AE"/>
    <w:rsid w:val="000729E3"/>
    <w:rsid w:val="00072C1F"/>
    <w:rsid w:val="00073934"/>
    <w:rsid w:val="00073971"/>
    <w:rsid w:val="00073C65"/>
    <w:rsid w:val="00073D1B"/>
    <w:rsid w:val="00073F6B"/>
    <w:rsid w:val="000744AF"/>
    <w:rsid w:val="00074975"/>
    <w:rsid w:val="00074D7A"/>
    <w:rsid w:val="00075083"/>
    <w:rsid w:val="0007525F"/>
    <w:rsid w:val="00075708"/>
    <w:rsid w:val="00075736"/>
    <w:rsid w:val="00075789"/>
    <w:rsid w:val="00075ACC"/>
    <w:rsid w:val="00075F21"/>
    <w:rsid w:val="00076228"/>
    <w:rsid w:val="0007629F"/>
    <w:rsid w:val="00076710"/>
    <w:rsid w:val="00076861"/>
    <w:rsid w:val="00076B0C"/>
    <w:rsid w:val="00076CBE"/>
    <w:rsid w:val="00076F4A"/>
    <w:rsid w:val="000773D5"/>
    <w:rsid w:val="00077835"/>
    <w:rsid w:val="000779CD"/>
    <w:rsid w:val="00077EB7"/>
    <w:rsid w:val="00077FD2"/>
    <w:rsid w:val="00080117"/>
    <w:rsid w:val="0008042B"/>
    <w:rsid w:val="000804DB"/>
    <w:rsid w:val="000808DF"/>
    <w:rsid w:val="0008097D"/>
    <w:rsid w:val="00080C18"/>
    <w:rsid w:val="00080C65"/>
    <w:rsid w:val="00080EF7"/>
    <w:rsid w:val="00080FB3"/>
    <w:rsid w:val="000811C1"/>
    <w:rsid w:val="000815BA"/>
    <w:rsid w:val="000817ED"/>
    <w:rsid w:val="00081803"/>
    <w:rsid w:val="00081A43"/>
    <w:rsid w:val="00081B52"/>
    <w:rsid w:val="00081DC0"/>
    <w:rsid w:val="00081E51"/>
    <w:rsid w:val="00081F72"/>
    <w:rsid w:val="0008220F"/>
    <w:rsid w:val="00082475"/>
    <w:rsid w:val="00082522"/>
    <w:rsid w:val="000825A1"/>
    <w:rsid w:val="000825D8"/>
    <w:rsid w:val="0008285E"/>
    <w:rsid w:val="00082941"/>
    <w:rsid w:val="0008295D"/>
    <w:rsid w:val="0008356F"/>
    <w:rsid w:val="00083697"/>
    <w:rsid w:val="000836C3"/>
    <w:rsid w:val="00083B51"/>
    <w:rsid w:val="00083C5B"/>
    <w:rsid w:val="00083E4D"/>
    <w:rsid w:val="00083F40"/>
    <w:rsid w:val="00083F41"/>
    <w:rsid w:val="000846D3"/>
    <w:rsid w:val="000848B1"/>
    <w:rsid w:val="00084928"/>
    <w:rsid w:val="00084C8B"/>
    <w:rsid w:val="00084D55"/>
    <w:rsid w:val="00084DBD"/>
    <w:rsid w:val="00084DD3"/>
    <w:rsid w:val="00084E1A"/>
    <w:rsid w:val="00084E20"/>
    <w:rsid w:val="00084F77"/>
    <w:rsid w:val="0008516E"/>
    <w:rsid w:val="00085232"/>
    <w:rsid w:val="00085259"/>
    <w:rsid w:val="000852DD"/>
    <w:rsid w:val="0008532D"/>
    <w:rsid w:val="00085391"/>
    <w:rsid w:val="000853D6"/>
    <w:rsid w:val="000858C5"/>
    <w:rsid w:val="00085A06"/>
    <w:rsid w:val="00085DB5"/>
    <w:rsid w:val="00085EE8"/>
    <w:rsid w:val="000860AB"/>
    <w:rsid w:val="000869D9"/>
    <w:rsid w:val="00086BC0"/>
    <w:rsid w:val="00086F48"/>
    <w:rsid w:val="0008787F"/>
    <w:rsid w:val="00087BAB"/>
    <w:rsid w:val="00087C41"/>
    <w:rsid w:val="00087C57"/>
    <w:rsid w:val="00087CE6"/>
    <w:rsid w:val="00087E36"/>
    <w:rsid w:val="00090056"/>
    <w:rsid w:val="0009021E"/>
    <w:rsid w:val="00090425"/>
    <w:rsid w:val="00090646"/>
    <w:rsid w:val="00090658"/>
    <w:rsid w:val="000906EF"/>
    <w:rsid w:val="00090A8C"/>
    <w:rsid w:val="00090C27"/>
    <w:rsid w:val="00090C47"/>
    <w:rsid w:val="00090C7F"/>
    <w:rsid w:val="00090CF6"/>
    <w:rsid w:val="00090DDB"/>
    <w:rsid w:val="00091109"/>
    <w:rsid w:val="000911FC"/>
    <w:rsid w:val="000912C7"/>
    <w:rsid w:val="00091392"/>
    <w:rsid w:val="0009166C"/>
    <w:rsid w:val="00091DA5"/>
    <w:rsid w:val="00091DF2"/>
    <w:rsid w:val="0009200F"/>
    <w:rsid w:val="000924A0"/>
    <w:rsid w:val="00092781"/>
    <w:rsid w:val="00092DB5"/>
    <w:rsid w:val="000934AE"/>
    <w:rsid w:val="000937E2"/>
    <w:rsid w:val="000938CF"/>
    <w:rsid w:val="000938E5"/>
    <w:rsid w:val="00093949"/>
    <w:rsid w:val="000939E0"/>
    <w:rsid w:val="00093DA3"/>
    <w:rsid w:val="00093E9E"/>
    <w:rsid w:val="00094237"/>
    <w:rsid w:val="0009447C"/>
    <w:rsid w:val="00094515"/>
    <w:rsid w:val="000945CA"/>
    <w:rsid w:val="00094724"/>
    <w:rsid w:val="000949D7"/>
    <w:rsid w:val="00094B76"/>
    <w:rsid w:val="00094C5E"/>
    <w:rsid w:val="00094E55"/>
    <w:rsid w:val="00094F9E"/>
    <w:rsid w:val="0009500C"/>
    <w:rsid w:val="00095092"/>
    <w:rsid w:val="00095162"/>
    <w:rsid w:val="000953C5"/>
    <w:rsid w:val="00095514"/>
    <w:rsid w:val="000956F8"/>
    <w:rsid w:val="00095B09"/>
    <w:rsid w:val="00095D7D"/>
    <w:rsid w:val="00095DF4"/>
    <w:rsid w:val="0009608E"/>
    <w:rsid w:val="000963F0"/>
    <w:rsid w:val="00096694"/>
    <w:rsid w:val="00096743"/>
    <w:rsid w:val="00096CA5"/>
    <w:rsid w:val="00096D62"/>
    <w:rsid w:val="00096FD3"/>
    <w:rsid w:val="00097167"/>
    <w:rsid w:val="000971F4"/>
    <w:rsid w:val="00097272"/>
    <w:rsid w:val="0009738E"/>
    <w:rsid w:val="0009758F"/>
    <w:rsid w:val="00097788"/>
    <w:rsid w:val="00097F2E"/>
    <w:rsid w:val="000A01C8"/>
    <w:rsid w:val="000A021F"/>
    <w:rsid w:val="000A036A"/>
    <w:rsid w:val="000A077B"/>
    <w:rsid w:val="000A0923"/>
    <w:rsid w:val="000A0B99"/>
    <w:rsid w:val="000A0DD3"/>
    <w:rsid w:val="000A1223"/>
    <w:rsid w:val="000A13DA"/>
    <w:rsid w:val="000A1768"/>
    <w:rsid w:val="000A1939"/>
    <w:rsid w:val="000A1A38"/>
    <w:rsid w:val="000A209B"/>
    <w:rsid w:val="000A263B"/>
    <w:rsid w:val="000A2B26"/>
    <w:rsid w:val="000A3242"/>
    <w:rsid w:val="000A3635"/>
    <w:rsid w:val="000A3EE2"/>
    <w:rsid w:val="000A40C7"/>
    <w:rsid w:val="000A4113"/>
    <w:rsid w:val="000A41C3"/>
    <w:rsid w:val="000A4304"/>
    <w:rsid w:val="000A4538"/>
    <w:rsid w:val="000A472A"/>
    <w:rsid w:val="000A4830"/>
    <w:rsid w:val="000A489D"/>
    <w:rsid w:val="000A491A"/>
    <w:rsid w:val="000A4F7B"/>
    <w:rsid w:val="000A5285"/>
    <w:rsid w:val="000A5500"/>
    <w:rsid w:val="000A59E3"/>
    <w:rsid w:val="000A5C9C"/>
    <w:rsid w:val="000A5CEA"/>
    <w:rsid w:val="000A66F0"/>
    <w:rsid w:val="000A6CFC"/>
    <w:rsid w:val="000A6F2C"/>
    <w:rsid w:val="000A6FB7"/>
    <w:rsid w:val="000A71C4"/>
    <w:rsid w:val="000A720D"/>
    <w:rsid w:val="000A7283"/>
    <w:rsid w:val="000A7357"/>
    <w:rsid w:val="000A75A5"/>
    <w:rsid w:val="000A78BF"/>
    <w:rsid w:val="000A7916"/>
    <w:rsid w:val="000A7F8C"/>
    <w:rsid w:val="000B0187"/>
    <w:rsid w:val="000B0249"/>
    <w:rsid w:val="000B036C"/>
    <w:rsid w:val="000B04E8"/>
    <w:rsid w:val="000B0E2A"/>
    <w:rsid w:val="000B0EF2"/>
    <w:rsid w:val="000B11CF"/>
    <w:rsid w:val="000B133F"/>
    <w:rsid w:val="000B156D"/>
    <w:rsid w:val="000B1653"/>
    <w:rsid w:val="000B17BD"/>
    <w:rsid w:val="000B1BFF"/>
    <w:rsid w:val="000B1C59"/>
    <w:rsid w:val="000B1D1B"/>
    <w:rsid w:val="000B1F19"/>
    <w:rsid w:val="000B21B3"/>
    <w:rsid w:val="000B2586"/>
    <w:rsid w:val="000B25FB"/>
    <w:rsid w:val="000B2736"/>
    <w:rsid w:val="000B29D7"/>
    <w:rsid w:val="000B2C20"/>
    <w:rsid w:val="000B2C47"/>
    <w:rsid w:val="000B2C97"/>
    <w:rsid w:val="000B2D14"/>
    <w:rsid w:val="000B2E77"/>
    <w:rsid w:val="000B2E7A"/>
    <w:rsid w:val="000B2EC5"/>
    <w:rsid w:val="000B2F60"/>
    <w:rsid w:val="000B35E8"/>
    <w:rsid w:val="000B3673"/>
    <w:rsid w:val="000B38B0"/>
    <w:rsid w:val="000B38D7"/>
    <w:rsid w:val="000B3A64"/>
    <w:rsid w:val="000B3D1C"/>
    <w:rsid w:val="000B3DBE"/>
    <w:rsid w:val="000B4392"/>
    <w:rsid w:val="000B4448"/>
    <w:rsid w:val="000B478D"/>
    <w:rsid w:val="000B4F46"/>
    <w:rsid w:val="000B5585"/>
    <w:rsid w:val="000B5A22"/>
    <w:rsid w:val="000B5B03"/>
    <w:rsid w:val="000B5C14"/>
    <w:rsid w:val="000B5D23"/>
    <w:rsid w:val="000B5E30"/>
    <w:rsid w:val="000B5E9C"/>
    <w:rsid w:val="000B5F69"/>
    <w:rsid w:val="000B60C6"/>
    <w:rsid w:val="000B65A7"/>
    <w:rsid w:val="000B6845"/>
    <w:rsid w:val="000B692C"/>
    <w:rsid w:val="000B6A0B"/>
    <w:rsid w:val="000B7068"/>
    <w:rsid w:val="000B7599"/>
    <w:rsid w:val="000B7804"/>
    <w:rsid w:val="000B7981"/>
    <w:rsid w:val="000B7CEC"/>
    <w:rsid w:val="000C0907"/>
    <w:rsid w:val="000C0DB7"/>
    <w:rsid w:val="000C0DEE"/>
    <w:rsid w:val="000C1290"/>
    <w:rsid w:val="000C138A"/>
    <w:rsid w:val="000C16D6"/>
    <w:rsid w:val="000C1729"/>
    <w:rsid w:val="000C1A5D"/>
    <w:rsid w:val="000C1BB9"/>
    <w:rsid w:val="000C1CD7"/>
    <w:rsid w:val="000C1D2C"/>
    <w:rsid w:val="000C2115"/>
    <w:rsid w:val="000C2239"/>
    <w:rsid w:val="000C22C5"/>
    <w:rsid w:val="000C2E27"/>
    <w:rsid w:val="000C2E86"/>
    <w:rsid w:val="000C315A"/>
    <w:rsid w:val="000C31D6"/>
    <w:rsid w:val="000C3235"/>
    <w:rsid w:val="000C33DB"/>
    <w:rsid w:val="000C359E"/>
    <w:rsid w:val="000C3B60"/>
    <w:rsid w:val="000C3BDB"/>
    <w:rsid w:val="000C3CC9"/>
    <w:rsid w:val="000C45F7"/>
    <w:rsid w:val="000C4E13"/>
    <w:rsid w:val="000C4F40"/>
    <w:rsid w:val="000C4FB7"/>
    <w:rsid w:val="000C502D"/>
    <w:rsid w:val="000C5559"/>
    <w:rsid w:val="000C5680"/>
    <w:rsid w:val="000C572F"/>
    <w:rsid w:val="000C5770"/>
    <w:rsid w:val="000C5B66"/>
    <w:rsid w:val="000C5BA5"/>
    <w:rsid w:val="000C5CC9"/>
    <w:rsid w:val="000C5CD3"/>
    <w:rsid w:val="000C5ECB"/>
    <w:rsid w:val="000C5F52"/>
    <w:rsid w:val="000C648C"/>
    <w:rsid w:val="000C6590"/>
    <w:rsid w:val="000C662D"/>
    <w:rsid w:val="000C69CC"/>
    <w:rsid w:val="000C752B"/>
    <w:rsid w:val="000C79DD"/>
    <w:rsid w:val="000C7C65"/>
    <w:rsid w:val="000C7CF5"/>
    <w:rsid w:val="000C7D0C"/>
    <w:rsid w:val="000D021D"/>
    <w:rsid w:val="000D0436"/>
    <w:rsid w:val="000D04E4"/>
    <w:rsid w:val="000D0A58"/>
    <w:rsid w:val="000D0DE4"/>
    <w:rsid w:val="000D0F10"/>
    <w:rsid w:val="000D0FA6"/>
    <w:rsid w:val="000D101B"/>
    <w:rsid w:val="000D11AF"/>
    <w:rsid w:val="000D1518"/>
    <w:rsid w:val="000D1DA9"/>
    <w:rsid w:val="000D1DAD"/>
    <w:rsid w:val="000D1FC2"/>
    <w:rsid w:val="000D1FCF"/>
    <w:rsid w:val="000D2106"/>
    <w:rsid w:val="000D22FD"/>
    <w:rsid w:val="000D231E"/>
    <w:rsid w:val="000D2A75"/>
    <w:rsid w:val="000D3177"/>
    <w:rsid w:val="000D33DA"/>
    <w:rsid w:val="000D3893"/>
    <w:rsid w:val="000D39DF"/>
    <w:rsid w:val="000D3A67"/>
    <w:rsid w:val="000D3A7D"/>
    <w:rsid w:val="000D3E09"/>
    <w:rsid w:val="000D411F"/>
    <w:rsid w:val="000D433F"/>
    <w:rsid w:val="000D4476"/>
    <w:rsid w:val="000D498E"/>
    <w:rsid w:val="000D4A7B"/>
    <w:rsid w:val="000D4B54"/>
    <w:rsid w:val="000D502C"/>
    <w:rsid w:val="000D52DD"/>
    <w:rsid w:val="000D533E"/>
    <w:rsid w:val="000D544C"/>
    <w:rsid w:val="000D5626"/>
    <w:rsid w:val="000D5685"/>
    <w:rsid w:val="000D58E0"/>
    <w:rsid w:val="000D5D98"/>
    <w:rsid w:val="000D5E76"/>
    <w:rsid w:val="000D60E8"/>
    <w:rsid w:val="000D64B0"/>
    <w:rsid w:val="000D69B4"/>
    <w:rsid w:val="000D6BEF"/>
    <w:rsid w:val="000D6D5F"/>
    <w:rsid w:val="000D6F86"/>
    <w:rsid w:val="000D6FFB"/>
    <w:rsid w:val="000D73E6"/>
    <w:rsid w:val="000D7B68"/>
    <w:rsid w:val="000E010F"/>
    <w:rsid w:val="000E0167"/>
    <w:rsid w:val="000E0576"/>
    <w:rsid w:val="000E090A"/>
    <w:rsid w:val="000E0CCF"/>
    <w:rsid w:val="000E100A"/>
    <w:rsid w:val="000E111D"/>
    <w:rsid w:val="000E1192"/>
    <w:rsid w:val="000E1344"/>
    <w:rsid w:val="000E143B"/>
    <w:rsid w:val="000E1513"/>
    <w:rsid w:val="000E159C"/>
    <w:rsid w:val="000E1BD6"/>
    <w:rsid w:val="000E1D99"/>
    <w:rsid w:val="000E1E0F"/>
    <w:rsid w:val="000E1FBF"/>
    <w:rsid w:val="000E2079"/>
    <w:rsid w:val="000E27FF"/>
    <w:rsid w:val="000E2B64"/>
    <w:rsid w:val="000E3506"/>
    <w:rsid w:val="000E3C16"/>
    <w:rsid w:val="000E40F9"/>
    <w:rsid w:val="000E45CC"/>
    <w:rsid w:val="000E4880"/>
    <w:rsid w:val="000E4CB6"/>
    <w:rsid w:val="000E4DB6"/>
    <w:rsid w:val="000E5394"/>
    <w:rsid w:val="000E554E"/>
    <w:rsid w:val="000E5AF1"/>
    <w:rsid w:val="000E5E26"/>
    <w:rsid w:val="000E5E45"/>
    <w:rsid w:val="000E5EB3"/>
    <w:rsid w:val="000E5F37"/>
    <w:rsid w:val="000E623D"/>
    <w:rsid w:val="000E65B1"/>
    <w:rsid w:val="000E6685"/>
    <w:rsid w:val="000E68B1"/>
    <w:rsid w:val="000E695A"/>
    <w:rsid w:val="000E69E6"/>
    <w:rsid w:val="000E70FD"/>
    <w:rsid w:val="000E716D"/>
    <w:rsid w:val="000E7246"/>
    <w:rsid w:val="000E72DA"/>
    <w:rsid w:val="000E7545"/>
    <w:rsid w:val="000E77B3"/>
    <w:rsid w:val="000E795F"/>
    <w:rsid w:val="000E7D8F"/>
    <w:rsid w:val="000E7EEA"/>
    <w:rsid w:val="000F0605"/>
    <w:rsid w:val="000F06BE"/>
    <w:rsid w:val="000F0849"/>
    <w:rsid w:val="000F0912"/>
    <w:rsid w:val="000F0E75"/>
    <w:rsid w:val="000F0E8B"/>
    <w:rsid w:val="000F17C4"/>
    <w:rsid w:val="000F1AB2"/>
    <w:rsid w:val="000F1D2A"/>
    <w:rsid w:val="000F2263"/>
    <w:rsid w:val="000F226B"/>
    <w:rsid w:val="000F2C3B"/>
    <w:rsid w:val="000F2CBF"/>
    <w:rsid w:val="000F2DB5"/>
    <w:rsid w:val="000F2F1E"/>
    <w:rsid w:val="000F3188"/>
    <w:rsid w:val="000F3310"/>
    <w:rsid w:val="000F33C8"/>
    <w:rsid w:val="000F380E"/>
    <w:rsid w:val="000F3B16"/>
    <w:rsid w:val="000F3E51"/>
    <w:rsid w:val="000F40E7"/>
    <w:rsid w:val="000F462C"/>
    <w:rsid w:val="000F48AF"/>
    <w:rsid w:val="000F4B35"/>
    <w:rsid w:val="000F4FFE"/>
    <w:rsid w:val="000F5726"/>
    <w:rsid w:val="000F59C3"/>
    <w:rsid w:val="000F5A15"/>
    <w:rsid w:val="000F5D17"/>
    <w:rsid w:val="000F6756"/>
    <w:rsid w:val="000F68CB"/>
    <w:rsid w:val="000F694C"/>
    <w:rsid w:val="000F69A0"/>
    <w:rsid w:val="000F6AA8"/>
    <w:rsid w:val="000F6D7B"/>
    <w:rsid w:val="000F70B5"/>
    <w:rsid w:val="000F71CF"/>
    <w:rsid w:val="000F7392"/>
    <w:rsid w:val="000F757F"/>
    <w:rsid w:val="000F78E4"/>
    <w:rsid w:val="000F78F3"/>
    <w:rsid w:val="000F7A1A"/>
    <w:rsid w:val="000F7C35"/>
    <w:rsid w:val="0010024D"/>
    <w:rsid w:val="001006F3"/>
    <w:rsid w:val="001007EA"/>
    <w:rsid w:val="00100857"/>
    <w:rsid w:val="00100A9F"/>
    <w:rsid w:val="00100D27"/>
    <w:rsid w:val="00100F08"/>
    <w:rsid w:val="00100FED"/>
    <w:rsid w:val="0010111B"/>
    <w:rsid w:val="00101467"/>
    <w:rsid w:val="001016AD"/>
    <w:rsid w:val="0010185D"/>
    <w:rsid w:val="00101873"/>
    <w:rsid w:val="00101944"/>
    <w:rsid w:val="00101C92"/>
    <w:rsid w:val="00101E6B"/>
    <w:rsid w:val="00101F84"/>
    <w:rsid w:val="0010200E"/>
    <w:rsid w:val="0010263A"/>
    <w:rsid w:val="00102C67"/>
    <w:rsid w:val="00102CBD"/>
    <w:rsid w:val="00102DF9"/>
    <w:rsid w:val="00103022"/>
    <w:rsid w:val="00103372"/>
    <w:rsid w:val="001035AE"/>
    <w:rsid w:val="001035B3"/>
    <w:rsid w:val="00103700"/>
    <w:rsid w:val="00103D53"/>
    <w:rsid w:val="0010452C"/>
    <w:rsid w:val="0010476F"/>
    <w:rsid w:val="00104809"/>
    <w:rsid w:val="00104F49"/>
    <w:rsid w:val="00104FF4"/>
    <w:rsid w:val="00105248"/>
    <w:rsid w:val="00105304"/>
    <w:rsid w:val="00105661"/>
    <w:rsid w:val="0010569A"/>
    <w:rsid w:val="00105948"/>
    <w:rsid w:val="0010599F"/>
    <w:rsid w:val="00105F22"/>
    <w:rsid w:val="0010606D"/>
    <w:rsid w:val="001062DA"/>
    <w:rsid w:val="001062FB"/>
    <w:rsid w:val="00106413"/>
    <w:rsid w:val="00106591"/>
    <w:rsid w:val="001066C3"/>
    <w:rsid w:val="00106AFC"/>
    <w:rsid w:val="00106D9F"/>
    <w:rsid w:val="001074B2"/>
    <w:rsid w:val="001077DA"/>
    <w:rsid w:val="001077DF"/>
    <w:rsid w:val="00107964"/>
    <w:rsid w:val="00107C80"/>
    <w:rsid w:val="00107D04"/>
    <w:rsid w:val="00107F90"/>
    <w:rsid w:val="001104BB"/>
    <w:rsid w:val="00110B18"/>
    <w:rsid w:val="00110CD2"/>
    <w:rsid w:val="00110EF2"/>
    <w:rsid w:val="00110F5D"/>
    <w:rsid w:val="00110F89"/>
    <w:rsid w:val="001115C5"/>
    <w:rsid w:val="0011160D"/>
    <w:rsid w:val="00111669"/>
    <w:rsid w:val="00111ACC"/>
    <w:rsid w:val="0011219E"/>
    <w:rsid w:val="001124A1"/>
    <w:rsid w:val="001126CE"/>
    <w:rsid w:val="00112851"/>
    <w:rsid w:val="001129AF"/>
    <w:rsid w:val="00112A80"/>
    <w:rsid w:val="00112F34"/>
    <w:rsid w:val="001132B9"/>
    <w:rsid w:val="00113421"/>
    <w:rsid w:val="001135EA"/>
    <w:rsid w:val="0011392C"/>
    <w:rsid w:val="00113C5B"/>
    <w:rsid w:val="00113CD9"/>
    <w:rsid w:val="00113EC7"/>
    <w:rsid w:val="00113EF1"/>
    <w:rsid w:val="00114144"/>
    <w:rsid w:val="0011445A"/>
    <w:rsid w:val="001144D6"/>
    <w:rsid w:val="001145DE"/>
    <w:rsid w:val="00114649"/>
    <w:rsid w:val="001146A0"/>
    <w:rsid w:val="00114796"/>
    <w:rsid w:val="0011492F"/>
    <w:rsid w:val="00114BA5"/>
    <w:rsid w:val="00114D9D"/>
    <w:rsid w:val="00114EB0"/>
    <w:rsid w:val="001152CD"/>
    <w:rsid w:val="001154E2"/>
    <w:rsid w:val="00115530"/>
    <w:rsid w:val="00115803"/>
    <w:rsid w:val="0011588C"/>
    <w:rsid w:val="001158F2"/>
    <w:rsid w:val="00115947"/>
    <w:rsid w:val="00115969"/>
    <w:rsid w:val="00115D35"/>
    <w:rsid w:val="00115E75"/>
    <w:rsid w:val="00115FA4"/>
    <w:rsid w:val="0011609D"/>
    <w:rsid w:val="00116111"/>
    <w:rsid w:val="00116421"/>
    <w:rsid w:val="00116819"/>
    <w:rsid w:val="001168DA"/>
    <w:rsid w:val="00116C2F"/>
    <w:rsid w:val="00116EA5"/>
    <w:rsid w:val="001172BE"/>
    <w:rsid w:val="0011763E"/>
    <w:rsid w:val="001177A7"/>
    <w:rsid w:val="00117C3C"/>
    <w:rsid w:val="00117DAD"/>
    <w:rsid w:val="00117F0A"/>
    <w:rsid w:val="0012025D"/>
    <w:rsid w:val="00120562"/>
    <w:rsid w:val="00120618"/>
    <w:rsid w:val="00120751"/>
    <w:rsid w:val="00120AF9"/>
    <w:rsid w:val="00120CA4"/>
    <w:rsid w:val="00120D6D"/>
    <w:rsid w:val="00120E53"/>
    <w:rsid w:val="00120F44"/>
    <w:rsid w:val="00120F8A"/>
    <w:rsid w:val="001211D3"/>
    <w:rsid w:val="00121281"/>
    <w:rsid w:val="001214D5"/>
    <w:rsid w:val="0012173F"/>
    <w:rsid w:val="001219E5"/>
    <w:rsid w:val="00121D88"/>
    <w:rsid w:val="0012232A"/>
    <w:rsid w:val="00122496"/>
    <w:rsid w:val="00122C1D"/>
    <w:rsid w:val="00122E02"/>
    <w:rsid w:val="00122F01"/>
    <w:rsid w:val="001235E0"/>
    <w:rsid w:val="00123753"/>
    <w:rsid w:val="00123AD0"/>
    <w:rsid w:val="00123C92"/>
    <w:rsid w:val="00123D14"/>
    <w:rsid w:val="0012463C"/>
    <w:rsid w:val="001246B2"/>
    <w:rsid w:val="0012498A"/>
    <w:rsid w:val="00124BD6"/>
    <w:rsid w:val="00125307"/>
    <w:rsid w:val="00125457"/>
    <w:rsid w:val="00125714"/>
    <w:rsid w:val="00125ED4"/>
    <w:rsid w:val="001262AD"/>
    <w:rsid w:val="0012634D"/>
    <w:rsid w:val="00126718"/>
    <w:rsid w:val="00126737"/>
    <w:rsid w:val="001267B3"/>
    <w:rsid w:val="001267D3"/>
    <w:rsid w:val="00126F67"/>
    <w:rsid w:val="00126F7A"/>
    <w:rsid w:val="001271B9"/>
    <w:rsid w:val="0012735A"/>
    <w:rsid w:val="001273DB"/>
    <w:rsid w:val="0013019D"/>
    <w:rsid w:val="00130261"/>
    <w:rsid w:val="0013040B"/>
    <w:rsid w:val="001304EF"/>
    <w:rsid w:val="001312E9"/>
    <w:rsid w:val="0013131A"/>
    <w:rsid w:val="00131BE3"/>
    <w:rsid w:val="00132078"/>
    <w:rsid w:val="001323BF"/>
    <w:rsid w:val="00132454"/>
    <w:rsid w:val="00132CE1"/>
    <w:rsid w:val="00132E49"/>
    <w:rsid w:val="00132E57"/>
    <w:rsid w:val="0013317F"/>
    <w:rsid w:val="001331FC"/>
    <w:rsid w:val="001336BF"/>
    <w:rsid w:val="00133ACD"/>
    <w:rsid w:val="00133B68"/>
    <w:rsid w:val="00133E56"/>
    <w:rsid w:val="00133EC7"/>
    <w:rsid w:val="00133F71"/>
    <w:rsid w:val="001342A8"/>
    <w:rsid w:val="001342D4"/>
    <w:rsid w:val="00134366"/>
    <w:rsid w:val="0013444E"/>
    <w:rsid w:val="00134A93"/>
    <w:rsid w:val="00134EE4"/>
    <w:rsid w:val="00135086"/>
    <w:rsid w:val="00135229"/>
    <w:rsid w:val="00135262"/>
    <w:rsid w:val="0013534D"/>
    <w:rsid w:val="00135378"/>
    <w:rsid w:val="0013566C"/>
    <w:rsid w:val="00135735"/>
    <w:rsid w:val="001357FF"/>
    <w:rsid w:val="00135C01"/>
    <w:rsid w:val="00135FDD"/>
    <w:rsid w:val="001360B3"/>
    <w:rsid w:val="001360D1"/>
    <w:rsid w:val="00136328"/>
    <w:rsid w:val="001363ED"/>
    <w:rsid w:val="0013640A"/>
    <w:rsid w:val="00136A7C"/>
    <w:rsid w:val="00136B72"/>
    <w:rsid w:val="0013734A"/>
    <w:rsid w:val="00137524"/>
    <w:rsid w:val="00137684"/>
    <w:rsid w:val="00137A70"/>
    <w:rsid w:val="00137E63"/>
    <w:rsid w:val="00140017"/>
    <w:rsid w:val="001400EE"/>
    <w:rsid w:val="00140141"/>
    <w:rsid w:val="0014014B"/>
    <w:rsid w:val="001401A8"/>
    <w:rsid w:val="001401CC"/>
    <w:rsid w:val="00140605"/>
    <w:rsid w:val="0014081F"/>
    <w:rsid w:val="00140B05"/>
    <w:rsid w:val="00140F62"/>
    <w:rsid w:val="00140FB0"/>
    <w:rsid w:val="00141338"/>
    <w:rsid w:val="001415EA"/>
    <w:rsid w:val="00141CDF"/>
    <w:rsid w:val="00141D1B"/>
    <w:rsid w:val="00141DAD"/>
    <w:rsid w:val="00141EA8"/>
    <w:rsid w:val="001423AF"/>
    <w:rsid w:val="001423C6"/>
    <w:rsid w:val="001424D8"/>
    <w:rsid w:val="00142604"/>
    <w:rsid w:val="001426CD"/>
    <w:rsid w:val="001426EC"/>
    <w:rsid w:val="00142CDB"/>
    <w:rsid w:val="00142EAD"/>
    <w:rsid w:val="00143229"/>
    <w:rsid w:val="00143391"/>
    <w:rsid w:val="00143BBE"/>
    <w:rsid w:val="0014400A"/>
    <w:rsid w:val="00144179"/>
    <w:rsid w:val="00144400"/>
    <w:rsid w:val="001447AB"/>
    <w:rsid w:val="0014484D"/>
    <w:rsid w:val="00144A3A"/>
    <w:rsid w:val="00144BEA"/>
    <w:rsid w:val="00144BED"/>
    <w:rsid w:val="00145062"/>
    <w:rsid w:val="001453E9"/>
    <w:rsid w:val="0014550D"/>
    <w:rsid w:val="00145548"/>
    <w:rsid w:val="00145627"/>
    <w:rsid w:val="00145A83"/>
    <w:rsid w:val="00145ACB"/>
    <w:rsid w:val="00145B7A"/>
    <w:rsid w:val="00145EC2"/>
    <w:rsid w:val="001462F7"/>
    <w:rsid w:val="00146644"/>
    <w:rsid w:val="0014670D"/>
    <w:rsid w:val="001468EF"/>
    <w:rsid w:val="00146AFE"/>
    <w:rsid w:val="00147166"/>
    <w:rsid w:val="0014718E"/>
    <w:rsid w:val="001471FF"/>
    <w:rsid w:val="00147250"/>
    <w:rsid w:val="00147409"/>
    <w:rsid w:val="0014765F"/>
    <w:rsid w:val="00147930"/>
    <w:rsid w:val="00147C22"/>
    <w:rsid w:val="00147D26"/>
    <w:rsid w:val="001500C4"/>
    <w:rsid w:val="00150200"/>
    <w:rsid w:val="001502C3"/>
    <w:rsid w:val="00150C71"/>
    <w:rsid w:val="00150C93"/>
    <w:rsid w:val="00150E61"/>
    <w:rsid w:val="00150EDB"/>
    <w:rsid w:val="00151420"/>
    <w:rsid w:val="001514E0"/>
    <w:rsid w:val="001515DF"/>
    <w:rsid w:val="0015162A"/>
    <w:rsid w:val="001518AD"/>
    <w:rsid w:val="001518FB"/>
    <w:rsid w:val="00151930"/>
    <w:rsid w:val="00151C6C"/>
    <w:rsid w:val="001520AD"/>
    <w:rsid w:val="0015239D"/>
    <w:rsid w:val="00152496"/>
    <w:rsid w:val="001527E4"/>
    <w:rsid w:val="00152D6D"/>
    <w:rsid w:val="0015347A"/>
    <w:rsid w:val="001534FB"/>
    <w:rsid w:val="001534FC"/>
    <w:rsid w:val="001537FE"/>
    <w:rsid w:val="00153BCE"/>
    <w:rsid w:val="00153D22"/>
    <w:rsid w:val="00153D61"/>
    <w:rsid w:val="00153EED"/>
    <w:rsid w:val="00154008"/>
    <w:rsid w:val="001542D3"/>
    <w:rsid w:val="00154582"/>
    <w:rsid w:val="00154A9E"/>
    <w:rsid w:val="00154EE9"/>
    <w:rsid w:val="00154F51"/>
    <w:rsid w:val="00155204"/>
    <w:rsid w:val="00155682"/>
    <w:rsid w:val="001557C1"/>
    <w:rsid w:val="00155812"/>
    <w:rsid w:val="00155860"/>
    <w:rsid w:val="00156010"/>
    <w:rsid w:val="00156138"/>
    <w:rsid w:val="00156693"/>
    <w:rsid w:val="001579F5"/>
    <w:rsid w:val="00157DB3"/>
    <w:rsid w:val="00160032"/>
    <w:rsid w:val="0016025C"/>
    <w:rsid w:val="00160327"/>
    <w:rsid w:val="0016053E"/>
    <w:rsid w:val="00160696"/>
    <w:rsid w:val="00160A46"/>
    <w:rsid w:val="00160A73"/>
    <w:rsid w:val="00160CA1"/>
    <w:rsid w:val="00160FB5"/>
    <w:rsid w:val="00161278"/>
    <w:rsid w:val="001613E5"/>
    <w:rsid w:val="001613F9"/>
    <w:rsid w:val="0016154C"/>
    <w:rsid w:val="00161727"/>
    <w:rsid w:val="00161A92"/>
    <w:rsid w:val="00161C21"/>
    <w:rsid w:val="00161FB9"/>
    <w:rsid w:val="001627DD"/>
    <w:rsid w:val="00162806"/>
    <w:rsid w:val="00162CF8"/>
    <w:rsid w:val="00162D6C"/>
    <w:rsid w:val="00162DF7"/>
    <w:rsid w:val="00162FE0"/>
    <w:rsid w:val="001630EB"/>
    <w:rsid w:val="0016315C"/>
    <w:rsid w:val="00163179"/>
    <w:rsid w:val="0016332B"/>
    <w:rsid w:val="00163972"/>
    <w:rsid w:val="00164559"/>
    <w:rsid w:val="00164860"/>
    <w:rsid w:val="00164A9C"/>
    <w:rsid w:val="00164AA5"/>
    <w:rsid w:val="00164B2B"/>
    <w:rsid w:val="001651A2"/>
    <w:rsid w:val="00165491"/>
    <w:rsid w:val="00165873"/>
    <w:rsid w:val="001659C2"/>
    <w:rsid w:val="00165C7A"/>
    <w:rsid w:val="00165C92"/>
    <w:rsid w:val="0016647B"/>
    <w:rsid w:val="001666B7"/>
    <w:rsid w:val="00166A64"/>
    <w:rsid w:val="00166E37"/>
    <w:rsid w:val="00166F9B"/>
    <w:rsid w:val="00166FAA"/>
    <w:rsid w:val="001676B4"/>
    <w:rsid w:val="001677AB"/>
    <w:rsid w:val="00167817"/>
    <w:rsid w:val="001700AA"/>
    <w:rsid w:val="00170276"/>
    <w:rsid w:val="00170295"/>
    <w:rsid w:val="00170966"/>
    <w:rsid w:val="00170A14"/>
    <w:rsid w:val="00170DF3"/>
    <w:rsid w:val="001710BD"/>
    <w:rsid w:val="00171154"/>
    <w:rsid w:val="001711C6"/>
    <w:rsid w:val="00171201"/>
    <w:rsid w:val="001713AE"/>
    <w:rsid w:val="00171527"/>
    <w:rsid w:val="00171A3D"/>
    <w:rsid w:val="00171B0C"/>
    <w:rsid w:val="00171BAE"/>
    <w:rsid w:val="00171C3C"/>
    <w:rsid w:val="00171E01"/>
    <w:rsid w:val="001720D2"/>
    <w:rsid w:val="0017229C"/>
    <w:rsid w:val="001724BE"/>
    <w:rsid w:val="0017251C"/>
    <w:rsid w:val="00172522"/>
    <w:rsid w:val="0017258B"/>
    <w:rsid w:val="00172655"/>
    <w:rsid w:val="00172F67"/>
    <w:rsid w:val="00173205"/>
    <w:rsid w:val="00173305"/>
    <w:rsid w:val="00173456"/>
    <w:rsid w:val="00173763"/>
    <w:rsid w:val="00173834"/>
    <w:rsid w:val="00173850"/>
    <w:rsid w:val="00173D04"/>
    <w:rsid w:val="00173D0B"/>
    <w:rsid w:val="00173FB0"/>
    <w:rsid w:val="0017422F"/>
    <w:rsid w:val="001742F8"/>
    <w:rsid w:val="00174A5F"/>
    <w:rsid w:val="00174A9D"/>
    <w:rsid w:val="00174AE5"/>
    <w:rsid w:val="001751A7"/>
    <w:rsid w:val="00175453"/>
    <w:rsid w:val="00175527"/>
    <w:rsid w:val="001757B2"/>
    <w:rsid w:val="001765C5"/>
    <w:rsid w:val="00176949"/>
    <w:rsid w:val="00176999"/>
    <w:rsid w:val="00176DCB"/>
    <w:rsid w:val="001772F4"/>
    <w:rsid w:val="00177384"/>
    <w:rsid w:val="001773C8"/>
    <w:rsid w:val="00177958"/>
    <w:rsid w:val="00180DDC"/>
    <w:rsid w:val="00180DF9"/>
    <w:rsid w:val="00181118"/>
    <w:rsid w:val="001814B5"/>
    <w:rsid w:val="0018175A"/>
    <w:rsid w:val="00181802"/>
    <w:rsid w:val="00181AE2"/>
    <w:rsid w:val="00182014"/>
    <w:rsid w:val="0018218D"/>
    <w:rsid w:val="001824E4"/>
    <w:rsid w:val="00182767"/>
    <w:rsid w:val="0018288B"/>
    <w:rsid w:val="001829BF"/>
    <w:rsid w:val="001829C7"/>
    <w:rsid w:val="00182A21"/>
    <w:rsid w:val="00182C4F"/>
    <w:rsid w:val="00182F62"/>
    <w:rsid w:val="001831ED"/>
    <w:rsid w:val="001835AA"/>
    <w:rsid w:val="00183818"/>
    <w:rsid w:val="00183987"/>
    <w:rsid w:val="00183A09"/>
    <w:rsid w:val="00183C7C"/>
    <w:rsid w:val="00183CD9"/>
    <w:rsid w:val="00183FC5"/>
    <w:rsid w:val="00184254"/>
    <w:rsid w:val="0018445A"/>
    <w:rsid w:val="001845B8"/>
    <w:rsid w:val="00184945"/>
    <w:rsid w:val="00184DF6"/>
    <w:rsid w:val="0018506F"/>
    <w:rsid w:val="0018511E"/>
    <w:rsid w:val="00185125"/>
    <w:rsid w:val="001851C5"/>
    <w:rsid w:val="00185207"/>
    <w:rsid w:val="00185239"/>
    <w:rsid w:val="001856B5"/>
    <w:rsid w:val="00185C3C"/>
    <w:rsid w:val="00185D95"/>
    <w:rsid w:val="00185E9B"/>
    <w:rsid w:val="00186227"/>
    <w:rsid w:val="00186256"/>
    <w:rsid w:val="00186886"/>
    <w:rsid w:val="00186BA8"/>
    <w:rsid w:val="001870A9"/>
    <w:rsid w:val="00187126"/>
    <w:rsid w:val="001871A4"/>
    <w:rsid w:val="00187760"/>
    <w:rsid w:val="00187BA7"/>
    <w:rsid w:val="00187C19"/>
    <w:rsid w:val="00187D81"/>
    <w:rsid w:val="00187E31"/>
    <w:rsid w:val="00187E50"/>
    <w:rsid w:val="001903D3"/>
    <w:rsid w:val="0019041B"/>
    <w:rsid w:val="001907AD"/>
    <w:rsid w:val="0019088E"/>
    <w:rsid w:val="00190D37"/>
    <w:rsid w:val="00190DC5"/>
    <w:rsid w:val="00190DD3"/>
    <w:rsid w:val="00191431"/>
    <w:rsid w:val="001917B0"/>
    <w:rsid w:val="00191AF2"/>
    <w:rsid w:val="00191C7F"/>
    <w:rsid w:val="00191D75"/>
    <w:rsid w:val="001924F9"/>
    <w:rsid w:val="00192843"/>
    <w:rsid w:val="00192AF1"/>
    <w:rsid w:val="00192D0A"/>
    <w:rsid w:val="00192E5B"/>
    <w:rsid w:val="0019303E"/>
    <w:rsid w:val="001930A6"/>
    <w:rsid w:val="001931B2"/>
    <w:rsid w:val="00193234"/>
    <w:rsid w:val="00193C04"/>
    <w:rsid w:val="00193C32"/>
    <w:rsid w:val="00193ED2"/>
    <w:rsid w:val="00194187"/>
    <w:rsid w:val="0019428B"/>
    <w:rsid w:val="00194437"/>
    <w:rsid w:val="0019485F"/>
    <w:rsid w:val="00194AA3"/>
    <w:rsid w:val="00194B5E"/>
    <w:rsid w:val="00195130"/>
    <w:rsid w:val="001951C1"/>
    <w:rsid w:val="001953D4"/>
    <w:rsid w:val="00195678"/>
    <w:rsid w:val="00195755"/>
    <w:rsid w:val="0019661C"/>
    <w:rsid w:val="001966FC"/>
    <w:rsid w:val="001969B0"/>
    <w:rsid w:val="00196C46"/>
    <w:rsid w:val="0019722A"/>
    <w:rsid w:val="00197319"/>
    <w:rsid w:val="001973F7"/>
    <w:rsid w:val="00197466"/>
    <w:rsid w:val="001977F0"/>
    <w:rsid w:val="001979C7"/>
    <w:rsid w:val="00197D23"/>
    <w:rsid w:val="00197E17"/>
    <w:rsid w:val="001A01E8"/>
    <w:rsid w:val="001A0245"/>
    <w:rsid w:val="001A05D6"/>
    <w:rsid w:val="001A0789"/>
    <w:rsid w:val="001A0821"/>
    <w:rsid w:val="001A08A6"/>
    <w:rsid w:val="001A0A20"/>
    <w:rsid w:val="001A0AD4"/>
    <w:rsid w:val="001A0D6C"/>
    <w:rsid w:val="001A107E"/>
    <w:rsid w:val="001A1154"/>
    <w:rsid w:val="001A15FF"/>
    <w:rsid w:val="001A1796"/>
    <w:rsid w:val="001A18A3"/>
    <w:rsid w:val="001A1FC1"/>
    <w:rsid w:val="001A1FDA"/>
    <w:rsid w:val="001A2676"/>
    <w:rsid w:val="001A2819"/>
    <w:rsid w:val="001A2A76"/>
    <w:rsid w:val="001A2CBA"/>
    <w:rsid w:val="001A3227"/>
    <w:rsid w:val="001A3643"/>
    <w:rsid w:val="001A39E2"/>
    <w:rsid w:val="001A3B70"/>
    <w:rsid w:val="001A3D75"/>
    <w:rsid w:val="001A4276"/>
    <w:rsid w:val="001A4934"/>
    <w:rsid w:val="001A495E"/>
    <w:rsid w:val="001A49DF"/>
    <w:rsid w:val="001A4A53"/>
    <w:rsid w:val="001A4B87"/>
    <w:rsid w:val="001A4DA9"/>
    <w:rsid w:val="001A5109"/>
    <w:rsid w:val="001A533A"/>
    <w:rsid w:val="001A5349"/>
    <w:rsid w:val="001A535B"/>
    <w:rsid w:val="001A53F0"/>
    <w:rsid w:val="001A57C4"/>
    <w:rsid w:val="001A5D2F"/>
    <w:rsid w:val="001A5DB3"/>
    <w:rsid w:val="001A5F36"/>
    <w:rsid w:val="001A5FDA"/>
    <w:rsid w:val="001A61FF"/>
    <w:rsid w:val="001A6BBD"/>
    <w:rsid w:val="001A6F58"/>
    <w:rsid w:val="001A70A6"/>
    <w:rsid w:val="001A73D0"/>
    <w:rsid w:val="001A7B92"/>
    <w:rsid w:val="001A7D8F"/>
    <w:rsid w:val="001A7E06"/>
    <w:rsid w:val="001A7EF8"/>
    <w:rsid w:val="001B0189"/>
    <w:rsid w:val="001B0671"/>
    <w:rsid w:val="001B072D"/>
    <w:rsid w:val="001B0809"/>
    <w:rsid w:val="001B090D"/>
    <w:rsid w:val="001B0EF7"/>
    <w:rsid w:val="001B0FCB"/>
    <w:rsid w:val="001B108E"/>
    <w:rsid w:val="001B118B"/>
    <w:rsid w:val="001B130A"/>
    <w:rsid w:val="001B145D"/>
    <w:rsid w:val="001B14EE"/>
    <w:rsid w:val="001B1CF9"/>
    <w:rsid w:val="001B1E87"/>
    <w:rsid w:val="001B2116"/>
    <w:rsid w:val="001B22A7"/>
    <w:rsid w:val="001B2A7D"/>
    <w:rsid w:val="001B2BA9"/>
    <w:rsid w:val="001B336E"/>
    <w:rsid w:val="001B36A1"/>
    <w:rsid w:val="001B3752"/>
    <w:rsid w:val="001B3866"/>
    <w:rsid w:val="001B3978"/>
    <w:rsid w:val="001B3C13"/>
    <w:rsid w:val="001B3DA0"/>
    <w:rsid w:val="001B3E6A"/>
    <w:rsid w:val="001B4033"/>
    <w:rsid w:val="001B420C"/>
    <w:rsid w:val="001B437B"/>
    <w:rsid w:val="001B4472"/>
    <w:rsid w:val="001B47CE"/>
    <w:rsid w:val="001B47F6"/>
    <w:rsid w:val="001B490C"/>
    <w:rsid w:val="001B4A9C"/>
    <w:rsid w:val="001B4ADC"/>
    <w:rsid w:val="001B4C5F"/>
    <w:rsid w:val="001B4FA3"/>
    <w:rsid w:val="001B5256"/>
    <w:rsid w:val="001B5A30"/>
    <w:rsid w:val="001B5B46"/>
    <w:rsid w:val="001B5E52"/>
    <w:rsid w:val="001B5F4A"/>
    <w:rsid w:val="001B62FC"/>
    <w:rsid w:val="001B63B7"/>
    <w:rsid w:val="001B64FA"/>
    <w:rsid w:val="001B688A"/>
    <w:rsid w:val="001B6CC7"/>
    <w:rsid w:val="001B70FA"/>
    <w:rsid w:val="001B72A1"/>
    <w:rsid w:val="001B76C3"/>
    <w:rsid w:val="001B7979"/>
    <w:rsid w:val="001B7B02"/>
    <w:rsid w:val="001B7ED1"/>
    <w:rsid w:val="001C033C"/>
    <w:rsid w:val="001C0768"/>
    <w:rsid w:val="001C0AD2"/>
    <w:rsid w:val="001C0DC8"/>
    <w:rsid w:val="001C11DE"/>
    <w:rsid w:val="001C1339"/>
    <w:rsid w:val="001C1604"/>
    <w:rsid w:val="001C171B"/>
    <w:rsid w:val="001C1B7B"/>
    <w:rsid w:val="001C1D73"/>
    <w:rsid w:val="001C21D8"/>
    <w:rsid w:val="001C2212"/>
    <w:rsid w:val="001C2364"/>
    <w:rsid w:val="001C2617"/>
    <w:rsid w:val="001C2A58"/>
    <w:rsid w:val="001C2A70"/>
    <w:rsid w:val="001C2A76"/>
    <w:rsid w:val="001C2FB2"/>
    <w:rsid w:val="001C2FC5"/>
    <w:rsid w:val="001C30C1"/>
    <w:rsid w:val="001C385B"/>
    <w:rsid w:val="001C39A2"/>
    <w:rsid w:val="001C4120"/>
    <w:rsid w:val="001C42DA"/>
    <w:rsid w:val="001C484A"/>
    <w:rsid w:val="001C4C46"/>
    <w:rsid w:val="001C4D55"/>
    <w:rsid w:val="001C4D76"/>
    <w:rsid w:val="001C504A"/>
    <w:rsid w:val="001C52CA"/>
    <w:rsid w:val="001C538E"/>
    <w:rsid w:val="001C5B6D"/>
    <w:rsid w:val="001C5C27"/>
    <w:rsid w:val="001C5CF0"/>
    <w:rsid w:val="001C5DD7"/>
    <w:rsid w:val="001C609B"/>
    <w:rsid w:val="001C625E"/>
    <w:rsid w:val="001C62F5"/>
    <w:rsid w:val="001C6D25"/>
    <w:rsid w:val="001C702B"/>
    <w:rsid w:val="001C70DE"/>
    <w:rsid w:val="001C71CB"/>
    <w:rsid w:val="001C7781"/>
    <w:rsid w:val="001D04B4"/>
    <w:rsid w:val="001D04C0"/>
    <w:rsid w:val="001D07F4"/>
    <w:rsid w:val="001D0866"/>
    <w:rsid w:val="001D088F"/>
    <w:rsid w:val="001D0C6A"/>
    <w:rsid w:val="001D0ED0"/>
    <w:rsid w:val="001D11E5"/>
    <w:rsid w:val="001D122B"/>
    <w:rsid w:val="001D1243"/>
    <w:rsid w:val="001D1246"/>
    <w:rsid w:val="001D12F5"/>
    <w:rsid w:val="001D19B1"/>
    <w:rsid w:val="001D1A26"/>
    <w:rsid w:val="001D2476"/>
    <w:rsid w:val="001D247E"/>
    <w:rsid w:val="001D25CF"/>
    <w:rsid w:val="001D3410"/>
    <w:rsid w:val="001D39B9"/>
    <w:rsid w:val="001D3C4B"/>
    <w:rsid w:val="001D3CFD"/>
    <w:rsid w:val="001D3D2C"/>
    <w:rsid w:val="001D44B7"/>
    <w:rsid w:val="001D44CD"/>
    <w:rsid w:val="001D44F5"/>
    <w:rsid w:val="001D458D"/>
    <w:rsid w:val="001D483F"/>
    <w:rsid w:val="001D4867"/>
    <w:rsid w:val="001D4A5C"/>
    <w:rsid w:val="001D4AA3"/>
    <w:rsid w:val="001D4E36"/>
    <w:rsid w:val="001D5343"/>
    <w:rsid w:val="001D540A"/>
    <w:rsid w:val="001D583C"/>
    <w:rsid w:val="001D58F5"/>
    <w:rsid w:val="001D5BFE"/>
    <w:rsid w:val="001D5C70"/>
    <w:rsid w:val="001D5CF8"/>
    <w:rsid w:val="001D5F8F"/>
    <w:rsid w:val="001D614A"/>
    <w:rsid w:val="001D6244"/>
    <w:rsid w:val="001D628A"/>
    <w:rsid w:val="001D632A"/>
    <w:rsid w:val="001D6385"/>
    <w:rsid w:val="001D6391"/>
    <w:rsid w:val="001D66E5"/>
    <w:rsid w:val="001D6756"/>
    <w:rsid w:val="001D6781"/>
    <w:rsid w:val="001D69E8"/>
    <w:rsid w:val="001D6F5B"/>
    <w:rsid w:val="001D71D8"/>
    <w:rsid w:val="001D71F9"/>
    <w:rsid w:val="001D734A"/>
    <w:rsid w:val="001D741B"/>
    <w:rsid w:val="001D74A4"/>
    <w:rsid w:val="001D7665"/>
    <w:rsid w:val="001D7746"/>
    <w:rsid w:val="001D7850"/>
    <w:rsid w:val="001D7FDC"/>
    <w:rsid w:val="001E0133"/>
    <w:rsid w:val="001E05DC"/>
    <w:rsid w:val="001E092E"/>
    <w:rsid w:val="001E097C"/>
    <w:rsid w:val="001E12CA"/>
    <w:rsid w:val="001E131D"/>
    <w:rsid w:val="001E138B"/>
    <w:rsid w:val="001E15C5"/>
    <w:rsid w:val="001E1692"/>
    <w:rsid w:val="001E1B1D"/>
    <w:rsid w:val="001E1C40"/>
    <w:rsid w:val="001E1C4A"/>
    <w:rsid w:val="001E1C8A"/>
    <w:rsid w:val="001E1CFC"/>
    <w:rsid w:val="001E1D1E"/>
    <w:rsid w:val="001E1D40"/>
    <w:rsid w:val="001E1F70"/>
    <w:rsid w:val="001E24C8"/>
    <w:rsid w:val="001E2550"/>
    <w:rsid w:val="001E2693"/>
    <w:rsid w:val="001E29E5"/>
    <w:rsid w:val="001E2A6F"/>
    <w:rsid w:val="001E2B29"/>
    <w:rsid w:val="001E2D9C"/>
    <w:rsid w:val="001E2FBA"/>
    <w:rsid w:val="001E33E5"/>
    <w:rsid w:val="001E3758"/>
    <w:rsid w:val="001E37B9"/>
    <w:rsid w:val="001E3CDD"/>
    <w:rsid w:val="001E3E4E"/>
    <w:rsid w:val="001E4011"/>
    <w:rsid w:val="001E4177"/>
    <w:rsid w:val="001E4405"/>
    <w:rsid w:val="001E4707"/>
    <w:rsid w:val="001E4B6C"/>
    <w:rsid w:val="001E4E08"/>
    <w:rsid w:val="001E4F5F"/>
    <w:rsid w:val="001E532E"/>
    <w:rsid w:val="001E5336"/>
    <w:rsid w:val="001E546E"/>
    <w:rsid w:val="001E5BB8"/>
    <w:rsid w:val="001E5F9C"/>
    <w:rsid w:val="001E6220"/>
    <w:rsid w:val="001E65AA"/>
    <w:rsid w:val="001E6732"/>
    <w:rsid w:val="001E6ABD"/>
    <w:rsid w:val="001E6B23"/>
    <w:rsid w:val="001E6E49"/>
    <w:rsid w:val="001E6ED9"/>
    <w:rsid w:val="001E6F01"/>
    <w:rsid w:val="001E6F10"/>
    <w:rsid w:val="001E7819"/>
    <w:rsid w:val="001E7E7F"/>
    <w:rsid w:val="001F03AD"/>
    <w:rsid w:val="001F03D8"/>
    <w:rsid w:val="001F0548"/>
    <w:rsid w:val="001F05B1"/>
    <w:rsid w:val="001F0C16"/>
    <w:rsid w:val="001F0DCE"/>
    <w:rsid w:val="001F1453"/>
    <w:rsid w:val="001F1599"/>
    <w:rsid w:val="001F18B6"/>
    <w:rsid w:val="001F1C95"/>
    <w:rsid w:val="001F2141"/>
    <w:rsid w:val="001F2170"/>
    <w:rsid w:val="001F2286"/>
    <w:rsid w:val="001F25CD"/>
    <w:rsid w:val="001F2BA1"/>
    <w:rsid w:val="001F2CF7"/>
    <w:rsid w:val="001F2E28"/>
    <w:rsid w:val="001F3067"/>
    <w:rsid w:val="001F33B3"/>
    <w:rsid w:val="001F33FB"/>
    <w:rsid w:val="001F3ABD"/>
    <w:rsid w:val="001F3AE4"/>
    <w:rsid w:val="001F3B17"/>
    <w:rsid w:val="001F3CBE"/>
    <w:rsid w:val="001F3E51"/>
    <w:rsid w:val="001F3F4A"/>
    <w:rsid w:val="001F42B0"/>
    <w:rsid w:val="001F42DA"/>
    <w:rsid w:val="001F47C2"/>
    <w:rsid w:val="001F48A2"/>
    <w:rsid w:val="001F4A19"/>
    <w:rsid w:val="001F4A31"/>
    <w:rsid w:val="001F4DD7"/>
    <w:rsid w:val="001F4E0A"/>
    <w:rsid w:val="001F5024"/>
    <w:rsid w:val="001F5183"/>
    <w:rsid w:val="001F5650"/>
    <w:rsid w:val="001F5A25"/>
    <w:rsid w:val="001F5AE5"/>
    <w:rsid w:val="001F5B10"/>
    <w:rsid w:val="001F5D9D"/>
    <w:rsid w:val="001F6174"/>
    <w:rsid w:val="001F6294"/>
    <w:rsid w:val="001F6344"/>
    <w:rsid w:val="001F6A15"/>
    <w:rsid w:val="001F6FD2"/>
    <w:rsid w:val="001F739D"/>
    <w:rsid w:val="001F7822"/>
    <w:rsid w:val="001F7CA6"/>
    <w:rsid w:val="001F7D30"/>
    <w:rsid w:val="001F7F8B"/>
    <w:rsid w:val="0020002E"/>
    <w:rsid w:val="0020047F"/>
    <w:rsid w:val="00200A1D"/>
    <w:rsid w:val="00200DE5"/>
    <w:rsid w:val="00201016"/>
    <w:rsid w:val="00201053"/>
    <w:rsid w:val="00201112"/>
    <w:rsid w:val="002011DB"/>
    <w:rsid w:val="002011FF"/>
    <w:rsid w:val="002017A0"/>
    <w:rsid w:val="00201902"/>
    <w:rsid w:val="00201948"/>
    <w:rsid w:val="00201D54"/>
    <w:rsid w:val="00202380"/>
    <w:rsid w:val="00202A70"/>
    <w:rsid w:val="00202B21"/>
    <w:rsid w:val="00202B75"/>
    <w:rsid w:val="00202B8B"/>
    <w:rsid w:val="00202D7F"/>
    <w:rsid w:val="00202D89"/>
    <w:rsid w:val="00202D9A"/>
    <w:rsid w:val="00202F81"/>
    <w:rsid w:val="0020302A"/>
    <w:rsid w:val="00203031"/>
    <w:rsid w:val="0020324D"/>
    <w:rsid w:val="0020350D"/>
    <w:rsid w:val="002036DF"/>
    <w:rsid w:val="00203EE2"/>
    <w:rsid w:val="0020419F"/>
    <w:rsid w:val="002046DE"/>
    <w:rsid w:val="00204812"/>
    <w:rsid w:val="00204879"/>
    <w:rsid w:val="00204990"/>
    <w:rsid w:val="00204AD6"/>
    <w:rsid w:val="00204AE1"/>
    <w:rsid w:val="00204C72"/>
    <w:rsid w:val="00204DC4"/>
    <w:rsid w:val="00205059"/>
    <w:rsid w:val="00205329"/>
    <w:rsid w:val="002055C5"/>
    <w:rsid w:val="0020590F"/>
    <w:rsid w:val="00205C04"/>
    <w:rsid w:val="00205C44"/>
    <w:rsid w:val="00206271"/>
    <w:rsid w:val="00206517"/>
    <w:rsid w:val="002066E6"/>
    <w:rsid w:val="00206790"/>
    <w:rsid w:val="00206CD8"/>
    <w:rsid w:val="00206F8B"/>
    <w:rsid w:val="00207606"/>
    <w:rsid w:val="00207863"/>
    <w:rsid w:val="00207942"/>
    <w:rsid w:val="00207F17"/>
    <w:rsid w:val="0021059A"/>
    <w:rsid w:val="002106D5"/>
    <w:rsid w:val="002107E1"/>
    <w:rsid w:val="00210A3E"/>
    <w:rsid w:val="00210E08"/>
    <w:rsid w:val="00210EF6"/>
    <w:rsid w:val="00211453"/>
    <w:rsid w:val="00211915"/>
    <w:rsid w:val="00211AC0"/>
    <w:rsid w:val="00211B19"/>
    <w:rsid w:val="00211E47"/>
    <w:rsid w:val="0021202F"/>
    <w:rsid w:val="002120E6"/>
    <w:rsid w:val="002121F9"/>
    <w:rsid w:val="0021230D"/>
    <w:rsid w:val="00212657"/>
    <w:rsid w:val="00212A57"/>
    <w:rsid w:val="00212BD3"/>
    <w:rsid w:val="00212F15"/>
    <w:rsid w:val="00213015"/>
    <w:rsid w:val="00213405"/>
    <w:rsid w:val="002134BD"/>
    <w:rsid w:val="002135C2"/>
    <w:rsid w:val="00213F7E"/>
    <w:rsid w:val="0021406E"/>
    <w:rsid w:val="0021448E"/>
    <w:rsid w:val="0021450F"/>
    <w:rsid w:val="0021454E"/>
    <w:rsid w:val="002145C1"/>
    <w:rsid w:val="0021481C"/>
    <w:rsid w:val="0021493F"/>
    <w:rsid w:val="00214944"/>
    <w:rsid w:val="00214A59"/>
    <w:rsid w:val="00214A72"/>
    <w:rsid w:val="00215471"/>
    <w:rsid w:val="002155CC"/>
    <w:rsid w:val="00215B5D"/>
    <w:rsid w:val="00215D37"/>
    <w:rsid w:val="00216000"/>
    <w:rsid w:val="00216074"/>
    <w:rsid w:val="00216217"/>
    <w:rsid w:val="00216483"/>
    <w:rsid w:val="0021681F"/>
    <w:rsid w:val="00216945"/>
    <w:rsid w:val="00216A52"/>
    <w:rsid w:val="00216CE0"/>
    <w:rsid w:val="00216F6B"/>
    <w:rsid w:val="00217FAE"/>
    <w:rsid w:val="002202ED"/>
    <w:rsid w:val="002203A4"/>
    <w:rsid w:val="00220646"/>
    <w:rsid w:val="00220829"/>
    <w:rsid w:val="00220911"/>
    <w:rsid w:val="00220E66"/>
    <w:rsid w:val="00221377"/>
    <w:rsid w:val="0022137C"/>
    <w:rsid w:val="002214A0"/>
    <w:rsid w:val="00221517"/>
    <w:rsid w:val="00221684"/>
    <w:rsid w:val="00221C63"/>
    <w:rsid w:val="00221FB9"/>
    <w:rsid w:val="002225F8"/>
    <w:rsid w:val="00222617"/>
    <w:rsid w:val="002226B3"/>
    <w:rsid w:val="002228CB"/>
    <w:rsid w:val="00222A34"/>
    <w:rsid w:val="002232AE"/>
    <w:rsid w:val="00223C58"/>
    <w:rsid w:val="00223F1C"/>
    <w:rsid w:val="002242FC"/>
    <w:rsid w:val="00224428"/>
    <w:rsid w:val="0022449A"/>
    <w:rsid w:val="00224C33"/>
    <w:rsid w:val="00224E50"/>
    <w:rsid w:val="00224F63"/>
    <w:rsid w:val="0022508C"/>
    <w:rsid w:val="0022531B"/>
    <w:rsid w:val="002254CA"/>
    <w:rsid w:val="00225E31"/>
    <w:rsid w:val="00226899"/>
    <w:rsid w:val="00226ACE"/>
    <w:rsid w:val="00226B5D"/>
    <w:rsid w:val="00226D1E"/>
    <w:rsid w:val="00226F52"/>
    <w:rsid w:val="00227835"/>
    <w:rsid w:val="00227C36"/>
    <w:rsid w:val="00227D1E"/>
    <w:rsid w:val="00227DAD"/>
    <w:rsid w:val="0023005E"/>
    <w:rsid w:val="0023017D"/>
    <w:rsid w:val="00230315"/>
    <w:rsid w:val="00230369"/>
    <w:rsid w:val="0023045F"/>
    <w:rsid w:val="00230727"/>
    <w:rsid w:val="00230A90"/>
    <w:rsid w:val="00230C31"/>
    <w:rsid w:val="00230CB7"/>
    <w:rsid w:val="00230E21"/>
    <w:rsid w:val="002310B0"/>
    <w:rsid w:val="0023115F"/>
    <w:rsid w:val="00231161"/>
    <w:rsid w:val="0023120D"/>
    <w:rsid w:val="00231C0C"/>
    <w:rsid w:val="00231C86"/>
    <w:rsid w:val="00231F34"/>
    <w:rsid w:val="0023226B"/>
    <w:rsid w:val="002324C0"/>
    <w:rsid w:val="002324D7"/>
    <w:rsid w:val="00232708"/>
    <w:rsid w:val="00232839"/>
    <w:rsid w:val="00232B11"/>
    <w:rsid w:val="00232CC0"/>
    <w:rsid w:val="00232DDB"/>
    <w:rsid w:val="0023314F"/>
    <w:rsid w:val="00233666"/>
    <w:rsid w:val="00233AF9"/>
    <w:rsid w:val="00233C5F"/>
    <w:rsid w:val="00234382"/>
    <w:rsid w:val="00234545"/>
    <w:rsid w:val="00234C34"/>
    <w:rsid w:val="00234FF9"/>
    <w:rsid w:val="002354DB"/>
    <w:rsid w:val="00235882"/>
    <w:rsid w:val="002359B6"/>
    <w:rsid w:val="00235B21"/>
    <w:rsid w:val="00235D71"/>
    <w:rsid w:val="00235DA7"/>
    <w:rsid w:val="00236101"/>
    <w:rsid w:val="0023615B"/>
    <w:rsid w:val="00236376"/>
    <w:rsid w:val="002363B4"/>
    <w:rsid w:val="0023699C"/>
    <w:rsid w:val="00236CB9"/>
    <w:rsid w:val="002372FE"/>
    <w:rsid w:val="002373B1"/>
    <w:rsid w:val="002374E4"/>
    <w:rsid w:val="00237621"/>
    <w:rsid w:val="00237FC3"/>
    <w:rsid w:val="00240081"/>
    <w:rsid w:val="00240333"/>
    <w:rsid w:val="0024137E"/>
    <w:rsid w:val="0024150B"/>
    <w:rsid w:val="0024166A"/>
    <w:rsid w:val="00241A0A"/>
    <w:rsid w:val="00241D1E"/>
    <w:rsid w:val="002424CD"/>
    <w:rsid w:val="0024297A"/>
    <w:rsid w:val="002429AA"/>
    <w:rsid w:val="002429F2"/>
    <w:rsid w:val="002430FF"/>
    <w:rsid w:val="002436D0"/>
    <w:rsid w:val="00243B35"/>
    <w:rsid w:val="00243D99"/>
    <w:rsid w:val="00243E8C"/>
    <w:rsid w:val="002442CC"/>
    <w:rsid w:val="00244627"/>
    <w:rsid w:val="002446B9"/>
    <w:rsid w:val="002449EF"/>
    <w:rsid w:val="00244A1E"/>
    <w:rsid w:val="00244ADD"/>
    <w:rsid w:val="00244E1C"/>
    <w:rsid w:val="00244E51"/>
    <w:rsid w:val="0024538D"/>
    <w:rsid w:val="00245505"/>
    <w:rsid w:val="00245819"/>
    <w:rsid w:val="00245925"/>
    <w:rsid w:val="00245C45"/>
    <w:rsid w:val="00245CC6"/>
    <w:rsid w:val="00245E12"/>
    <w:rsid w:val="00245EE3"/>
    <w:rsid w:val="0024606A"/>
    <w:rsid w:val="00246080"/>
    <w:rsid w:val="002467C7"/>
    <w:rsid w:val="0024698B"/>
    <w:rsid w:val="00246A1D"/>
    <w:rsid w:val="00246AB9"/>
    <w:rsid w:val="00246D4C"/>
    <w:rsid w:val="00246E29"/>
    <w:rsid w:val="00247626"/>
    <w:rsid w:val="002478FE"/>
    <w:rsid w:val="00247A78"/>
    <w:rsid w:val="00247F80"/>
    <w:rsid w:val="00247F90"/>
    <w:rsid w:val="00250093"/>
    <w:rsid w:val="002501D5"/>
    <w:rsid w:val="00250812"/>
    <w:rsid w:val="00250A41"/>
    <w:rsid w:val="00250A48"/>
    <w:rsid w:val="00250A80"/>
    <w:rsid w:val="00250E52"/>
    <w:rsid w:val="002516DD"/>
    <w:rsid w:val="00251780"/>
    <w:rsid w:val="00251B3B"/>
    <w:rsid w:val="00251C97"/>
    <w:rsid w:val="00252041"/>
    <w:rsid w:val="00252174"/>
    <w:rsid w:val="002527DB"/>
    <w:rsid w:val="00252C55"/>
    <w:rsid w:val="00253060"/>
    <w:rsid w:val="00253380"/>
    <w:rsid w:val="00253563"/>
    <w:rsid w:val="00253965"/>
    <w:rsid w:val="0025397C"/>
    <w:rsid w:val="00253BB1"/>
    <w:rsid w:val="00254548"/>
    <w:rsid w:val="00254DF6"/>
    <w:rsid w:val="00255695"/>
    <w:rsid w:val="002558FE"/>
    <w:rsid w:val="00255CBB"/>
    <w:rsid w:val="00255CD8"/>
    <w:rsid w:val="00255DE3"/>
    <w:rsid w:val="00256D55"/>
    <w:rsid w:val="00256F9F"/>
    <w:rsid w:val="002570B6"/>
    <w:rsid w:val="002573A9"/>
    <w:rsid w:val="002575B4"/>
    <w:rsid w:val="00257618"/>
    <w:rsid w:val="00257762"/>
    <w:rsid w:val="0025796A"/>
    <w:rsid w:val="00257C37"/>
    <w:rsid w:val="00257DED"/>
    <w:rsid w:val="00257DF2"/>
    <w:rsid w:val="00257E94"/>
    <w:rsid w:val="00260312"/>
    <w:rsid w:val="002606FC"/>
    <w:rsid w:val="002607CD"/>
    <w:rsid w:val="00260A21"/>
    <w:rsid w:val="00260A6F"/>
    <w:rsid w:val="00260F0C"/>
    <w:rsid w:val="0026115F"/>
    <w:rsid w:val="002611A8"/>
    <w:rsid w:val="002613DE"/>
    <w:rsid w:val="00261A13"/>
    <w:rsid w:val="00261AAD"/>
    <w:rsid w:val="00261B69"/>
    <w:rsid w:val="00261FEB"/>
    <w:rsid w:val="0026270A"/>
    <w:rsid w:val="00262E16"/>
    <w:rsid w:val="0026307A"/>
    <w:rsid w:val="002633B4"/>
    <w:rsid w:val="00263800"/>
    <w:rsid w:val="00263B17"/>
    <w:rsid w:val="00263CD5"/>
    <w:rsid w:val="00263F9C"/>
    <w:rsid w:val="00264223"/>
    <w:rsid w:val="0026423E"/>
    <w:rsid w:val="002645BA"/>
    <w:rsid w:val="0026496F"/>
    <w:rsid w:val="00264B36"/>
    <w:rsid w:val="00264D9D"/>
    <w:rsid w:val="00265152"/>
    <w:rsid w:val="002651DF"/>
    <w:rsid w:val="0026533F"/>
    <w:rsid w:val="002654D0"/>
    <w:rsid w:val="00265644"/>
    <w:rsid w:val="00265C5C"/>
    <w:rsid w:val="00265CE2"/>
    <w:rsid w:val="00265D43"/>
    <w:rsid w:val="00265F25"/>
    <w:rsid w:val="00266151"/>
    <w:rsid w:val="00266248"/>
    <w:rsid w:val="00266383"/>
    <w:rsid w:val="002664C4"/>
    <w:rsid w:val="00266616"/>
    <w:rsid w:val="00266840"/>
    <w:rsid w:val="002669B5"/>
    <w:rsid w:val="00266E72"/>
    <w:rsid w:val="002675C6"/>
    <w:rsid w:val="00267BE6"/>
    <w:rsid w:val="00267C57"/>
    <w:rsid w:val="00267E90"/>
    <w:rsid w:val="002704DF"/>
    <w:rsid w:val="00270509"/>
    <w:rsid w:val="0027055C"/>
    <w:rsid w:val="0027067E"/>
    <w:rsid w:val="00270808"/>
    <w:rsid w:val="002709F5"/>
    <w:rsid w:val="00270D97"/>
    <w:rsid w:val="00270E57"/>
    <w:rsid w:val="00270F53"/>
    <w:rsid w:val="0027139D"/>
    <w:rsid w:val="0027170F"/>
    <w:rsid w:val="00271806"/>
    <w:rsid w:val="00271B7B"/>
    <w:rsid w:val="00271D5E"/>
    <w:rsid w:val="00271F8E"/>
    <w:rsid w:val="00272310"/>
    <w:rsid w:val="002725DC"/>
    <w:rsid w:val="002726E2"/>
    <w:rsid w:val="002727C9"/>
    <w:rsid w:val="00272857"/>
    <w:rsid w:val="002728BD"/>
    <w:rsid w:val="00272B39"/>
    <w:rsid w:val="00272E8B"/>
    <w:rsid w:val="0027306F"/>
    <w:rsid w:val="00273945"/>
    <w:rsid w:val="002739EB"/>
    <w:rsid w:val="0027435A"/>
    <w:rsid w:val="00274369"/>
    <w:rsid w:val="00274835"/>
    <w:rsid w:val="00274A3C"/>
    <w:rsid w:val="00274A48"/>
    <w:rsid w:val="00274EA6"/>
    <w:rsid w:val="00274F60"/>
    <w:rsid w:val="002751C1"/>
    <w:rsid w:val="0027527E"/>
    <w:rsid w:val="00275951"/>
    <w:rsid w:val="00275F42"/>
    <w:rsid w:val="00276257"/>
    <w:rsid w:val="00276285"/>
    <w:rsid w:val="00276899"/>
    <w:rsid w:val="002768D7"/>
    <w:rsid w:val="00276974"/>
    <w:rsid w:val="00276B28"/>
    <w:rsid w:val="00276BF9"/>
    <w:rsid w:val="002773C9"/>
    <w:rsid w:val="0027766E"/>
    <w:rsid w:val="00277CAF"/>
    <w:rsid w:val="00277E7A"/>
    <w:rsid w:val="00277ED1"/>
    <w:rsid w:val="00277ED6"/>
    <w:rsid w:val="00280020"/>
    <w:rsid w:val="002803B6"/>
    <w:rsid w:val="002806C0"/>
    <w:rsid w:val="00280AE6"/>
    <w:rsid w:val="00280B5C"/>
    <w:rsid w:val="002812AD"/>
    <w:rsid w:val="00281340"/>
    <w:rsid w:val="00281371"/>
    <w:rsid w:val="00281378"/>
    <w:rsid w:val="00281952"/>
    <w:rsid w:val="00281CCD"/>
    <w:rsid w:val="00281D4C"/>
    <w:rsid w:val="00281F7A"/>
    <w:rsid w:val="002823F0"/>
    <w:rsid w:val="00282419"/>
    <w:rsid w:val="002824F3"/>
    <w:rsid w:val="00282A8E"/>
    <w:rsid w:val="00282D81"/>
    <w:rsid w:val="00282E7E"/>
    <w:rsid w:val="00282E95"/>
    <w:rsid w:val="00282ED4"/>
    <w:rsid w:val="00283700"/>
    <w:rsid w:val="00283885"/>
    <w:rsid w:val="002838C9"/>
    <w:rsid w:val="002839C5"/>
    <w:rsid w:val="00283BFB"/>
    <w:rsid w:val="00284352"/>
    <w:rsid w:val="002849EE"/>
    <w:rsid w:val="00284CF4"/>
    <w:rsid w:val="00284CF5"/>
    <w:rsid w:val="00284CF7"/>
    <w:rsid w:val="00284D27"/>
    <w:rsid w:val="00285256"/>
    <w:rsid w:val="0028543F"/>
    <w:rsid w:val="002855D8"/>
    <w:rsid w:val="0028586D"/>
    <w:rsid w:val="002858FF"/>
    <w:rsid w:val="00285A3A"/>
    <w:rsid w:val="00285E3F"/>
    <w:rsid w:val="00286143"/>
    <w:rsid w:val="0028642C"/>
    <w:rsid w:val="0028675C"/>
    <w:rsid w:val="00286780"/>
    <w:rsid w:val="002867EA"/>
    <w:rsid w:val="0028689B"/>
    <w:rsid w:val="00286ADD"/>
    <w:rsid w:val="00286D4C"/>
    <w:rsid w:val="00286FF6"/>
    <w:rsid w:val="00287695"/>
    <w:rsid w:val="00287E4A"/>
    <w:rsid w:val="0029007C"/>
    <w:rsid w:val="002900EE"/>
    <w:rsid w:val="00290306"/>
    <w:rsid w:val="002903B6"/>
    <w:rsid w:val="00290460"/>
    <w:rsid w:val="00290BEA"/>
    <w:rsid w:val="002915AE"/>
    <w:rsid w:val="002919E0"/>
    <w:rsid w:val="00292227"/>
    <w:rsid w:val="00292E2D"/>
    <w:rsid w:val="00293049"/>
    <w:rsid w:val="002930C8"/>
    <w:rsid w:val="0029321C"/>
    <w:rsid w:val="0029354E"/>
    <w:rsid w:val="00293665"/>
    <w:rsid w:val="0029377B"/>
    <w:rsid w:val="002937BE"/>
    <w:rsid w:val="002937DF"/>
    <w:rsid w:val="002938CC"/>
    <w:rsid w:val="00293958"/>
    <w:rsid w:val="002939E9"/>
    <w:rsid w:val="00293E34"/>
    <w:rsid w:val="00293F52"/>
    <w:rsid w:val="00294283"/>
    <w:rsid w:val="00294643"/>
    <w:rsid w:val="00294D66"/>
    <w:rsid w:val="00294FA9"/>
    <w:rsid w:val="0029505E"/>
    <w:rsid w:val="002951BF"/>
    <w:rsid w:val="002958A5"/>
    <w:rsid w:val="0029593F"/>
    <w:rsid w:val="00295ADB"/>
    <w:rsid w:val="00295EAA"/>
    <w:rsid w:val="00296040"/>
    <w:rsid w:val="00296EF0"/>
    <w:rsid w:val="002971B9"/>
    <w:rsid w:val="00297278"/>
    <w:rsid w:val="00297625"/>
    <w:rsid w:val="002A00B4"/>
    <w:rsid w:val="002A01B1"/>
    <w:rsid w:val="002A0747"/>
    <w:rsid w:val="002A089B"/>
    <w:rsid w:val="002A0E89"/>
    <w:rsid w:val="002A1092"/>
    <w:rsid w:val="002A1511"/>
    <w:rsid w:val="002A164A"/>
    <w:rsid w:val="002A1D94"/>
    <w:rsid w:val="002A21F6"/>
    <w:rsid w:val="002A223E"/>
    <w:rsid w:val="002A2531"/>
    <w:rsid w:val="002A2589"/>
    <w:rsid w:val="002A25B3"/>
    <w:rsid w:val="002A2770"/>
    <w:rsid w:val="002A298F"/>
    <w:rsid w:val="002A2CAE"/>
    <w:rsid w:val="002A2CDA"/>
    <w:rsid w:val="002A3337"/>
    <w:rsid w:val="002A3359"/>
    <w:rsid w:val="002A37E4"/>
    <w:rsid w:val="002A3A8C"/>
    <w:rsid w:val="002A3DF0"/>
    <w:rsid w:val="002A4013"/>
    <w:rsid w:val="002A40DC"/>
    <w:rsid w:val="002A423C"/>
    <w:rsid w:val="002A45BC"/>
    <w:rsid w:val="002A45DA"/>
    <w:rsid w:val="002A4A6C"/>
    <w:rsid w:val="002A4B3F"/>
    <w:rsid w:val="002A533C"/>
    <w:rsid w:val="002A60F9"/>
    <w:rsid w:val="002A6663"/>
    <w:rsid w:val="002A69E7"/>
    <w:rsid w:val="002A6A23"/>
    <w:rsid w:val="002A6A68"/>
    <w:rsid w:val="002A6D28"/>
    <w:rsid w:val="002A6DB0"/>
    <w:rsid w:val="002A6FBE"/>
    <w:rsid w:val="002A75E3"/>
    <w:rsid w:val="002A768C"/>
    <w:rsid w:val="002A79BF"/>
    <w:rsid w:val="002B012F"/>
    <w:rsid w:val="002B0540"/>
    <w:rsid w:val="002B0CB9"/>
    <w:rsid w:val="002B103E"/>
    <w:rsid w:val="002B1686"/>
    <w:rsid w:val="002B1810"/>
    <w:rsid w:val="002B1C9E"/>
    <w:rsid w:val="002B1E25"/>
    <w:rsid w:val="002B1E34"/>
    <w:rsid w:val="002B1FE7"/>
    <w:rsid w:val="002B2138"/>
    <w:rsid w:val="002B2315"/>
    <w:rsid w:val="002B2390"/>
    <w:rsid w:val="002B23EB"/>
    <w:rsid w:val="002B2750"/>
    <w:rsid w:val="002B27B1"/>
    <w:rsid w:val="002B290D"/>
    <w:rsid w:val="002B2C49"/>
    <w:rsid w:val="002B2C5F"/>
    <w:rsid w:val="002B3205"/>
    <w:rsid w:val="002B34EF"/>
    <w:rsid w:val="002B3743"/>
    <w:rsid w:val="002B376A"/>
    <w:rsid w:val="002B3A1A"/>
    <w:rsid w:val="002B436B"/>
    <w:rsid w:val="002B4903"/>
    <w:rsid w:val="002B4A65"/>
    <w:rsid w:val="002B4B6D"/>
    <w:rsid w:val="002B4B97"/>
    <w:rsid w:val="002B4C83"/>
    <w:rsid w:val="002B4D66"/>
    <w:rsid w:val="002B4E36"/>
    <w:rsid w:val="002B4E9C"/>
    <w:rsid w:val="002B5019"/>
    <w:rsid w:val="002B5222"/>
    <w:rsid w:val="002B5664"/>
    <w:rsid w:val="002B5BBD"/>
    <w:rsid w:val="002B621E"/>
    <w:rsid w:val="002B62E0"/>
    <w:rsid w:val="002B63E3"/>
    <w:rsid w:val="002B6B88"/>
    <w:rsid w:val="002B6C93"/>
    <w:rsid w:val="002B702C"/>
    <w:rsid w:val="002B7063"/>
    <w:rsid w:val="002B75B4"/>
    <w:rsid w:val="002C00A0"/>
    <w:rsid w:val="002C017C"/>
    <w:rsid w:val="002C028E"/>
    <w:rsid w:val="002C04A2"/>
    <w:rsid w:val="002C0610"/>
    <w:rsid w:val="002C09E0"/>
    <w:rsid w:val="002C153A"/>
    <w:rsid w:val="002C1A6C"/>
    <w:rsid w:val="002C1E5B"/>
    <w:rsid w:val="002C2119"/>
    <w:rsid w:val="002C21D1"/>
    <w:rsid w:val="002C25DD"/>
    <w:rsid w:val="002C2BFF"/>
    <w:rsid w:val="002C2E27"/>
    <w:rsid w:val="002C2F8D"/>
    <w:rsid w:val="002C3470"/>
    <w:rsid w:val="002C347E"/>
    <w:rsid w:val="002C35DD"/>
    <w:rsid w:val="002C364C"/>
    <w:rsid w:val="002C3FF6"/>
    <w:rsid w:val="002C411F"/>
    <w:rsid w:val="002C44CA"/>
    <w:rsid w:val="002C451E"/>
    <w:rsid w:val="002C4813"/>
    <w:rsid w:val="002C506E"/>
    <w:rsid w:val="002C539C"/>
    <w:rsid w:val="002C5478"/>
    <w:rsid w:val="002C547C"/>
    <w:rsid w:val="002C5610"/>
    <w:rsid w:val="002C56DE"/>
    <w:rsid w:val="002C5B50"/>
    <w:rsid w:val="002C5C56"/>
    <w:rsid w:val="002C5C8D"/>
    <w:rsid w:val="002C6034"/>
    <w:rsid w:val="002C639A"/>
    <w:rsid w:val="002C6417"/>
    <w:rsid w:val="002C65C1"/>
    <w:rsid w:val="002C69B6"/>
    <w:rsid w:val="002C6A31"/>
    <w:rsid w:val="002C6EF8"/>
    <w:rsid w:val="002C72AB"/>
    <w:rsid w:val="002C756E"/>
    <w:rsid w:val="002C76C3"/>
    <w:rsid w:val="002C77C2"/>
    <w:rsid w:val="002C784B"/>
    <w:rsid w:val="002C7BBF"/>
    <w:rsid w:val="002C7F32"/>
    <w:rsid w:val="002D0754"/>
    <w:rsid w:val="002D0A36"/>
    <w:rsid w:val="002D0DAB"/>
    <w:rsid w:val="002D15E4"/>
    <w:rsid w:val="002D164B"/>
    <w:rsid w:val="002D1A3D"/>
    <w:rsid w:val="002D1A47"/>
    <w:rsid w:val="002D1AE8"/>
    <w:rsid w:val="002D251B"/>
    <w:rsid w:val="002D2640"/>
    <w:rsid w:val="002D26AC"/>
    <w:rsid w:val="002D2796"/>
    <w:rsid w:val="002D29BE"/>
    <w:rsid w:val="002D2E51"/>
    <w:rsid w:val="002D352A"/>
    <w:rsid w:val="002D35BF"/>
    <w:rsid w:val="002D36CF"/>
    <w:rsid w:val="002D3CD4"/>
    <w:rsid w:val="002D4000"/>
    <w:rsid w:val="002D401B"/>
    <w:rsid w:val="002D472B"/>
    <w:rsid w:val="002D475D"/>
    <w:rsid w:val="002D4B02"/>
    <w:rsid w:val="002D53C7"/>
    <w:rsid w:val="002D542C"/>
    <w:rsid w:val="002D5713"/>
    <w:rsid w:val="002D5A70"/>
    <w:rsid w:val="002D5ABE"/>
    <w:rsid w:val="002D5AF8"/>
    <w:rsid w:val="002D5D59"/>
    <w:rsid w:val="002D5DE2"/>
    <w:rsid w:val="002D5F1E"/>
    <w:rsid w:val="002D64CC"/>
    <w:rsid w:val="002D67C6"/>
    <w:rsid w:val="002D68C9"/>
    <w:rsid w:val="002D68FC"/>
    <w:rsid w:val="002D6C22"/>
    <w:rsid w:val="002D6CC9"/>
    <w:rsid w:val="002D6D96"/>
    <w:rsid w:val="002D70A7"/>
    <w:rsid w:val="002D72A2"/>
    <w:rsid w:val="002D7739"/>
    <w:rsid w:val="002D7D69"/>
    <w:rsid w:val="002E0167"/>
    <w:rsid w:val="002E0946"/>
    <w:rsid w:val="002E0BCD"/>
    <w:rsid w:val="002E1C00"/>
    <w:rsid w:val="002E20D9"/>
    <w:rsid w:val="002E246E"/>
    <w:rsid w:val="002E2560"/>
    <w:rsid w:val="002E2D37"/>
    <w:rsid w:val="002E305F"/>
    <w:rsid w:val="002E33C6"/>
    <w:rsid w:val="002E3600"/>
    <w:rsid w:val="002E398E"/>
    <w:rsid w:val="002E39F3"/>
    <w:rsid w:val="002E3E2E"/>
    <w:rsid w:val="002E3FC5"/>
    <w:rsid w:val="002E40EF"/>
    <w:rsid w:val="002E4128"/>
    <w:rsid w:val="002E417B"/>
    <w:rsid w:val="002E423B"/>
    <w:rsid w:val="002E444F"/>
    <w:rsid w:val="002E48B5"/>
    <w:rsid w:val="002E4AEF"/>
    <w:rsid w:val="002E4C34"/>
    <w:rsid w:val="002E5038"/>
    <w:rsid w:val="002E50D8"/>
    <w:rsid w:val="002E5281"/>
    <w:rsid w:val="002E546A"/>
    <w:rsid w:val="002E59BE"/>
    <w:rsid w:val="002E5FCA"/>
    <w:rsid w:val="002E6044"/>
    <w:rsid w:val="002E6122"/>
    <w:rsid w:val="002E6299"/>
    <w:rsid w:val="002E657F"/>
    <w:rsid w:val="002E6695"/>
    <w:rsid w:val="002E66D1"/>
    <w:rsid w:val="002E67E2"/>
    <w:rsid w:val="002E6A68"/>
    <w:rsid w:val="002E6DA3"/>
    <w:rsid w:val="002E7092"/>
    <w:rsid w:val="002E7683"/>
    <w:rsid w:val="002E773F"/>
    <w:rsid w:val="002E784D"/>
    <w:rsid w:val="002E7895"/>
    <w:rsid w:val="002E7B53"/>
    <w:rsid w:val="002E7B7C"/>
    <w:rsid w:val="002E7B90"/>
    <w:rsid w:val="002E7C9A"/>
    <w:rsid w:val="002E7EE8"/>
    <w:rsid w:val="002F01D3"/>
    <w:rsid w:val="002F0CF6"/>
    <w:rsid w:val="002F144A"/>
    <w:rsid w:val="002F166E"/>
    <w:rsid w:val="002F1E59"/>
    <w:rsid w:val="002F1EE0"/>
    <w:rsid w:val="002F1FE7"/>
    <w:rsid w:val="002F25F3"/>
    <w:rsid w:val="002F2650"/>
    <w:rsid w:val="002F2AAA"/>
    <w:rsid w:val="002F2B99"/>
    <w:rsid w:val="002F2BFB"/>
    <w:rsid w:val="002F2CDE"/>
    <w:rsid w:val="002F2D00"/>
    <w:rsid w:val="002F2D3C"/>
    <w:rsid w:val="002F2F76"/>
    <w:rsid w:val="002F316F"/>
    <w:rsid w:val="002F3452"/>
    <w:rsid w:val="002F3746"/>
    <w:rsid w:val="002F3904"/>
    <w:rsid w:val="002F3B40"/>
    <w:rsid w:val="002F3C07"/>
    <w:rsid w:val="002F3D91"/>
    <w:rsid w:val="002F3E40"/>
    <w:rsid w:val="002F4078"/>
    <w:rsid w:val="002F413B"/>
    <w:rsid w:val="002F418E"/>
    <w:rsid w:val="002F4380"/>
    <w:rsid w:val="002F4887"/>
    <w:rsid w:val="002F4D5D"/>
    <w:rsid w:val="002F4EB4"/>
    <w:rsid w:val="002F4F2C"/>
    <w:rsid w:val="002F522A"/>
    <w:rsid w:val="002F52A5"/>
    <w:rsid w:val="002F5C9A"/>
    <w:rsid w:val="002F5EAC"/>
    <w:rsid w:val="002F5ECB"/>
    <w:rsid w:val="002F609C"/>
    <w:rsid w:val="002F6526"/>
    <w:rsid w:val="002F6633"/>
    <w:rsid w:val="002F6685"/>
    <w:rsid w:val="002F6AE7"/>
    <w:rsid w:val="002F6DEE"/>
    <w:rsid w:val="002F6E1A"/>
    <w:rsid w:val="002F6F2B"/>
    <w:rsid w:val="002F7099"/>
    <w:rsid w:val="002F70AA"/>
    <w:rsid w:val="002F7107"/>
    <w:rsid w:val="002F741D"/>
    <w:rsid w:val="002F7421"/>
    <w:rsid w:val="002F7B01"/>
    <w:rsid w:val="002F7F55"/>
    <w:rsid w:val="0030003C"/>
    <w:rsid w:val="00300247"/>
    <w:rsid w:val="00300895"/>
    <w:rsid w:val="003008AE"/>
    <w:rsid w:val="0030097C"/>
    <w:rsid w:val="003009E7"/>
    <w:rsid w:val="00300C42"/>
    <w:rsid w:val="00300E97"/>
    <w:rsid w:val="00300EED"/>
    <w:rsid w:val="003010AE"/>
    <w:rsid w:val="003010B7"/>
    <w:rsid w:val="00301223"/>
    <w:rsid w:val="003013F6"/>
    <w:rsid w:val="00301A4D"/>
    <w:rsid w:val="00301F53"/>
    <w:rsid w:val="00301FEF"/>
    <w:rsid w:val="00302208"/>
    <w:rsid w:val="003023CA"/>
    <w:rsid w:val="003026CF"/>
    <w:rsid w:val="00302952"/>
    <w:rsid w:val="003029AC"/>
    <w:rsid w:val="0030324E"/>
    <w:rsid w:val="00303636"/>
    <w:rsid w:val="00303704"/>
    <w:rsid w:val="003038A0"/>
    <w:rsid w:val="003039D7"/>
    <w:rsid w:val="00304129"/>
    <w:rsid w:val="0030427C"/>
    <w:rsid w:val="003043A5"/>
    <w:rsid w:val="003046D7"/>
    <w:rsid w:val="00304A39"/>
    <w:rsid w:val="00304EC2"/>
    <w:rsid w:val="00304F13"/>
    <w:rsid w:val="00304FC5"/>
    <w:rsid w:val="003050F4"/>
    <w:rsid w:val="0030522D"/>
    <w:rsid w:val="00305267"/>
    <w:rsid w:val="003053E4"/>
    <w:rsid w:val="003056EC"/>
    <w:rsid w:val="00305719"/>
    <w:rsid w:val="0030601B"/>
    <w:rsid w:val="003067BC"/>
    <w:rsid w:val="00306812"/>
    <w:rsid w:val="003068AF"/>
    <w:rsid w:val="0030699D"/>
    <w:rsid w:val="00306C5E"/>
    <w:rsid w:val="00306F82"/>
    <w:rsid w:val="0030730D"/>
    <w:rsid w:val="00307820"/>
    <w:rsid w:val="00307B02"/>
    <w:rsid w:val="00307D0F"/>
    <w:rsid w:val="003100A0"/>
    <w:rsid w:val="0031017F"/>
    <w:rsid w:val="003105C5"/>
    <w:rsid w:val="0031081F"/>
    <w:rsid w:val="00310D6B"/>
    <w:rsid w:val="003110F5"/>
    <w:rsid w:val="00311215"/>
    <w:rsid w:val="00311287"/>
    <w:rsid w:val="003112A7"/>
    <w:rsid w:val="003114CC"/>
    <w:rsid w:val="003118C4"/>
    <w:rsid w:val="0031193D"/>
    <w:rsid w:val="00311A40"/>
    <w:rsid w:val="00311ACE"/>
    <w:rsid w:val="00311BC6"/>
    <w:rsid w:val="00311C79"/>
    <w:rsid w:val="00311CCD"/>
    <w:rsid w:val="00311CD4"/>
    <w:rsid w:val="00312559"/>
    <w:rsid w:val="00312ADB"/>
    <w:rsid w:val="00312C54"/>
    <w:rsid w:val="00312F44"/>
    <w:rsid w:val="00312F74"/>
    <w:rsid w:val="00313195"/>
    <w:rsid w:val="0031320C"/>
    <w:rsid w:val="0031364C"/>
    <w:rsid w:val="003136DC"/>
    <w:rsid w:val="003137F1"/>
    <w:rsid w:val="003139AF"/>
    <w:rsid w:val="00313BBF"/>
    <w:rsid w:val="00313CED"/>
    <w:rsid w:val="00313D07"/>
    <w:rsid w:val="0031412C"/>
    <w:rsid w:val="00314646"/>
    <w:rsid w:val="00314888"/>
    <w:rsid w:val="00314A9E"/>
    <w:rsid w:val="00314EA8"/>
    <w:rsid w:val="003150EF"/>
    <w:rsid w:val="0031510F"/>
    <w:rsid w:val="00315350"/>
    <w:rsid w:val="0031548C"/>
    <w:rsid w:val="0031554F"/>
    <w:rsid w:val="003155E9"/>
    <w:rsid w:val="00315793"/>
    <w:rsid w:val="00315A50"/>
    <w:rsid w:val="00316651"/>
    <w:rsid w:val="00316688"/>
    <w:rsid w:val="00316865"/>
    <w:rsid w:val="003169B7"/>
    <w:rsid w:val="00316BDD"/>
    <w:rsid w:val="00316DA4"/>
    <w:rsid w:val="003171FF"/>
    <w:rsid w:val="003176FB"/>
    <w:rsid w:val="00317897"/>
    <w:rsid w:val="003178D5"/>
    <w:rsid w:val="00317945"/>
    <w:rsid w:val="00317973"/>
    <w:rsid w:val="00317E0E"/>
    <w:rsid w:val="00317E43"/>
    <w:rsid w:val="003202A2"/>
    <w:rsid w:val="0032039D"/>
    <w:rsid w:val="003203D0"/>
    <w:rsid w:val="003204E2"/>
    <w:rsid w:val="00320540"/>
    <w:rsid w:val="00320613"/>
    <w:rsid w:val="003210DB"/>
    <w:rsid w:val="00321624"/>
    <w:rsid w:val="00321945"/>
    <w:rsid w:val="00321975"/>
    <w:rsid w:val="00321D06"/>
    <w:rsid w:val="003222EB"/>
    <w:rsid w:val="00322773"/>
    <w:rsid w:val="003228EB"/>
    <w:rsid w:val="00322C04"/>
    <w:rsid w:val="00322C70"/>
    <w:rsid w:val="00322CB5"/>
    <w:rsid w:val="00323145"/>
    <w:rsid w:val="00323671"/>
    <w:rsid w:val="003238E1"/>
    <w:rsid w:val="00323934"/>
    <w:rsid w:val="00323944"/>
    <w:rsid w:val="00323B53"/>
    <w:rsid w:val="00323E86"/>
    <w:rsid w:val="00323F5B"/>
    <w:rsid w:val="0032400E"/>
    <w:rsid w:val="00324042"/>
    <w:rsid w:val="003240BE"/>
    <w:rsid w:val="0032485A"/>
    <w:rsid w:val="00324887"/>
    <w:rsid w:val="0032498D"/>
    <w:rsid w:val="00324B3F"/>
    <w:rsid w:val="00324CF1"/>
    <w:rsid w:val="00324EF8"/>
    <w:rsid w:val="0032503F"/>
    <w:rsid w:val="003250D6"/>
    <w:rsid w:val="00325279"/>
    <w:rsid w:val="003252BC"/>
    <w:rsid w:val="00325482"/>
    <w:rsid w:val="00325514"/>
    <w:rsid w:val="0032553F"/>
    <w:rsid w:val="00325562"/>
    <w:rsid w:val="0032566D"/>
    <w:rsid w:val="00325852"/>
    <w:rsid w:val="00325DB3"/>
    <w:rsid w:val="00325E71"/>
    <w:rsid w:val="00325F49"/>
    <w:rsid w:val="003269CA"/>
    <w:rsid w:val="00326B3E"/>
    <w:rsid w:val="00326C56"/>
    <w:rsid w:val="00326DC5"/>
    <w:rsid w:val="00327199"/>
    <w:rsid w:val="00327595"/>
    <w:rsid w:val="00327DF4"/>
    <w:rsid w:val="00327EDD"/>
    <w:rsid w:val="0033021F"/>
    <w:rsid w:val="00330503"/>
    <w:rsid w:val="00330659"/>
    <w:rsid w:val="00330883"/>
    <w:rsid w:val="00330986"/>
    <w:rsid w:val="00330C13"/>
    <w:rsid w:val="00330C17"/>
    <w:rsid w:val="00330C51"/>
    <w:rsid w:val="00330D1E"/>
    <w:rsid w:val="00330F03"/>
    <w:rsid w:val="0033105E"/>
    <w:rsid w:val="00331203"/>
    <w:rsid w:val="0033127F"/>
    <w:rsid w:val="003314E8"/>
    <w:rsid w:val="00331575"/>
    <w:rsid w:val="0033180D"/>
    <w:rsid w:val="003318E6"/>
    <w:rsid w:val="00331929"/>
    <w:rsid w:val="00331978"/>
    <w:rsid w:val="00331B12"/>
    <w:rsid w:val="00332150"/>
    <w:rsid w:val="00332B45"/>
    <w:rsid w:val="00332B79"/>
    <w:rsid w:val="00332BBA"/>
    <w:rsid w:val="00332F17"/>
    <w:rsid w:val="00332F43"/>
    <w:rsid w:val="00332FE2"/>
    <w:rsid w:val="003331F7"/>
    <w:rsid w:val="003335A3"/>
    <w:rsid w:val="00333611"/>
    <w:rsid w:val="00334251"/>
    <w:rsid w:val="0033452D"/>
    <w:rsid w:val="003349A0"/>
    <w:rsid w:val="00334CDD"/>
    <w:rsid w:val="00334D73"/>
    <w:rsid w:val="00334DBB"/>
    <w:rsid w:val="00334F4C"/>
    <w:rsid w:val="00335193"/>
    <w:rsid w:val="003351B0"/>
    <w:rsid w:val="00335370"/>
    <w:rsid w:val="003353A2"/>
    <w:rsid w:val="00335453"/>
    <w:rsid w:val="003354EE"/>
    <w:rsid w:val="0033558B"/>
    <w:rsid w:val="003355AF"/>
    <w:rsid w:val="00335807"/>
    <w:rsid w:val="003358C2"/>
    <w:rsid w:val="003358F4"/>
    <w:rsid w:val="00335A18"/>
    <w:rsid w:val="00335D72"/>
    <w:rsid w:val="00335DA1"/>
    <w:rsid w:val="003366FD"/>
    <w:rsid w:val="00336707"/>
    <w:rsid w:val="003367C0"/>
    <w:rsid w:val="003367C1"/>
    <w:rsid w:val="0033690C"/>
    <w:rsid w:val="00336A21"/>
    <w:rsid w:val="00336B0F"/>
    <w:rsid w:val="00336C00"/>
    <w:rsid w:val="00336D1C"/>
    <w:rsid w:val="00336FAB"/>
    <w:rsid w:val="00337238"/>
    <w:rsid w:val="0033769E"/>
    <w:rsid w:val="00337C60"/>
    <w:rsid w:val="00340090"/>
    <w:rsid w:val="00340511"/>
    <w:rsid w:val="0034098E"/>
    <w:rsid w:val="003409C4"/>
    <w:rsid w:val="00340C98"/>
    <w:rsid w:val="0034110C"/>
    <w:rsid w:val="0034163E"/>
    <w:rsid w:val="003416FD"/>
    <w:rsid w:val="0034196F"/>
    <w:rsid w:val="00341A54"/>
    <w:rsid w:val="00341B26"/>
    <w:rsid w:val="00341D30"/>
    <w:rsid w:val="00341E0A"/>
    <w:rsid w:val="003426EF"/>
    <w:rsid w:val="003427EA"/>
    <w:rsid w:val="00342A0D"/>
    <w:rsid w:val="00342CC6"/>
    <w:rsid w:val="003431B0"/>
    <w:rsid w:val="003436F0"/>
    <w:rsid w:val="003438E9"/>
    <w:rsid w:val="00343A69"/>
    <w:rsid w:val="00343C1E"/>
    <w:rsid w:val="003442CB"/>
    <w:rsid w:val="003446B2"/>
    <w:rsid w:val="00344840"/>
    <w:rsid w:val="00344868"/>
    <w:rsid w:val="00345144"/>
    <w:rsid w:val="0034532F"/>
    <w:rsid w:val="00345360"/>
    <w:rsid w:val="00345622"/>
    <w:rsid w:val="00345685"/>
    <w:rsid w:val="003457CD"/>
    <w:rsid w:val="00345B71"/>
    <w:rsid w:val="0034670E"/>
    <w:rsid w:val="00346A60"/>
    <w:rsid w:val="0034704A"/>
    <w:rsid w:val="003473B4"/>
    <w:rsid w:val="003475C2"/>
    <w:rsid w:val="003475C3"/>
    <w:rsid w:val="0034770E"/>
    <w:rsid w:val="00347816"/>
    <w:rsid w:val="00347AA9"/>
    <w:rsid w:val="00347F74"/>
    <w:rsid w:val="0035026A"/>
    <w:rsid w:val="0035052B"/>
    <w:rsid w:val="003506F9"/>
    <w:rsid w:val="0035084B"/>
    <w:rsid w:val="003509AB"/>
    <w:rsid w:val="00350CE6"/>
    <w:rsid w:val="00350E77"/>
    <w:rsid w:val="00350FF7"/>
    <w:rsid w:val="00351121"/>
    <w:rsid w:val="003511E9"/>
    <w:rsid w:val="0035173E"/>
    <w:rsid w:val="00351B31"/>
    <w:rsid w:val="0035256A"/>
    <w:rsid w:val="00352830"/>
    <w:rsid w:val="003528E1"/>
    <w:rsid w:val="00352914"/>
    <w:rsid w:val="00352929"/>
    <w:rsid w:val="0035292C"/>
    <w:rsid w:val="00352E31"/>
    <w:rsid w:val="003530F3"/>
    <w:rsid w:val="003533BB"/>
    <w:rsid w:val="00353560"/>
    <w:rsid w:val="003536D5"/>
    <w:rsid w:val="00353847"/>
    <w:rsid w:val="00353967"/>
    <w:rsid w:val="00353F31"/>
    <w:rsid w:val="00354185"/>
    <w:rsid w:val="003546C4"/>
    <w:rsid w:val="003546DB"/>
    <w:rsid w:val="00354AF3"/>
    <w:rsid w:val="00354EBE"/>
    <w:rsid w:val="00354F31"/>
    <w:rsid w:val="003553C2"/>
    <w:rsid w:val="00355485"/>
    <w:rsid w:val="00355672"/>
    <w:rsid w:val="003556A3"/>
    <w:rsid w:val="003556F3"/>
    <w:rsid w:val="003556FA"/>
    <w:rsid w:val="00355B95"/>
    <w:rsid w:val="00355BB2"/>
    <w:rsid w:val="00355E82"/>
    <w:rsid w:val="003560A5"/>
    <w:rsid w:val="00356416"/>
    <w:rsid w:val="00356592"/>
    <w:rsid w:val="003569BA"/>
    <w:rsid w:val="003569EF"/>
    <w:rsid w:val="00356FD3"/>
    <w:rsid w:val="003572D5"/>
    <w:rsid w:val="003573E9"/>
    <w:rsid w:val="003574D3"/>
    <w:rsid w:val="00357DDC"/>
    <w:rsid w:val="00360094"/>
    <w:rsid w:val="00360109"/>
    <w:rsid w:val="0036023A"/>
    <w:rsid w:val="00360516"/>
    <w:rsid w:val="00360E1B"/>
    <w:rsid w:val="00360FEB"/>
    <w:rsid w:val="0036106D"/>
    <w:rsid w:val="0036112D"/>
    <w:rsid w:val="00361173"/>
    <w:rsid w:val="003613DA"/>
    <w:rsid w:val="00361A51"/>
    <w:rsid w:val="00361B54"/>
    <w:rsid w:val="00361D67"/>
    <w:rsid w:val="00361E45"/>
    <w:rsid w:val="00362021"/>
    <w:rsid w:val="0036202F"/>
    <w:rsid w:val="00362BEF"/>
    <w:rsid w:val="00362EF0"/>
    <w:rsid w:val="0036309D"/>
    <w:rsid w:val="00363366"/>
    <w:rsid w:val="003634FE"/>
    <w:rsid w:val="003635B2"/>
    <w:rsid w:val="00363775"/>
    <w:rsid w:val="003638DF"/>
    <w:rsid w:val="00363FAA"/>
    <w:rsid w:val="003641A4"/>
    <w:rsid w:val="00364616"/>
    <w:rsid w:val="00364B15"/>
    <w:rsid w:val="00364B2F"/>
    <w:rsid w:val="00365092"/>
    <w:rsid w:val="00365106"/>
    <w:rsid w:val="0036519C"/>
    <w:rsid w:val="0036526F"/>
    <w:rsid w:val="003653A1"/>
    <w:rsid w:val="00365690"/>
    <w:rsid w:val="003657B5"/>
    <w:rsid w:val="00365ADC"/>
    <w:rsid w:val="00365CC9"/>
    <w:rsid w:val="00365CE1"/>
    <w:rsid w:val="003661AA"/>
    <w:rsid w:val="00366564"/>
    <w:rsid w:val="003665E6"/>
    <w:rsid w:val="003666BA"/>
    <w:rsid w:val="00366802"/>
    <w:rsid w:val="00366C83"/>
    <w:rsid w:val="00366EA5"/>
    <w:rsid w:val="00366F2B"/>
    <w:rsid w:val="0036712C"/>
    <w:rsid w:val="00367566"/>
    <w:rsid w:val="0036761D"/>
    <w:rsid w:val="00367AFD"/>
    <w:rsid w:val="00367C50"/>
    <w:rsid w:val="00367CD3"/>
    <w:rsid w:val="00367D1A"/>
    <w:rsid w:val="00367DC6"/>
    <w:rsid w:val="00367FC0"/>
    <w:rsid w:val="00370363"/>
    <w:rsid w:val="00370480"/>
    <w:rsid w:val="003706AD"/>
    <w:rsid w:val="003706B0"/>
    <w:rsid w:val="003706B6"/>
    <w:rsid w:val="00370AF4"/>
    <w:rsid w:val="00370DA1"/>
    <w:rsid w:val="0037114C"/>
    <w:rsid w:val="003712B4"/>
    <w:rsid w:val="003717E0"/>
    <w:rsid w:val="003719A0"/>
    <w:rsid w:val="003719B5"/>
    <w:rsid w:val="00371C69"/>
    <w:rsid w:val="00371E14"/>
    <w:rsid w:val="0037203F"/>
    <w:rsid w:val="0037204E"/>
    <w:rsid w:val="0037213B"/>
    <w:rsid w:val="003724B8"/>
    <w:rsid w:val="003724CC"/>
    <w:rsid w:val="003727E5"/>
    <w:rsid w:val="003729E7"/>
    <w:rsid w:val="003733A5"/>
    <w:rsid w:val="003733C4"/>
    <w:rsid w:val="003738A5"/>
    <w:rsid w:val="003739E9"/>
    <w:rsid w:val="00373BD4"/>
    <w:rsid w:val="00373D67"/>
    <w:rsid w:val="00373E9E"/>
    <w:rsid w:val="00373EBC"/>
    <w:rsid w:val="003740BB"/>
    <w:rsid w:val="003741AD"/>
    <w:rsid w:val="0037452A"/>
    <w:rsid w:val="003745E2"/>
    <w:rsid w:val="003745F0"/>
    <w:rsid w:val="003747EC"/>
    <w:rsid w:val="00374800"/>
    <w:rsid w:val="003749F4"/>
    <w:rsid w:val="00374ACC"/>
    <w:rsid w:val="00374B99"/>
    <w:rsid w:val="00374C75"/>
    <w:rsid w:val="00374D1B"/>
    <w:rsid w:val="00375A26"/>
    <w:rsid w:val="00375F65"/>
    <w:rsid w:val="003764FD"/>
    <w:rsid w:val="0037652D"/>
    <w:rsid w:val="0037707B"/>
    <w:rsid w:val="00377293"/>
    <w:rsid w:val="00377736"/>
    <w:rsid w:val="0037778E"/>
    <w:rsid w:val="00377B1F"/>
    <w:rsid w:val="00377E23"/>
    <w:rsid w:val="003802E0"/>
    <w:rsid w:val="00380DAD"/>
    <w:rsid w:val="00380E81"/>
    <w:rsid w:val="00381113"/>
    <w:rsid w:val="003814A8"/>
    <w:rsid w:val="0038158B"/>
    <w:rsid w:val="00382148"/>
    <w:rsid w:val="00382630"/>
    <w:rsid w:val="00382A5E"/>
    <w:rsid w:val="00382CEC"/>
    <w:rsid w:val="003831B1"/>
    <w:rsid w:val="0038330D"/>
    <w:rsid w:val="0038360D"/>
    <w:rsid w:val="00383845"/>
    <w:rsid w:val="00383914"/>
    <w:rsid w:val="00383F5F"/>
    <w:rsid w:val="003843AD"/>
    <w:rsid w:val="003844EB"/>
    <w:rsid w:val="003845FE"/>
    <w:rsid w:val="003846DC"/>
    <w:rsid w:val="00384877"/>
    <w:rsid w:val="003849C2"/>
    <w:rsid w:val="00384AFA"/>
    <w:rsid w:val="00384CC8"/>
    <w:rsid w:val="00384E7D"/>
    <w:rsid w:val="0038505C"/>
    <w:rsid w:val="00385601"/>
    <w:rsid w:val="0038560A"/>
    <w:rsid w:val="0038587A"/>
    <w:rsid w:val="003859AB"/>
    <w:rsid w:val="00385A61"/>
    <w:rsid w:val="00385AA4"/>
    <w:rsid w:val="00385B03"/>
    <w:rsid w:val="00385B56"/>
    <w:rsid w:val="00386163"/>
    <w:rsid w:val="0038628C"/>
    <w:rsid w:val="003863AC"/>
    <w:rsid w:val="003863C7"/>
    <w:rsid w:val="003868B7"/>
    <w:rsid w:val="00386981"/>
    <w:rsid w:val="00386A41"/>
    <w:rsid w:val="00386DB8"/>
    <w:rsid w:val="00387205"/>
    <w:rsid w:val="003872E0"/>
    <w:rsid w:val="00387311"/>
    <w:rsid w:val="003873D0"/>
    <w:rsid w:val="00387628"/>
    <w:rsid w:val="0038767F"/>
    <w:rsid w:val="00387AC7"/>
    <w:rsid w:val="00387CEF"/>
    <w:rsid w:val="00387D00"/>
    <w:rsid w:val="00387D18"/>
    <w:rsid w:val="00387FD7"/>
    <w:rsid w:val="00390069"/>
    <w:rsid w:val="003906B4"/>
    <w:rsid w:val="00390949"/>
    <w:rsid w:val="003909AF"/>
    <w:rsid w:val="003909E5"/>
    <w:rsid w:val="00390A19"/>
    <w:rsid w:val="00390F4A"/>
    <w:rsid w:val="0039104B"/>
    <w:rsid w:val="0039110D"/>
    <w:rsid w:val="00391175"/>
    <w:rsid w:val="00391186"/>
    <w:rsid w:val="0039136C"/>
    <w:rsid w:val="003913BF"/>
    <w:rsid w:val="003914A1"/>
    <w:rsid w:val="00391575"/>
    <w:rsid w:val="003917FC"/>
    <w:rsid w:val="00391A98"/>
    <w:rsid w:val="00391ADE"/>
    <w:rsid w:val="00391D2A"/>
    <w:rsid w:val="00391D9F"/>
    <w:rsid w:val="00391E31"/>
    <w:rsid w:val="00391F7E"/>
    <w:rsid w:val="00392046"/>
    <w:rsid w:val="003923AD"/>
    <w:rsid w:val="003925B1"/>
    <w:rsid w:val="0039274A"/>
    <w:rsid w:val="003927D5"/>
    <w:rsid w:val="003928BE"/>
    <w:rsid w:val="003929E7"/>
    <w:rsid w:val="00392A22"/>
    <w:rsid w:val="00392D9B"/>
    <w:rsid w:val="00392E5D"/>
    <w:rsid w:val="00392EFE"/>
    <w:rsid w:val="00392F4C"/>
    <w:rsid w:val="00392FD5"/>
    <w:rsid w:val="0039312B"/>
    <w:rsid w:val="00393421"/>
    <w:rsid w:val="00393A4E"/>
    <w:rsid w:val="00393AA0"/>
    <w:rsid w:val="00393C35"/>
    <w:rsid w:val="00393D8F"/>
    <w:rsid w:val="00393E7E"/>
    <w:rsid w:val="0039410D"/>
    <w:rsid w:val="0039438B"/>
    <w:rsid w:val="00394851"/>
    <w:rsid w:val="0039491C"/>
    <w:rsid w:val="00394AE5"/>
    <w:rsid w:val="00394E09"/>
    <w:rsid w:val="00394E34"/>
    <w:rsid w:val="00394F8A"/>
    <w:rsid w:val="00395097"/>
    <w:rsid w:val="00395498"/>
    <w:rsid w:val="00395A43"/>
    <w:rsid w:val="00395B2E"/>
    <w:rsid w:val="00395CD2"/>
    <w:rsid w:val="00395ED4"/>
    <w:rsid w:val="003964B5"/>
    <w:rsid w:val="003964BA"/>
    <w:rsid w:val="0039736B"/>
    <w:rsid w:val="00397371"/>
    <w:rsid w:val="003973C2"/>
    <w:rsid w:val="00397621"/>
    <w:rsid w:val="003979E7"/>
    <w:rsid w:val="00397E36"/>
    <w:rsid w:val="00397E3E"/>
    <w:rsid w:val="003A02D0"/>
    <w:rsid w:val="003A02E4"/>
    <w:rsid w:val="003A04A3"/>
    <w:rsid w:val="003A0566"/>
    <w:rsid w:val="003A060B"/>
    <w:rsid w:val="003A09A5"/>
    <w:rsid w:val="003A1068"/>
    <w:rsid w:val="003A10A8"/>
    <w:rsid w:val="003A10D3"/>
    <w:rsid w:val="003A1209"/>
    <w:rsid w:val="003A1BA9"/>
    <w:rsid w:val="003A1BD3"/>
    <w:rsid w:val="003A1D1C"/>
    <w:rsid w:val="003A1D2A"/>
    <w:rsid w:val="003A1E02"/>
    <w:rsid w:val="003A1F13"/>
    <w:rsid w:val="003A202C"/>
    <w:rsid w:val="003A206B"/>
    <w:rsid w:val="003A20D3"/>
    <w:rsid w:val="003A20F8"/>
    <w:rsid w:val="003A2158"/>
    <w:rsid w:val="003A217B"/>
    <w:rsid w:val="003A2245"/>
    <w:rsid w:val="003A22D0"/>
    <w:rsid w:val="003A24EB"/>
    <w:rsid w:val="003A2866"/>
    <w:rsid w:val="003A29E5"/>
    <w:rsid w:val="003A2A49"/>
    <w:rsid w:val="003A2C7C"/>
    <w:rsid w:val="003A2D45"/>
    <w:rsid w:val="003A2D90"/>
    <w:rsid w:val="003A327A"/>
    <w:rsid w:val="003A3545"/>
    <w:rsid w:val="003A362E"/>
    <w:rsid w:val="003A3C11"/>
    <w:rsid w:val="003A4134"/>
    <w:rsid w:val="003A4162"/>
    <w:rsid w:val="003A435A"/>
    <w:rsid w:val="003A451E"/>
    <w:rsid w:val="003A47E6"/>
    <w:rsid w:val="003A492C"/>
    <w:rsid w:val="003A493C"/>
    <w:rsid w:val="003A498E"/>
    <w:rsid w:val="003A4F19"/>
    <w:rsid w:val="003A50C4"/>
    <w:rsid w:val="003A50FE"/>
    <w:rsid w:val="003A52EF"/>
    <w:rsid w:val="003A53EC"/>
    <w:rsid w:val="003A5718"/>
    <w:rsid w:val="003A5ADC"/>
    <w:rsid w:val="003A5B9D"/>
    <w:rsid w:val="003A627B"/>
    <w:rsid w:val="003A64BF"/>
    <w:rsid w:val="003A668C"/>
    <w:rsid w:val="003A67CE"/>
    <w:rsid w:val="003A6AF3"/>
    <w:rsid w:val="003A6DC5"/>
    <w:rsid w:val="003A6EDB"/>
    <w:rsid w:val="003A6FC6"/>
    <w:rsid w:val="003A732C"/>
    <w:rsid w:val="003A7370"/>
    <w:rsid w:val="003A7658"/>
    <w:rsid w:val="003A7CFC"/>
    <w:rsid w:val="003A7E02"/>
    <w:rsid w:val="003A7E8A"/>
    <w:rsid w:val="003B031B"/>
    <w:rsid w:val="003B0589"/>
    <w:rsid w:val="003B0B79"/>
    <w:rsid w:val="003B0EB0"/>
    <w:rsid w:val="003B13D4"/>
    <w:rsid w:val="003B14F5"/>
    <w:rsid w:val="003B1789"/>
    <w:rsid w:val="003B1831"/>
    <w:rsid w:val="003B18A5"/>
    <w:rsid w:val="003B1944"/>
    <w:rsid w:val="003B198A"/>
    <w:rsid w:val="003B21F7"/>
    <w:rsid w:val="003B2638"/>
    <w:rsid w:val="003B2807"/>
    <w:rsid w:val="003B2A03"/>
    <w:rsid w:val="003B2B7C"/>
    <w:rsid w:val="003B2B85"/>
    <w:rsid w:val="003B2D80"/>
    <w:rsid w:val="003B2EB7"/>
    <w:rsid w:val="003B2EE6"/>
    <w:rsid w:val="003B2F2D"/>
    <w:rsid w:val="003B326F"/>
    <w:rsid w:val="003B336F"/>
    <w:rsid w:val="003B3446"/>
    <w:rsid w:val="003B37E4"/>
    <w:rsid w:val="003B385A"/>
    <w:rsid w:val="003B389A"/>
    <w:rsid w:val="003B398C"/>
    <w:rsid w:val="003B3D3C"/>
    <w:rsid w:val="003B3E51"/>
    <w:rsid w:val="003B43E5"/>
    <w:rsid w:val="003B447A"/>
    <w:rsid w:val="003B49BE"/>
    <w:rsid w:val="003B4A2A"/>
    <w:rsid w:val="003B4AAB"/>
    <w:rsid w:val="003B4CDD"/>
    <w:rsid w:val="003B5015"/>
    <w:rsid w:val="003B529A"/>
    <w:rsid w:val="003B52AC"/>
    <w:rsid w:val="003B5344"/>
    <w:rsid w:val="003B5400"/>
    <w:rsid w:val="003B5761"/>
    <w:rsid w:val="003B57CA"/>
    <w:rsid w:val="003B59F2"/>
    <w:rsid w:val="003B5C34"/>
    <w:rsid w:val="003B6008"/>
    <w:rsid w:val="003B65EC"/>
    <w:rsid w:val="003B6795"/>
    <w:rsid w:val="003B6B9B"/>
    <w:rsid w:val="003B6C53"/>
    <w:rsid w:val="003B71FC"/>
    <w:rsid w:val="003B7223"/>
    <w:rsid w:val="003B7264"/>
    <w:rsid w:val="003B7435"/>
    <w:rsid w:val="003B75A7"/>
    <w:rsid w:val="003B77A8"/>
    <w:rsid w:val="003B79C9"/>
    <w:rsid w:val="003B7B5A"/>
    <w:rsid w:val="003B7B75"/>
    <w:rsid w:val="003B7D02"/>
    <w:rsid w:val="003B7EA4"/>
    <w:rsid w:val="003B7EA6"/>
    <w:rsid w:val="003C0083"/>
    <w:rsid w:val="003C0389"/>
    <w:rsid w:val="003C06E4"/>
    <w:rsid w:val="003C0886"/>
    <w:rsid w:val="003C08CD"/>
    <w:rsid w:val="003C0B17"/>
    <w:rsid w:val="003C0B53"/>
    <w:rsid w:val="003C0B6A"/>
    <w:rsid w:val="003C1785"/>
    <w:rsid w:val="003C197F"/>
    <w:rsid w:val="003C1BC1"/>
    <w:rsid w:val="003C1E56"/>
    <w:rsid w:val="003C2091"/>
    <w:rsid w:val="003C24D9"/>
    <w:rsid w:val="003C2713"/>
    <w:rsid w:val="003C2BB3"/>
    <w:rsid w:val="003C2C59"/>
    <w:rsid w:val="003C2DBF"/>
    <w:rsid w:val="003C323D"/>
    <w:rsid w:val="003C3251"/>
    <w:rsid w:val="003C32B1"/>
    <w:rsid w:val="003C34F3"/>
    <w:rsid w:val="003C350F"/>
    <w:rsid w:val="003C35B8"/>
    <w:rsid w:val="003C38B1"/>
    <w:rsid w:val="003C3993"/>
    <w:rsid w:val="003C3B8F"/>
    <w:rsid w:val="003C4050"/>
    <w:rsid w:val="003C47A5"/>
    <w:rsid w:val="003C47DE"/>
    <w:rsid w:val="003C48C6"/>
    <w:rsid w:val="003C4ECC"/>
    <w:rsid w:val="003C50D5"/>
    <w:rsid w:val="003C5792"/>
    <w:rsid w:val="003C59C4"/>
    <w:rsid w:val="003C5D6E"/>
    <w:rsid w:val="003C5D8C"/>
    <w:rsid w:val="003C5DDE"/>
    <w:rsid w:val="003C5FAD"/>
    <w:rsid w:val="003C60B1"/>
    <w:rsid w:val="003C6229"/>
    <w:rsid w:val="003C6599"/>
    <w:rsid w:val="003C673C"/>
    <w:rsid w:val="003C6866"/>
    <w:rsid w:val="003C6AD9"/>
    <w:rsid w:val="003C6E47"/>
    <w:rsid w:val="003C75FE"/>
    <w:rsid w:val="003C7659"/>
    <w:rsid w:val="003C77D6"/>
    <w:rsid w:val="003C78D7"/>
    <w:rsid w:val="003C7972"/>
    <w:rsid w:val="003C7BC1"/>
    <w:rsid w:val="003C7C9F"/>
    <w:rsid w:val="003C7DD6"/>
    <w:rsid w:val="003C7DF4"/>
    <w:rsid w:val="003C7FD2"/>
    <w:rsid w:val="003D004B"/>
    <w:rsid w:val="003D056F"/>
    <w:rsid w:val="003D0772"/>
    <w:rsid w:val="003D07D7"/>
    <w:rsid w:val="003D096B"/>
    <w:rsid w:val="003D0B6D"/>
    <w:rsid w:val="003D0E1F"/>
    <w:rsid w:val="003D0F5B"/>
    <w:rsid w:val="003D12B0"/>
    <w:rsid w:val="003D157E"/>
    <w:rsid w:val="003D172B"/>
    <w:rsid w:val="003D188B"/>
    <w:rsid w:val="003D1910"/>
    <w:rsid w:val="003D1A7B"/>
    <w:rsid w:val="003D2382"/>
    <w:rsid w:val="003D278A"/>
    <w:rsid w:val="003D27A9"/>
    <w:rsid w:val="003D2E23"/>
    <w:rsid w:val="003D3137"/>
    <w:rsid w:val="003D336D"/>
    <w:rsid w:val="003D33BD"/>
    <w:rsid w:val="003D3478"/>
    <w:rsid w:val="003D34D5"/>
    <w:rsid w:val="003D369C"/>
    <w:rsid w:val="003D37CB"/>
    <w:rsid w:val="003D391C"/>
    <w:rsid w:val="003D3C74"/>
    <w:rsid w:val="003D428F"/>
    <w:rsid w:val="003D46F8"/>
    <w:rsid w:val="003D4D6D"/>
    <w:rsid w:val="003D51C4"/>
    <w:rsid w:val="003D5242"/>
    <w:rsid w:val="003D5273"/>
    <w:rsid w:val="003D5655"/>
    <w:rsid w:val="003D5809"/>
    <w:rsid w:val="003D5922"/>
    <w:rsid w:val="003D594F"/>
    <w:rsid w:val="003D59D7"/>
    <w:rsid w:val="003D5C00"/>
    <w:rsid w:val="003D5E1F"/>
    <w:rsid w:val="003D5ECF"/>
    <w:rsid w:val="003D600C"/>
    <w:rsid w:val="003D64B8"/>
    <w:rsid w:val="003D6565"/>
    <w:rsid w:val="003D6964"/>
    <w:rsid w:val="003D6AD4"/>
    <w:rsid w:val="003D6B3B"/>
    <w:rsid w:val="003D6CD8"/>
    <w:rsid w:val="003D6EFC"/>
    <w:rsid w:val="003D6F1C"/>
    <w:rsid w:val="003D7212"/>
    <w:rsid w:val="003D741C"/>
    <w:rsid w:val="003D7F51"/>
    <w:rsid w:val="003E00CF"/>
    <w:rsid w:val="003E0247"/>
    <w:rsid w:val="003E0D60"/>
    <w:rsid w:val="003E1081"/>
    <w:rsid w:val="003E113C"/>
    <w:rsid w:val="003E13A4"/>
    <w:rsid w:val="003E1705"/>
    <w:rsid w:val="003E1812"/>
    <w:rsid w:val="003E1A6B"/>
    <w:rsid w:val="003E1DDF"/>
    <w:rsid w:val="003E2286"/>
    <w:rsid w:val="003E264D"/>
    <w:rsid w:val="003E28D6"/>
    <w:rsid w:val="003E2DC8"/>
    <w:rsid w:val="003E2E50"/>
    <w:rsid w:val="003E2EC8"/>
    <w:rsid w:val="003E3063"/>
    <w:rsid w:val="003E34F3"/>
    <w:rsid w:val="003E3800"/>
    <w:rsid w:val="003E3AD4"/>
    <w:rsid w:val="003E3C90"/>
    <w:rsid w:val="003E3D0E"/>
    <w:rsid w:val="003E3E2C"/>
    <w:rsid w:val="003E3EC8"/>
    <w:rsid w:val="003E3ECF"/>
    <w:rsid w:val="003E3F2C"/>
    <w:rsid w:val="003E3FEC"/>
    <w:rsid w:val="003E431E"/>
    <w:rsid w:val="003E44F0"/>
    <w:rsid w:val="003E4513"/>
    <w:rsid w:val="003E4517"/>
    <w:rsid w:val="003E4A80"/>
    <w:rsid w:val="003E50FB"/>
    <w:rsid w:val="003E5120"/>
    <w:rsid w:val="003E56D6"/>
    <w:rsid w:val="003E5A98"/>
    <w:rsid w:val="003E5B15"/>
    <w:rsid w:val="003E5B38"/>
    <w:rsid w:val="003E5E75"/>
    <w:rsid w:val="003E5ED9"/>
    <w:rsid w:val="003E60FA"/>
    <w:rsid w:val="003E61AC"/>
    <w:rsid w:val="003E6209"/>
    <w:rsid w:val="003E649E"/>
    <w:rsid w:val="003E6548"/>
    <w:rsid w:val="003E65A4"/>
    <w:rsid w:val="003E666D"/>
    <w:rsid w:val="003E6A8F"/>
    <w:rsid w:val="003E6CBB"/>
    <w:rsid w:val="003E6DEE"/>
    <w:rsid w:val="003E6FF0"/>
    <w:rsid w:val="003E71A3"/>
    <w:rsid w:val="003E73D3"/>
    <w:rsid w:val="003E7818"/>
    <w:rsid w:val="003E7A01"/>
    <w:rsid w:val="003E7D01"/>
    <w:rsid w:val="003F012C"/>
    <w:rsid w:val="003F0170"/>
    <w:rsid w:val="003F058F"/>
    <w:rsid w:val="003F065D"/>
    <w:rsid w:val="003F09EF"/>
    <w:rsid w:val="003F0A39"/>
    <w:rsid w:val="003F0AC4"/>
    <w:rsid w:val="003F0E9A"/>
    <w:rsid w:val="003F1126"/>
    <w:rsid w:val="003F127E"/>
    <w:rsid w:val="003F12AC"/>
    <w:rsid w:val="003F1552"/>
    <w:rsid w:val="003F15BD"/>
    <w:rsid w:val="003F1CB2"/>
    <w:rsid w:val="003F1D1D"/>
    <w:rsid w:val="003F1D3C"/>
    <w:rsid w:val="003F1D7E"/>
    <w:rsid w:val="003F2241"/>
    <w:rsid w:val="003F2337"/>
    <w:rsid w:val="003F2AF9"/>
    <w:rsid w:val="003F3161"/>
    <w:rsid w:val="003F3498"/>
    <w:rsid w:val="003F387B"/>
    <w:rsid w:val="003F3C40"/>
    <w:rsid w:val="003F3F6A"/>
    <w:rsid w:val="003F402D"/>
    <w:rsid w:val="003F41C7"/>
    <w:rsid w:val="003F44B4"/>
    <w:rsid w:val="003F476C"/>
    <w:rsid w:val="003F496C"/>
    <w:rsid w:val="003F4A5D"/>
    <w:rsid w:val="003F4B23"/>
    <w:rsid w:val="003F516E"/>
    <w:rsid w:val="003F55EE"/>
    <w:rsid w:val="003F581F"/>
    <w:rsid w:val="003F6010"/>
    <w:rsid w:val="003F619E"/>
    <w:rsid w:val="003F66B2"/>
    <w:rsid w:val="003F6726"/>
    <w:rsid w:val="003F6A8E"/>
    <w:rsid w:val="003F6B43"/>
    <w:rsid w:val="003F6D62"/>
    <w:rsid w:val="003F6DC9"/>
    <w:rsid w:val="003F6F84"/>
    <w:rsid w:val="003F7158"/>
    <w:rsid w:val="003F752A"/>
    <w:rsid w:val="003F7941"/>
    <w:rsid w:val="003F7DC1"/>
    <w:rsid w:val="004002AF"/>
    <w:rsid w:val="00400602"/>
    <w:rsid w:val="00400613"/>
    <w:rsid w:val="00400884"/>
    <w:rsid w:val="00400AE1"/>
    <w:rsid w:val="00400C28"/>
    <w:rsid w:val="0040104C"/>
    <w:rsid w:val="004010F0"/>
    <w:rsid w:val="0040127D"/>
    <w:rsid w:val="00401BE7"/>
    <w:rsid w:val="00401DD3"/>
    <w:rsid w:val="00401EDE"/>
    <w:rsid w:val="004024CA"/>
    <w:rsid w:val="004025C2"/>
    <w:rsid w:val="00402655"/>
    <w:rsid w:val="00402D42"/>
    <w:rsid w:val="00402F04"/>
    <w:rsid w:val="00402FCB"/>
    <w:rsid w:val="00403461"/>
    <w:rsid w:val="00403BA6"/>
    <w:rsid w:val="00403C03"/>
    <w:rsid w:val="0040407E"/>
    <w:rsid w:val="00404250"/>
    <w:rsid w:val="00404351"/>
    <w:rsid w:val="004043A8"/>
    <w:rsid w:val="00404725"/>
    <w:rsid w:val="00404C4C"/>
    <w:rsid w:val="00404C73"/>
    <w:rsid w:val="00404EF8"/>
    <w:rsid w:val="004052A5"/>
    <w:rsid w:val="00405415"/>
    <w:rsid w:val="0040543B"/>
    <w:rsid w:val="00405840"/>
    <w:rsid w:val="004059A7"/>
    <w:rsid w:val="00405A11"/>
    <w:rsid w:val="00405A85"/>
    <w:rsid w:val="00405E16"/>
    <w:rsid w:val="00405F59"/>
    <w:rsid w:val="004060FD"/>
    <w:rsid w:val="004065B8"/>
    <w:rsid w:val="004066B3"/>
    <w:rsid w:val="00406BE5"/>
    <w:rsid w:val="00406CBC"/>
    <w:rsid w:val="004075CF"/>
    <w:rsid w:val="00407623"/>
    <w:rsid w:val="00407AF2"/>
    <w:rsid w:val="00407BFA"/>
    <w:rsid w:val="00407F5A"/>
    <w:rsid w:val="0041043F"/>
    <w:rsid w:val="00410448"/>
    <w:rsid w:val="00410909"/>
    <w:rsid w:val="00410914"/>
    <w:rsid w:val="00410CCA"/>
    <w:rsid w:val="00410F17"/>
    <w:rsid w:val="00410F57"/>
    <w:rsid w:val="00410F5D"/>
    <w:rsid w:val="00410FD2"/>
    <w:rsid w:val="00411232"/>
    <w:rsid w:val="00411E40"/>
    <w:rsid w:val="00412001"/>
    <w:rsid w:val="00412A92"/>
    <w:rsid w:val="00412BAF"/>
    <w:rsid w:val="00412D78"/>
    <w:rsid w:val="00413049"/>
    <w:rsid w:val="00413051"/>
    <w:rsid w:val="00413515"/>
    <w:rsid w:val="004135A4"/>
    <w:rsid w:val="00413B37"/>
    <w:rsid w:val="00413B81"/>
    <w:rsid w:val="00413F70"/>
    <w:rsid w:val="00414169"/>
    <w:rsid w:val="00414234"/>
    <w:rsid w:val="00414245"/>
    <w:rsid w:val="0041438B"/>
    <w:rsid w:val="004144BB"/>
    <w:rsid w:val="00414C78"/>
    <w:rsid w:val="00415243"/>
    <w:rsid w:val="0041554E"/>
    <w:rsid w:val="00415628"/>
    <w:rsid w:val="004157B6"/>
    <w:rsid w:val="00415933"/>
    <w:rsid w:val="00415B24"/>
    <w:rsid w:val="00415BE8"/>
    <w:rsid w:val="00415E79"/>
    <w:rsid w:val="00416033"/>
    <w:rsid w:val="00416397"/>
    <w:rsid w:val="00416510"/>
    <w:rsid w:val="00416CCC"/>
    <w:rsid w:val="004170E3"/>
    <w:rsid w:val="004171E1"/>
    <w:rsid w:val="0041747D"/>
    <w:rsid w:val="0041753C"/>
    <w:rsid w:val="004175C5"/>
    <w:rsid w:val="00417694"/>
    <w:rsid w:val="0041780B"/>
    <w:rsid w:val="004178D9"/>
    <w:rsid w:val="0041794C"/>
    <w:rsid w:val="00417A44"/>
    <w:rsid w:val="00417A52"/>
    <w:rsid w:val="00417C5C"/>
    <w:rsid w:val="00420397"/>
    <w:rsid w:val="004206A2"/>
    <w:rsid w:val="0042088E"/>
    <w:rsid w:val="00420B11"/>
    <w:rsid w:val="00420B6D"/>
    <w:rsid w:val="00420E80"/>
    <w:rsid w:val="0042118C"/>
    <w:rsid w:val="0042156F"/>
    <w:rsid w:val="00421808"/>
    <w:rsid w:val="00421889"/>
    <w:rsid w:val="004219D3"/>
    <w:rsid w:val="00421B42"/>
    <w:rsid w:val="00421B57"/>
    <w:rsid w:val="00421D75"/>
    <w:rsid w:val="00421F8C"/>
    <w:rsid w:val="00421FD8"/>
    <w:rsid w:val="00422582"/>
    <w:rsid w:val="0042269F"/>
    <w:rsid w:val="00422C27"/>
    <w:rsid w:val="00422C73"/>
    <w:rsid w:val="00422D70"/>
    <w:rsid w:val="00423161"/>
    <w:rsid w:val="00423292"/>
    <w:rsid w:val="004234B5"/>
    <w:rsid w:val="00423790"/>
    <w:rsid w:val="00423E6A"/>
    <w:rsid w:val="004240E4"/>
    <w:rsid w:val="004240E7"/>
    <w:rsid w:val="004243E0"/>
    <w:rsid w:val="00424A82"/>
    <w:rsid w:val="00424C8D"/>
    <w:rsid w:val="00424D10"/>
    <w:rsid w:val="004251AC"/>
    <w:rsid w:val="00425289"/>
    <w:rsid w:val="0042579C"/>
    <w:rsid w:val="00425A8D"/>
    <w:rsid w:val="00425B75"/>
    <w:rsid w:val="00425D88"/>
    <w:rsid w:val="00426037"/>
    <w:rsid w:val="00426675"/>
    <w:rsid w:val="004266B9"/>
    <w:rsid w:val="004266E8"/>
    <w:rsid w:val="00426BA4"/>
    <w:rsid w:val="00426BD5"/>
    <w:rsid w:val="00426D6D"/>
    <w:rsid w:val="00427865"/>
    <w:rsid w:val="004278A8"/>
    <w:rsid w:val="00427F40"/>
    <w:rsid w:val="00427FC2"/>
    <w:rsid w:val="0043013A"/>
    <w:rsid w:val="004305DC"/>
    <w:rsid w:val="0043084B"/>
    <w:rsid w:val="00430B61"/>
    <w:rsid w:val="00431270"/>
    <w:rsid w:val="004313F3"/>
    <w:rsid w:val="004315A4"/>
    <w:rsid w:val="004317D4"/>
    <w:rsid w:val="00431862"/>
    <w:rsid w:val="0043204D"/>
    <w:rsid w:val="004320C1"/>
    <w:rsid w:val="004321AA"/>
    <w:rsid w:val="00432A67"/>
    <w:rsid w:val="0043317C"/>
    <w:rsid w:val="0043336B"/>
    <w:rsid w:val="00433720"/>
    <w:rsid w:val="004338F2"/>
    <w:rsid w:val="00433A6F"/>
    <w:rsid w:val="00433D89"/>
    <w:rsid w:val="00433F97"/>
    <w:rsid w:val="00434018"/>
    <w:rsid w:val="004342C2"/>
    <w:rsid w:val="00434398"/>
    <w:rsid w:val="0043488D"/>
    <w:rsid w:val="00434DD2"/>
    <w:rsid w:val="0043510E"/>
    <w:rsid w:val="004351A7"/>
    <w:rsid w:val="00435278"/>
    <w:rsid w:val="00435718"/>
    <w:rsid w:val="00435769"/>
    <w:rsid w:val="004359E6"/>
    <w:rsid w:val="00435A3D"/>
    <w:rsid w:val="00435B73"/>
    <w:rsid w:val="00435BB2"/>
    <w:rsid w:val="00435DFF"/>
    <w:rsid w:val="00435F47"/>
    <w:rsid w:val="00436673"/>
    <w:rsid w:val="00436719"/>
    <w:rsid w:val="00436D30"/>
    <w:rsid w:val="00436D7E"/>
    <w:rsid w:val="00436F39"/>
    <w:rsid w:val="00436FAB"/>
    <w:rsid w:val="0043762D"/>
    <w:rsid w:val="00437868"/>
    <w:rsid w:val="004379A4"/>
    <w:rsid w:val="00437E12"/>
    <w:rsid w:val="00440060"/>
    <w:rsid w:val="004403D5"/>
    <w:rsid w:val="0044089C"/>
    <w:rsid w:val="00440B75"/>
    <w:rsid w:val="00440C46"/>
    <w:rsid w:val="00440F28"/>
    <w:rsid w:val="00441256"/>
    <w:rsid w:val="004415F4"/>
    <w:rsid w:val="00441717"/>
    <w:rsid w:val="00441C28"/>
    <w:rsid w:val="00441D5B"/>
    <w:rsid w:val="00442084"/>
    <w:rsid w:val="004423B1"/>
    <w:rsid w:val="00442736"/>
    <w:rsid w:val="00442777"/>
    <w:rsid w:val="004428A7"/>
    <w:rsid w:val="00442B25"/>
    <w:rsid w:val="00442BFD"/>
    <w:rsid w:val="00442C02"/>
    <w:rsid w:val="004430C0"/>
    <w:rsid w:val="0044328D"/>
    <w:rsid w:val="0044332B"/>
    <w:rsid w:val="00443624"/>
    <w:rsid w:val="004436D2"/>
    <w:rsid w:val="0044377A"/>
    <w:rsid w:val="00443A92"/>
    <w:rsid w:val="00443CD4"/>
    <w:rsid w:val="00443ECA"/>
    <w:rsid w:val="00443EE4"/>
    <w:rsid w:val="004447D3"/>
    <w:rsid w:val="00444ADC"/>
    <w:rsid w:val="00444C75"/>
    <w:rsid w:val="0044556A"/>
    <w:rsid w:val="0044561B"/>
    <w:rsid w:val="004456D6"/>
    <w:rsid w:val="00445ACB"/>
    <w:rsid w:val="004460A6"/>
    <w:rsid w:val="0044623F"/>
    <w:rsid w:val="004462D7"/>
    <w:rsid w:val="004463C2"/>
    <w:rsid w:val="00446480"/>
    <w:rsid w:val="0044651E"/>
    <w:rsid w:val="0044658C"/>
    <w:rsid w:val="0044677E"/>
    <w:rsid w:val="00446B4A"/>
    <w:rsid w:val="00447440"/>
    <w:rsid w:val="0044793C"/>
    <w:rsid w:val="00447AAF"/>
    <w:rsid w:val="00447C5B"/>
    <w:rsid w:val="004501D7"/>
    <w:rsid w:val="00450355"/>
    <w:rsid w:val="00450402"/>
    <w:rsid w:val="004505A3"/>
    <w:rsid w:val="004505D7"/>
    <w:rsid w:val="0045069A"/>
    <w:rsid w:val="00450734"/>
    <w:rsid w:val="00450DC6"/>
    <w:rsid w:val="00450E14"/>
    <w:rsid w:val="004513D1"/>
    <w:rsid w:val="00451782"/>
    <w:rsid w:val="0045187B"/>
    <w:rsid w:val="0045205B"/>
    <w:rsid w:val="0045232F"/>
    <w:rsid w:val="004524B1"/>
    <w:rsid w:val="00452815"/>
    <w:rsid w:val="00452A63"/>
    <w:rsid w:val="00452AA4"/>
    <w:rsid w:val="00452C43"/>
    <w:rsid w:val="00452E06"/>
    <w:rsid w:val="00453493"/>
    <w:rsid w:val="00453503"/>
    <w:rsid w:val="0045357C"/>
    <w:rsid w:val="00453636"/>
    <w:rsid w:val="00453692"/>
    <w:rsid w:val="004537EF"/>
    <w:rsid w:val="0045384C"/>
    <w:rsid w:val="00453C25"/>
    <w:rsid w:val="00453D08"/>
    <w:rsid w:val="0045412E"/>
    <w:rsid w:val="00454416"/>
    <w:rsid w:val="00454A5C"/>
    <w:rsid w:val="00456105"/>
    <w:rsid w:val="004561D2"/>
    <w:rsid w:val="00456283"/>
    <w:rsid w:val="00456567"/>
    <w:rsid w:val="004567E9"/>
    <w:rsid w:val="00456B56"/>
    <w:rsid w:val="00456E16"/>
    <w:rsid w:val="00457367"/>
    <w:rsid w:val="0045749C"/>
    <w:rsid w:val="004575CD"/>
    <w:rsid w:val="00457685"/>
    <w:rsid w:val="00457781"/>
    <w:rsid w:val="004577E4"/>
    <w:rsid w:val="00457BB4"/>
    <w:rsid w:val="00457BF7"/>
    <w:rsid w:val="00457C6E"/>
    <w:rsid w:val="004602D0"/>
    <w:rsid w:val="00460432"/>
    <w:rsid w:val="004604A6"/>
    <w:rsid w:val="00460841"/>
    <w:rsid w:val="00461AE0"/>
    <w:rsid w:val="00461C9E"/>
    <w:rsid w:val="00461E85"/>
    <w:rsid w:val="00461E8B"/>
    <w:rsid w:val="00462074"/>
    <w:rsid w:val="00462370"/>
    <w:rsid w:val="00462495"/>
    <w:rsid w:val="00462741"/>
    <w:rsid w:val="00462764"/>
    <w:rsid w:val="004632B3"/>
    <w:rsid w:val="0046336E"/>
    <w:rsid w:val="00463AC2"/>
    <w:rsid w:val="00463B20"/>
    <w:rsid w:val="00463B9A"/>
    <w:rsid w:val="00463CD4"/>
    <w:rsid w:val="00463F31"/>
    <w:rsid w:val="004642A9"/>
    <w:rsid w:val="004644CD"/>
    <w:rsid w:val="004647F2"/>
    <w:rsid w:val="00465727"/>
    <w:rsid w:val="00465839"/>
    <w:rsid w:val="0046588E"/>
    <w:rsid w:val="00465DE8"/>
    <w:rsid w:val="00466284"/>
    <w:rsid w:val="00466286"/>
    <w:rsid w:val="004662FD"/>
    <w:rsid w:val="00466330"/>
    <w:rsid w:val="00466493"/>
    <w:rsid w:val="00466CFE"/>
    <w:rsid w:val="00466D39"/>
    <w:rsid w:val="00466E1E"/>
    <w:rsid w:val="00466E99"/>
    <w:rsid w:val="00466FB6"/>
    <w:rsid w:val="0046711B"/>
    <w:rsid w:val="0046745E"/>
    <w:rsid w:val="004675F9"/>
    <w:rsid w:val="004678E5"/>
    <w:rsid w:val="00467D0D"/>
    <w:rsid w:val="00467F91"/>
    <w:rsid w:val="0047007D"/>
    <w:rsid w:val="004700E3"/>
    <w:rsid w:val="00470621"/>
    <w:rsid w:val="00470876"/>
    <w:rsid w:val="00470B5C"/>
    <w:rsid w:val="0047119B"/>
    <w:rsid w:val="004714A4"/>
    <w:rsid w:val="00471500"/>
    <w:rsid w:val="00471588"/>
    <w:rsid w:val="00471682"/>
    <w:rsid w:val="004716F4"/>
    <w:rsid w:val="004718DB"/>
    <w:rsid w:val="00471AD9"/>
    <w:rsid w:val="00471BE4"/>
    <w:rsid w:val="00471FFA"/>
    <w:rsid w:val="0047213A"/>
    <w:rsid w:val="00472183"/>
    <w:rsid w:val="004722E9"/>
    <w:rsid w:val="00472BE1"/>
    <w:rsid w:val="00472C25"/>
    <w:rsid w:val="00473151"/>
    <w:rsid w:val="004732D4"/>
    <w:rsid w:val="00473D02"/>
    <w:rsid w:val="00473D5A"/>
    <w:rsid w:val="00473F81"/>
    <w:rsid w:val="00474098"/>
    <w:rsid w:val="004740F4"/>
    <w:rsid w:val="0047439D"/>
    <w:rsid w:val="00474944"/>
    <w:rsid w:val="00474A3B"/>
    <w:rsid w:val="00474D8F"/>
    <w:rsid w:val="00474DE2"/>
    <w:rsid w:val="00474E46"/>
    <w:rsid w:val="00475362"/>
    <w:rsid w:val="00475633"/>
    <w:rsid w:val="0047577C"/>
    <w:rsid w:val="00475B8E"/>
    <w:rsid w:val="00475CF5"/>
    <w:rsid w:val="00475E77"/>
    <w:rsid w:val="00475F66"/>
    <w:rsid w:val="00476399"/>
    <w:rsid w:val="004763C5"/>
    <w:rsid w:val="004768FB"/>
    <w:rsid w:val="00476B14"/>
    <w:rsid w:val="00476E54"/>
    <w:rsid w:val="00477869"/>
    <w:rsid w:val="00477D83"/>
    <w:rsid w:val="00477EE1"/>
    <w:rsid w:val="004802FA"/>
    <w:rsid w:val="00480909"/>
    <w:rsid w:val="00480E2F"/>
    <w:rsid w:val="00480EDF"/>
    <w:rsid w:val="00481032"/>
    <w:rsid w:val="00481207"/>
    <w:rsid w:val="004815A4"/>
    <w:rsid w:val="004815E3"/>
    <w:rsid w:val="0048190A"/>
    <w:rsid w:val="00482149"/>
    <w:rsid w:val="0048233B"/>
    <w:rsid w:val="00482768"/>
    <w:rsid w:val="00482910"/>
    <w:rsid w:val="00482A25"/>
    <w:rsid w:val="00482A50"/>
    <w:rsid w:val="00482FB2"/>
    <w:rsid w:val="0048304F"/>
    <w:rsid w:val="0048353E"/>
    <w:rsid w:val="00483A9F"/>
    <w:rsid w:val="00483C3D"/>
    <w:rsid w:val="00483FE7"/>
    <w:rsid w:val="00484227"/>
    <w:rsid w:val="00484442"/>
    <w:rsid w:val="00484901"/>
    <w:rsid w:val="00484998"/>
    <w:rsid w:val="0048499F"/>
    <w:rsid w:val="00484BDD"/>
    <w:rsid w:val="00484E85"/>
    <w:rsid w:val="0048506A"/>
    <w:rsid w:val="00485576"/>
    <w:rsid w:val="004855B8"/>
    <w:rsid w:val="00485E14"/>
    <w:rsid w:val="00485F5E"/>
    <w:rsid w:val="0048661F"/>
    <w:rsid w:val="0048718D"/>
    <w:rsid w:val="004875E5"/>
    <w:rsid w:val="004877B3"/>
    <w:rsid w:val="00487C79"/>
    <w:rsid w:val="0049082B"/>
    <w:rsid w:val="00490A15"/>
    <w:rsid w:val="00490CD8"/>
    <w:rsid w:val="00490D70"/>
    <w:rsid w:val="00490FBB"/>
    <w:rsid w:val="00491128"/>
    <w:rsid w:val="004917EF"/>
    <w:rsid w:val="00491804"/>
    <w:rsid w:val="0049193E"/>
    <w:rsid w:val="00491E90"/>
    <w:rsid w:val="00491F14"/>
    <w:rsid w:val="00492000"/>
    <w:rsid w:val="004921AC"/>
    <w:rsid w:val="00492209"/>
    <w:rsid w:val="00492922"/>
    <w:rsid w:val="00492A3A"/>
    <w:rsid w:val="00492C4B"/>
    <w:rsid w:val="00492C5A"/>
    <w:rsid w:val="00492DA7"/>
    <w:rsid w:val="00492F7C"/>
    <w:rsid w:val="00493039"/>
    <w:rsid w:val="004930C2"/>
    <w:rsid w:val="004931D1"/>
    <w:rsid w:val="00493381"/>
    <w:rsid w:val="00493BAB"/>
    <w:rsid w:val="00493BED"/>
    <w:rsid w:val="00493E62"/>
    <w:rsid w:val="0049412D"/>
    <w:rsid w:val="00494245"/>
    <w:rsid w:val="0049459B"/>
    <w:rsid w:val="00494711"/>
    <w:rsid w:val="00494B2D"/>
    <w:rsid w:val="00494D6E"/>
    <w:rsid w:val="00494D8A"/>
    <w:rsid w:val="00494F05"/>
    <w:rsid w:val="00495222"/>
    <w:rsid w:val="00495223"/>
    <w:rsid w:val="004954E4"/>
    <w:rsid w:val="00496026"/>
    <w:rsid w:val="00496080"/>
    <w:rsid w:val="004963FA"/>
    <w:rsid w:val="004963FE"/>
    <w:rsid w:val="004966F4"/>
    <w:rsid w:val="004968E7"/>
    <w:rsid w:val="00496AF9"/>
    <w:rsid w:val="00496C77"/>
    <w:rsid w:val="00496CD3"/>
    <w:rsid w:val="004971A5"/>
    <w:rsid w:val="00497393"/>
    <w:rsid w:val="004977B9"/>
    <w:rsid w:val="00497812"/>
    <w:rsid w:val="00497834"/>
    <w:rsid w:val="00497C74"/>
    <w:rsid w:val="00497DF6"/>
    <w:rsid w:val="004A0065"/>
    <w:rsid w:val="004A01D6"/>
    <w:rsid w:val="004A0393"/>
    <w:rsid w:val="004A05BC"/>
    <w:rsid w:val="004A0A4A"/>
    <w:rsid w:val="004A0CA3"/>
    <w:rsid w:val="004A0E94"/>
    <w:rsid w:val="004A1229"/>
    <w:rsid w:val="004A1379"/>
    <w:rsid w:val="004A171A"/>
    <w:rsid w:val="004A1821"/>
    <w:rsid w:val="004A1996"/>
    <w:rsid w:val="004A1BEC"/>
    <w:rsid w:val="004A1CC3"/>
    <w:rsid w:val="004A1D22"/>
    <w:rsid w:val="004A22E7"/>
    <w:rsid w:val="004A2569"/>
    <w:rsid w:val="004A287F"/>
    <w:rsid w:val="004A2C6C"/>
    <w:rsid w:val="004A3080"/>
    <w:rsid w:val="004A312A"/>
    <w:rsid w:val="004A31F4"/>
    <w:rsid w:val="004A3398"/>
    <w:rsid w:val="004A367C"/>
    <w:rsid w:val="004A3729"/>
    <w:rsid w:val="004A3740"/>
    <w:rsid w:val="004A374F"/>
    <w:rsid w:val="004A37B0"/>
    <w:rsid w:val="004A3A4B"/>
    <w:rsid w:val="004A3D27"/>
    <w:rsid w:val="004A3EC4"/>
    <w:rsid w:val="004A4144"/>
    <w:rsid w:val="004A415A"/>
    <w:rsid w:val="004A4648"/>
    <w:rsid w:val="004A4C28"/>
    <w:rsid w:val="004A4C94"/>
    <w:rsid w:val="004A524D"/>
    <w:rsid w:val="004A537E"/>
    <w:rsid w:val="004A5601"/>
    <w:rsid w:val="004A5A53"/>
    <w:rsid w:val="004A5A5A"/>
    <w:rsid w:val="004A61D0"/>
    <w:rsid w:val="004A621E"/>
    <w:rsid w:val="004A656C"/>
    <w:rsid w:val="004A67C8"/>
    <w:rsid w:val="004A69B0"/>
    <w:rsid w:val="004A69BC"/>
    <w:rsid w:val="004A69EA"/>
    <w:rsid w:val="004A6AFC"/>
    <w:rsid w:val="004A6B4D"/>
    <w:rsid w:val="004A6C61"/>
    <w:rsid w:val="004A7650"/>
    <w:rsid w:val="004A778C"/>
    <w:rsid w:val="004A7980"/>
    <w:rsid w:val="004A79FE"/>
    <w:rsid w:val="004A7B6E"/>
    <w:rsid w:val="004B046C"/>
    <w:rsid w:val="004B04EA"/>
    <w:rsid w:val="004B04F7"/>
    <w:rsid w:val="004B062F"/>
    <w:rsid w:val="004B0DF4"/>
    <w:rsid w:val="004B108E"/>
    <w:rsid w:val="004B115F"/>
    <w:rsid w:val="004B11ED"/>
    <w:rsid w:val="004B1378"/>
    <w:rsid w:val="004B197B"/>
    <w:rsid w:val="004B19D0"/>
    <w:rsid w:val="004B1BAB"/>
    <w:rsid w:val="004B1F58"/>
    <w:rsid w:val="004B20AA"/>
    <w:rsid w:val="004B214C"/>
    <w:rsid w:val="004B21BF"/>
    <w:rsid w:val="004B221C"/>
    <w:rsid w:val="004B2232"/>
    <w:rsid w:val="004B22ED"/>
    <w:rsid w:val="004B277C"/>
    <w:rsid w:val="004B3232"/>
    <w:rsid w:val="004B331D"/>
    <w:rsid w:val="004B3568"/>
    <w:rsid w:val="004B35C7"/>
    <w:rsid w:val="004B3625"/>
    <w:rsid w:val="004B3869"/>
    <w:rsid w:val="004B4616"/>
    <w:rsid w:val="004B46E1"/>
    <w:rsid w:val="004B481A"/>
    <w:rsid w:val="004B4ADE"/>
    <w:rsid w:val="004B5420"/>
    <w:rsid w:val="004B5693"/>
    <w:rsid w:val="004B5A43"/>
    <w:rsid w:val="004B5B2A"/>
    <w:rsid w:val="004B5D3D"/>
    <w:rsid w:val="004B60E5"/>
    <w:rsid w:val="004B62BA"/>
    <w:rsid w:val="004B62F9"/>
    <w:rsid w:val="004B6696"/>
    <w:rsid w:val="004B6769"/>
    <w:rsid w:val="004B67E8"/>
    <w:rsid w:val="004B6810"/>
    <w:rsid w:val="004B691F"/>
    <w:rsid w:val="004B6A23"/>
    <w:rsid w:val="004B6C17"/>
    <w:rsid w:val="004B712D"/>
    <w:rsid w:val="004B7696"/>
    <w:rsid w:val="004B798B"/>
    <w:rsid w:val="004B7BF9"/>
    <w:rsid w:val="004B7E30"/>
    <w:rsid w:val="004C0269"/>
    <w:rsid w:val="004C06A1"/>
    <w:rsid w:val="004C0751"/>
    <w:rsid w:val="004C1256"/>
    <w:rsid w:val="004C1324"/>
    <w:rsid w:val="004C24E8"/>
    <w:rsid w:val="004C2593"/>
    <w:rsid w:val="004C2651"/>
    <w:rsid w:val="004C2813"/>
    <w:rsid w:val="004C28E7"/>
    <w:rsid w:val="004C29C4"/>
    <w:rsid w:val="004C2B00"/>
    <w:rsid w:val="004C2C5E"/>
    <w:rsid w:val="004C372F"/>
    <w:rsid w:val="004C3A44"/>
    <w:rsid w:val="004C3B3B"/>
    <w:rsid w:val="004C418C"/>
    <w:rsid w:val="004C4554"/>
    <w:rsid w:val="004C4736"/>
    <w:rsid w:val="004C4822"/>
    <w:rsid w:val="004C4A35"/>
    <w:rsid w:val="004C4CA6"/>
    <w:rsid w:val="004C4DCC"/>
    <w:rsid w:val="004C569D"/>
    <w:rsid w:val="004C56E3"/>
    <w:rsid w:val="004C576E"/>
    <w:rsid w:val="004C5995"/>
    <w:rsid w:val="004C5A27"/>
    <w:rsid w:val="004C5D15"/>
    <w:rsid w:val="004C5DC7"/>
    <w:rsid w:val="004C5E4E"/>
    <w:rsid w:val="004C6638"/>
    <w:rsid w:val="004C689A"/>
    <w:rsid w:val="004C6923"/>
    <w:rsid w:val="004C69D8"/>
    <w:rsid w:val="004C7118"/>
    <w:rsid w:val="004C7120"/>
    <w:rsid w:val="004C71CE"/>
    <w:rsid w:val="004C71EB"/>
    <w:rsid w:val="004C7458"/>
    <w:rsid w:val="004C7882"/>
    <w:rsid w:val="004C7AB7"/>
    <w:rsid w:val="004C7D8F"/>
    <w:rsid w:val="004C7E4C"/>
    <w:rsid w:val="004C7E60"/>
    <w:rsid w:val="004C7EB8"/>
    <w:rsid w:val="004D02D6"/>
    <w:rsid w:val="004D06A7"/>
    <w:rsid w:val="004D08E4"/>
    <w:rsid w:val="004D0A72"/>
    <w:rsid w:val="004D0F48"/>
    <w:rsid w:val="004D10B2"/>
    <w:rsid w:val="004D1436"/>
    <w:rsid w:val="004D19EE"/>
    <w:rsid w:val="004D1CAB"/>
    <w:rsid w:val="004D1D4E"/>
    <w:rsid w:val="004D1FB0"/>
    <w:rsid w:val="004D20AC"/>
    <w:rsid w:val="004D20D4"/>
    <w:rsid w:val="004D21A5"/>
    <w:rsid w:val="004D28BD"/>
    <w:rsid w:val="004D2FDE"/>
    <w:rsid w:val="004D322E"/>
    <w:rsid w:val="004D3554"/>
    <w:rsid w:val="004D3897"/>
    <w:rsid w:val="004D3937"/>
    <w:rsid w:val="004D3A91"/>
    <w:rsid w:val="004D3CEF"/>
    <w:rsid w:val="004D3D50"/>
    <w:rsid w:val="004D3E93"/>
    <w:rsid w:val="004D4561"/>
    <w:rsid w:val="004D48CA"/>
    <w:rsid w:val="004D4C32"/>
    <w:rsid w:val="004D4F03"/>
    <w:rsid w:val="004D4F48"/>
    <w:rsid w:val="004D604D"/>
    <w:rsid w:val="004D6140"/>
    <w:rsid w:val="004D62BA"/>
    <w:rsid w:val="004D6475"/>
    <w:rsid w:val="004D696A"/>
    <w:rsid w:val="004D7337"/>
    <w:rsid w:val="004D7D0C"/>
    <w:rsid w:val="004E03E9"/>
    <w:rsid w:val="004E041C"/>
    <w:rsid w:val="004E04AE"/>
    <w:rsid w:val="004E07A2"/>
    <w:rsid w:val="004E09B0"/>
    <w:rsid w:val="004E0C5F"/>
    <w:rsid w:val="004E157F"/>
    <w:rsid w:val="004E163B"/>
    <w:rsid w:val="004E16B8"/>
    <w:rsid w:val="004E1781"/>
    <w:rsid w:val="004E1B5A"/>
    <w:rsid w:val="004E1E39"/>
    <w:rsid w:val="004E2453"/>
    <w:rsid w:val="004E2EA2"/>
    <w:rsid w:val="004E2FAC"/>
    <w:rsid w:val="004E3478"/>
    <w:rsid w:val="004E353C"/>
    <w:rsid w:val="004E356E"/>
    <w:rsid w:val="004E38A1"/>
    <w:rsid w:val="004E3ABF"/>
    <w:rsid w:val="004E3D12"/>
    <w:rsid w:val="004E3D7C"/>
    <w:rsid w:val="004E3DDB"/>
    <w:rsid w:val="004E3ED9"/>
    <w:rsid w:val="004E45EC"/>
    <w:rsid w:val="004E4693"/>
    <w:rsid w:val="004E48D4"/>
    <w:rsid w:val="004E4A72"/>
    <w:rsid w:val="004E4C89"/>
    <w:rsid w:val="004E4CCA"/>
    <w:rsid w:val="004E4F5D"/>
    <w:rsid w:val="004E4FE2"/>
    <w:rsid w:val="004E5179"/>
    <w:rsid w:val="004E54CA"/>
    <w:rsid w:val="004E54ED"/>
    <w:rsid w:val="004E56EA"/>
    <w:rsid w:val="004E5AED"/>
    <w:rsid w:val="004E61B3"/>
    <w:rsid w:val="004E6596"/>
    <w:rsid w:val="004E6A54"/>
    <w:rsid w:val="004E6DD4"/>
    <w:rsid w:val="004E70D5"/>
    <w:rsid w:val="004E70F7"/>
    <w:rsid w:val="004E72D3"/>
    <w:rsid w:val="004E7351"/>
    <w:rsid w:val="004E73B1"/>
    <w:rsid w:val="004E79DE"/>
    <w:rsid w:val="004E7A1D"/>
    <w:rsid w:val="004E7B7E"/>
    <w:rsid w:val="004E7B84"/>
    <w:rsid w:val="004F0391"/>
    <w:rsid w:val="004F0A1C"/>
    <w:rsid w:val="004F0BFB"/>
    <w:rsid w:val="004F0D49"/>
    <w:rsid w:val="004F1604"/>
    <w:rsid w:val="004F16E5"/>
    <w:rsid w:val="004F1725"/>
    <w:rsid w:val="004F1930"/>
    <w:rsid w:val="004F1ABD"/>
    <w:rsid w:val="004F1D23"/>
    <w:rsid w:val="004F1E72"/>
    <w:rsid w:val="004F234A"/>
    <w:rsid w:val="004F2C71"/>
    <w:rsid w:val="004F2EBA"/>
    <w:rsid w:val="004F3373"/>
    <w:rsid w:val="004F3447"/>
    <w:rsid w:val="004F35B1"/>
    <w:rsid w:val="004F363F"/>
    <w:rsid w:val="004F36BA"/>
    <w:rsid w:val="004F3A5E"/>
    <w:rsid w:val="004F3FD1"/>
    <w:rsid w:val="004F4080"/>
    <w:rsid w:val="004F431D"/>
    <w:rsid w:val="004F45FE"/>
    <w:rsid w:val="004F460F"/>
    <w:rsid w:val="004F4665"/>
    <w:rsid w:val="004F4709"/>
    <w:rsid w:val="004F4B13"/>
    <w:rsid w:val="004F4B17"/>
    <w:rsid w:val="004F4CAE"/>
    <w:rsid w:val="004F4DD9"/>
    <w:rsid w:val="004F4F85"/>
    <w:rsid w:val="004F4FA4"/>
    <w:rsid w:val="004F50F5"/>
    <w:rsid w:val="004F6250"/>
    <w:rsid w:val="004F6362"/>
    <w:rsid w:val="004F6731"/>
    <w:rsid w:val="004F6FD4"/>
    <w:rsid w:val="004F7060"/>
    <w:rsid w:val="004F72E3"/>
    <w:rsid w:val="004F7311"/>
    <w:rsid w:val="004F76BA"/>
    <w:rsid w:val="004F79FE"/>
    <w:rsid w:val="004F7A74"/>
    <w:rsid w:val="004F7BE4"/>
    <w:rsid w:val="004F7FBD"/>
    <w:rsid w:val="004F7FDA"/>
    <w:rsid w:val="005004AA"/>
    <w:rsid w:val="00500D36"/>
    <w:rsid w:val="00500D43"/>
    <w:rsid w:val="00500E4C"/>
    <w:rsid w:val="00500EBD"/>
    <w:rsid w:val="00501505"/>
    <w:rsid w:val="00501955"/>
    <w:rsid w:val="005023AA"/>
    <w:rsid w:val="005023C1"/>
    <w:rsid w:val="005025B0"/>
    <w:rsid w:val="00502676"/>
    <w:rsid w:val="0050289A"/>
    <w:rsid w:val="00502920"/>
    <w:rsid w:val="00502ADB"/>
    <w:rsid w:val="00502B19"/>
    <w:rsid w:val="00502E8B"/>
    <w:rsid w:val="0050323E"/>
    <w:rsid w:val="00503851"/>
    <w:rsid w:val="00503A31"/>
    <w:rsid w:val="00503D4E"/>
    <w:rsid w:val="00503EF0"/>
    <w:rsid w:val="005041B1"/>
    <w:rsid w:val="00504296"/>
    <w:rsid w:val="005042B2"/>
    <w:rsid w:val="0050433F"/>
    <w:rsid w:val="005044ED"/>
    <w:rsid w:val="00504854"/>
    <w:rsid w:val="005048E4"/>
    <w:rsid w:val="00504A08"/>
    <w:rsid w:val="00504A64"/>
    <w:rsid w:val="00504AF3"/>
    <w:rsid w:val="00504B59"/>
    <w:rsid w:val="00504CC9"/>
    <w:rsid w:val="00504F75"/>
    <w:rsid w:val="005050CA"/>
    <w:rsid w:val="00505328"/>
    <w:rsid w:val="0050536A"/>
    <w:rsid w:val="00505579"/>
    <w:rsid w:val="00505758"/>
    <w:rsid w:val="00505D43"/>
    <w:rsid w:val="00505D79"/>
    <w:rsid w:val="00505F0B"/>
    <w:rsid w:val="00506192"/>
    <w:rsid w:val="00506500"/>
    <w:rsid w:val="005069F8"/>
    <w:rsid w:val="00506A4B"/>
    <w:rsid w:val="00506E50"/>
    <w:rsid w:val="00506FCA"/>
    <w:rsid w:val="005070B1"/>
    <w:rsid w:val="00507386"/>
    <w:rsid w:val="0050742C"/>
    <w:rsid w:val="00507549"/>
    <w:rsid w:val="00507CE3"/>
    <w:rsid w:val="00507FBD"/>
    <w:rsid w:val="00510345"/>
    <w:rsid w:val="005103CD"/>
    <w:rsid w:val="00510AC2"/>
    <w:rsid w:val="00510D17"/>
    <w:rsid w:val="00510DC7"/>
    <w:rsid w:val="00510FBD"/>
    <w:rsid w:val="0051111E"/>
    <w:rsid w:val="00511282"/>
    <w:rsid w:val="005112D5"/>
    <w:rsid w:val="0051137C"/>
    <w:rsid w:val="005113EB"/>
    <w:rsid w:val="005113F6"/>
    <w:rsid w:val="0051172D"/>
    <w:rsid w:val="00511731"/>
    <w:rsid w:val="0051196F"/>
    <w:rsid w:val="00511A0B"/>
    <w:rsid w:val="00512220"/>
    <w:rsid w:val="005122EA"/>
    <w:rsid w:val="005124E3"/>
    <w:rsid w:val="00512510"/>
    <w:rsid w:val="0051282E"/>
    <w:rsid w:val="00512A85"/>
    <w:rsid w:val="00512B1C"/>
    <w:rsid w:val="00512D6A"/>
    <w:rsid w:val="00512F2A"/>
    <w:rsid w:val="0051322A"/>
    <w:rsid w:val="005137BB"/>
    <w:rsid w:val="00513998"/>
    <w:rsid w:val="00514168"/>
    <w:rsid w:val="005141F2"/>
    <w:rsid w:val="005142B7"/>
    <w:rsid w:val="0051433C"/>
    <w:rsid w:val="00514A88"/>
    <w:rsid w:val="00514B6B"/>
    <w:rsid w:val="00514B90"/>
    <w:rsid w:val="00514BA4"/>
    <w:rsid w:val="0051502B"/>
    <w:rsid w:val="00515310"/>
    <w:rsid w:val="005153A7"/>
    <w:rsid w:val="00515633"/>
    <w:rsid w:val="005156CD"/>
    <w:rsid w:val="0051657D"/>
    <w:rsid w:val="005168F8"/>
    <w:rsid w:val="00516BAD"/>
    <w:rsid w:val="0051726E"/>
    <w:rsid w:val="00517436"/>
    <w:rsid w:val="005174A2"/>
    <w:rsid w:val="005175E5"/>
    <w:rsid w:val="00520052"/>
    <w:rsid w:val="0052038F"/>
    <w:rsid w:val="00520407"/>
    <w:rsid w:val="00520556"/>
    <w:rsid w:val="00520CB0"/>
    <w:rsid w:val="00520E2E"/>
    <w:rsid w:val="00520F29"/>
    <w:rsid w:val="00521501"/>
    <w:rsid w:val="005217AE"/>
    <w:rsid w:val="005217CD"/>
    <w:rsid w:val="00521F95"/>
    <w:rsid w:val="005224DD"/>
    <w:rsid w:val="005227A1"/>
    <w:rsid w:val="00522950"/>
    <w:rsid w:val="00522F0A"/>
    <w:rsid w:val="0052303F"/>
    <w:rsid w:val="0052306D"/>
    <w:rsid w:val="0052326D"/>
    <w:rsid w:val="00523623"/>
    <w:rsid w:val="00523C97"/>
    <w:rsid w:val="00523D03"/>
    <w:rsid w:val="00523E0B"/>
    <w:rsid w:val="005242C7"/>
    <w:rsid w:val="0052435E"/>
    <w:rsid w:val="005243DF"/>
    <w:rsid w:val="00524413"/>
    <w:rsid w:val="00524585"/>
    <w:rsid w:val="005245BC"/>
    <w:rsid w:val="00524611"/>
    <w:rsid w:val="005246FE"/>
    <w:rsid w:val="0052475A"/>
    <w:rsid w:val="005249B9"/>
    <w:rsid w:val="00524C80"/>
    <w:rsid w:val="005251A4"/>
    <w:rsid w:val="005254DB"/>
    <w:rsid w:val="005259E4"/>
    <w:rsid w:val="00526061"/>
    <w:rsid w:val="005263A0"/>
    <w:rsid w:val="00526554"/>
    <w:rsid w:val="005267C9"/>
    <w:rsid w:val="005268C1"/>
    <w:rsid w:val="00526F78"/>
    <w:rsid w:val="00527058"/>
    <w:rsid w:val="0052715A"/>
    <w:rsid w:val="00527188"/>
    <w:rsid w:val="00527286"/>
    <w:rsid w:val="005272B5"/>
    <w:rsid w:val="00527335"/>
    <w:rsid w:val="00527426"/>
    <w:rsid w:val="0052765F"/>
    <w:rsid w:val="00527AAA"/>
    <w:rsid w:val="00530011"/>
    <w:rsid w:val="005300FD"/>
    <w:rsid w:val="005303D8"/>
    <w:rsid w:val="00530663"/>
    <w:rsid w:val="00530DBA"/>
    <w:rsid w:val="00530DD2"/>
    <w:rsid w:val="0053115A"/>
    <w:rsid w:val="005311AA"/>
    <w:rsid w:val="005314A7"/>
    <w:rsid w:val="005315BF"/>
    <w:rsid w:val="0053160C"/>
    <w:rsid w:val="005316B6"/>
    <w:rsid w:val="00531B07"/>
    <w:rsid w:val="00531B67"/>
    <w:rsid w:val="005320E0"/>
    <w:rsid w:val="005321A7"/>
    <w:rsid w:val="0053223B"/>
    <w:rsid w:val="0053242D"/>
    <w:rsid w:val="00532633"/>
    <w:rsid w:val="005329B2"/>
    <w:rsid w:val="00532A57"/>
    <w:rsid w:val="00532D25"/>
    <w:rsid w:val="00532DBE"/>
    <w:rsid w:val="005334F7"/>
    <w:rsid w:val="005335E7"/>
    <w:rsid w:val="0053364B"/>
    <w:rsid w:val="00533670"/>
    <w:rsid w:val="00533B7A"/>
    <w:rsid w:val="00533C5F"/>
    <w:rsid w:val="00533E10"/>
    <w:rsid w:val="00533F8A"/>
    <w:rsid w:val="0053446D"/>
    <w:rsid w:val="00534726"/>
    <w:rsid w:val="00534982"/>
    <w:rsid w:val="005349DD"/>
    <w:rsid w:val="00534C52"/>
    <w:rsid w:val="00534DA5"/>
    <w:rsid w:val="00534DB2"/>
    <w:rsid w:val="00534E14"/>
    <w:rsid w:val="00536066"/>
    <w:rsid w:val="00536566"/>
    <w:rsid w:val="005365D0"/>
    <w:rsid w:val="00536B08"/>
    <w:rsid w:val="00536C89"/>
    <w:rsid w:val="00536D76"/>
    <w:rsid w:val="00536E7B"/>
    <w:rsid w:val="00536F2F"/>
    <w:rsid w:val="00536F7B"/>
    <w:rsid w:val="00536FF4"/>
    <w:rsid w:val="005370B4"/>
    <w:rsid w:val="00537144"/>
    <w:rsid w:val="00537351"/>
    <w:rsid w:val="00537672"/>
    <w:rsid w:val="0054038B"/>
    <w:rsid w:val="005405C4"/>
    <w:rsid w:val="0054066B"/>
    <w:rsid w:val="00540924"/>
    <w:rsid w:val="00540B35"/>
    <w:rsid w:val="00540BE3"/>
    <w:rsid w:val="00540DDD"/>
    <w:rsid w:val="00540FBC"/>
    <w:rsid w:val="00541284"/>
    <w:rsid w:val="005415CF"/>
    <w:rsid w:val="00541752"/>
    <w:rsid w:val="00542048"/>
    <w:rsid w:val="00542202"/>
    <w:rsid w:val="00542308"/>
    <w:rsid w:val="005424F7"/>
    <w:rsid w:val="00542C14"/>
    <w:rsid w:val="00543022"/>
    <w:rsid w:val="005430CD"/>
    <w:rsid w:val="00543557"/>
    <w:rsid w:val="00543674"/>
    <w:rsid w:val="005438A5"/>
    <w:rsid w:val="00543B03"/>
    <w:rsid w:val="00543C65"/>
    <w:rsid w:val="00543D7C"/>
    <w:rsid w:val="00543E74"/>
    <w:rsid w:val="00543FBE"/>
    <w:rsid w:val="005440C6"/>
    <w:rsid w:val="005443C4"/>
    <w:rsid w:val="0054474D"/>
    <w:rsid w:val="00544961"/>
    <w:rsid w:val="00544B65"/>
    <w:rsid w:val="00544DC4"/>
    <w:rsid w:val="00545290"/>
    <w:rsid w:val="0054544E"/>
    <w:rsid w:val="0054560C"/>
    <w:rsid w:val="00545A09"/>
    <w:rsid w:val="00545A14"/>
    <w:rsid w:val="00545D84"/>
    <w:rsid w:val="00546055"/>
    <w:rsid w:val="005466D2"/>
    <w:rsid w:val="00546844"/>
    <w:rsid w:val="00546D6F"/>
    <w:rsid w:val="005471D8"/>
    <w:rsid w:val="00547290"/>
    <w:rsid w:val="005474C2"/>
    <w:rsid w:val="0054765B"/>
    <w:rsid w:val="005477B3"/>
    <w:rsid w:val="00547A89"/>
    <w:rsid w:val="00547B88"/>
    <w:rsid w:val="00547CAA"/>
    <w:rsid w:val="00547EF8"/>
    <w:rsid w:val="00550039"/>
    <w:rsid w:val="0055013A"/>
    <w:rsid w:val="005503FB"/>
    <w:rsid w:val="00550547"/>
    <w:rsid w:val="00550681"/>
    <w:rsid w:val="005509EC"/>
    <w:rsid w:val="00550A7C"/>
    <w:rsid w:val="00550EE4"/>
    <w:rsid w:val="005510F7"/>
    <w:rsid w:val="0055140B"/>
    <w:rsid w:val="00551677"/>
    <w:rsid w:val="005517A5"/>
    <w:rsid w:val="005519B1"/>
    <w:rsid w:val="00551A78"/>
    <w:rsid w:val="00551AE7"/>
    <w:rsid w:val="00552006"/>
    <w:rsid w:val="00552148"/>
    <w:rsid w:val="00552450"/>
    <w:rsid w:val="00552554"/>
    <w:rsid w:val="00552702"/>
    <w:rsid w:val="0055289C"/>
    <w:rsid w:val="005528D7"/>
    <w:rsid w:val="00552B2B"/>
    <w:rsid w:val="00552E1F"/>
    <w:rsid w:val="00552EA9"/>
    <w:rsid w:val="00552EEC"/>
    <w:rsid w:val="0055307D"/>
    <w:rsid w:val="005532DD"/>
    <w:rsid w:val="00553701"/>
    <w:rsid w:val="005538BC"/>
    <w:rsid w:val="00553ABC"/>
    <w:rsid w:val="00553E8C"/>
    <w:rsid w:val="00553EC7"/>
    <w:rsid w:val="00554213"/>
    <w:rsid w:val="005542B1"/>
    <w:rsid w:val="0055457E"/>
    <w:rsid w:val="005549E2"/>
    <w:rsid w:val="00554A5F"/>
    <w:rsid w:val="00554B12"/>
    <w:rsid w:val="00554B62"/>
    <w:rsid w:val="00554CF6"/>
    <w:rsid w:val="00554D60"/>
    <w:rsid w:val="00554F8F"/>
    <w:rsid w:val="00555504"/>
    <w:rsid w:val="00555DA5"/>
    <w:rsid w:val="00555DF0"/>
    <w:rsid w:val="00555F0D"/>
    <w:rsid w:val="005561A1"/>
    <w:rsid w:val="0055624F"/>
    <w:rsid w:val="005562EA"/>
    <w:rsid w:val="0055661F"/>
    <w:rsid w:val="005566A2"/>
    <w:rsid w:val="005566BC"/>
    <w:rsid w:val="0055695A"/>
    <w:rsid w:val="00556BF1"/>
    <w:rsid w:val="00556E36"/>
    <w:rsid w:val="00556EF8"/>
    <w:rsid w:val="0055758B"/>
    <w:rsid w:val="005575F8"/>
    <w:rsid w:val="00557619"/>
    <w:rsid w:val="00557811"/>
    <w:rsid w:val="005579DE"/>
    <w:rsid w:val="00557C6A"/>
    <w:rsid w:val="00557CA2"/>
    <w:rsid w:val="00557CAB"/>
    <w:rsid w:val="00557D00"/>
    <w:rsid w:val="00560519"/>
    <w:rsid w:val="005606F1"/>
    <w:rsid w:val="00560914"/>
    <w:rsid w:val="00560AD8"/>
    <w:rsid w:val="00560B2B"/>
    <w:rsid w:val="00560E7F"/>
    <w:rsid w:val="005612FE"/>
    <w:rsid w:val="005613FB"/>
    <w:rsid w:val="00561945"/>
    <w:rsid w:val="00561C5C"/>
    <w:rsid w:val="00561C9E"/>
    <w:rsid w:val="00561D5F"/>
    <w:rsid w:val="00561D85"/>
    <w:rsid w:val="00561FFD"/>
    <w:rsid w:val="0056275E"/>
    <w:rsid w:val="00562BD6"/>
    <w:rsid w:val="00563295"/>
    <w:rsid w:val="0056330C"/>
    <w:rsid w:val="00563AE8"/>
    <w:rsid w:val="00563BE2"/>
    <w:rsid w:val="00564483"/>
    <w:rsid w:val="00564527"/>
    <w:rsid w:val="00564841"/>
    <w:rsid w:val="00564B6D"/>
    <w:rsid w:val="00564D0A"/>
    <w:rsid w:val="0056503A"/>
    <w:rsid w:val="00565060"/>
    <w:rsid w:val="005651B4"/>
    <w:rsid w:val="0056584A"/>
    <w:rsid w:val="005658FE"/>
    <w:rsid w:val="00565A98"/>
    <w:rsid w:val="00565BA9"/>
    <w:rsid w:val="00565E2C"/>
    <w:rsid w:val="00565E32"/>
    <w:rsid w:val="00565EF6"/>
    <w:rsid w:val="00566107"/>
    <w:rsid w:val="0056660A"/>
    <w:rsid w:val="00566E26"/>
    <w:rsid w:val="00566FB0"/>
    <w:rsid w:val="005670BA"/>
    <w:rsid w:val="005672AE"/>
    <w:rsid w:val="00567744"/>
    <w:rsid w:val="00567776"/>
    <w:rsid w:val="0056786C"/>
    <w:rsid w:val="00567A0B"/>
    <w:rsid w:val="00567C34"/>
    <w:rsid w:val="00567FE2"/>
    <w:rsid w:val="005700DE"/>
    <w:rsid w:val="00570216"/>
    <w:rsid w:val="00570264"/>
    <w:rsid w:val="005708BC"/>
    <w:rsid w:val="00570EB6"/>
    <w:rsid w:val="00571209"/>
    <w:rsid w:val="0057122E"/>
    <w:rsid w:val="005712C8"/>
    <w:rsid w:val="005713C8"/>
    <w:rsid w:val="005713E4"/>
    <w:rsid w:val="005713FF"/>
    <w:rsid w:val="005714A6"/>
    <w:rsid w:val="0057165D"/>
    <w:rsid w:val="005716BD"/>
    <w:rsid w:val="00571BFD"/>
    <w:rsid w:val="005720F7"/>
    <w:rsid w:val="005722BA"/>
    <w:rsid w:val="005722D4"/>
    <w:rsid w:val="0057244E"/>
    <w:rsid w:val="0057279D"/>
    <w:rsid w:val="005727C2"/>
    <w:rsid w:val="00572930"/>
    <w:rsid w:val="00572B34"/>
    <w:rsid w:val="00572BC6"/>
    <w:rsid w:val="00572C59"/>
    <w:rsid w:val="00572F6D"/>
    <w:rsid w:val="00573208"/>
    <w:rsid w:val="005733A4"/>
    <w:rsid w:val="00573579"/>
    <w:rsid w:val="00573599"/>
    <w:rsid w:val="005737D7"/>
    <w:rsid w:val="005737E0"/>
    <w:rsid w:val="00573861"/>
    <w:rsid w:val="00573A10"/>
    <w:rsid w:val="00573A6B"/>
    <w:rsid w:val="00573EBE"/>
    <w:rsid w:val="00574B1D"/>
    <w:rsid w:val="00574D50"/>
    <w:rsid w:val="0057516E"/>
    <w:rsid w:val="005754F3"/>
    <w:rsid w:val="0057575C"/>
    <w:rsid w:val="00575841"/>
    <w:rsid w:val="00575B3B"/>
    <w:rsid w:val="00575BD1"/>
    <w:rsid w:val="00575EAF"/>
    <w:rsid w:val="005761EF"/>
    <w:rsid w:val="00576217"/>
    <w:rsid w:val="0057660F"/>
    <w:rsid w:val="005767F1"/>
    <w:rsid w:val="0057696B"/>
    <w:rsid w:val="00576B7B"/>
    <w:rsid w:val="00576D40"/>
    <w:rsid w:val="00576E8F"/>
    <w:rsid w:val="0057704E"/>
    <w:rsid w:val="005771DC"/>
    <w:rsid w:val="00577279"/>
    <w:rsid w:val="0057733F"/>
    <w:rsid w:val="0057757D"/>
    <w:rsid w:val="005776B4"/>
    <w:rsid w:val="0057773D"/>
    <w:rsid w:val="00577DD3"/>
    <w:rsid w:val="00577F66"/>
    <w:rsid w:val="00580200"/>
    <w:rsid w:val="005802D1"/>
    <w:rsid w:val="00580940"/>
    <w:rsid w:val="00580B4D"/>
    <w:rsid w:val="00580B64"/>
    <w:rsid w:val="00580BFD"/>
    <w:rsid w:val="00580CD7"/>
    <w:rsid w:val="00580E0F"/>
    <w:rsid w:val="005811CF"/>
    <w:rsid w:val="0058120B"/>
    <w:rsid w:val="005817CC"/>
    <w:rsid w:val="005817D6"/>
    <w:rsid w:val="00581AC3"/>
    <w:rsid w:val="0058242F"/>
    <w:rsid w:val="005826FA"/>
    <w:rsid w:val="00582CEB"/>
    <w:rsid w:val="00582F9E"/>
    <w:rsid w:val="0058302C"/>
    <w:rsid w:val="00583098"/>
    <w:rsid w:val="00583351"/>
    <w:rsid w:val="0058352F"/>
    <w:rsid w:val="0058359B"/>
    <w:rsid w:val="005835CC"/>
    <w:rsid w:val="00583668"/>
    <w:rsid w:val="00583789"/>
    <w:rsid w:val="005837A8"/>
    <w:rsid w:val="005837F8"/>
    <w:rsid w:val="00583B3D"/>
    <w:rsid w:val="00583E68"/>
    <w:rsid w:val="005843E0"/>
    <w:rsid w:val="00584469"/>
    <w:rsid w:val="005846A9"/>
    <w:rsid w:val="00584E0E"/>
    <w:rsid w:val="00584E62"/>
    <w:rsid w:val="00584E9C"/>
    <w:rsid w:val="00585185"/>
    <w:rsid w:val="005851B5"/>
    <w:rsid w:val="0058527C"/>
    <w:rsid w:val="005854FB"/>
    <w:rsid w:val="00585CBD"/>
    <w:rsid w:val="00585D44"/>
    <w:rsid w:val="00585F5D"/>
    <w:rsid w:val="00585FA1"/>
    <w:rsid w:val="005862A6"/>
    <w:rsid w:val="0058646D"/>
    <w:rsid w:val="00586661"/>
    <w:rsid w:val="00587155"/>
    <w:rsid w:val="0058720F"/>
    <w:rsid w:val="00587266"/>
    <w:rsid w:val="00587672"/>
    <w:rsid w:val="00587C6C"/>
    <w:rsid w:val="00587CE0"/>
    <w:rsid w:val="00587DC8"/>
    <w:rsid w:val="00587E55"/>
    <w:rsid w:val="0059015B"/>
    <w:rsid w:val="005904B6"/>
    <w:rsid w:val="00590656"/>
    <w:rsid w:val="0059066E"/>
    <w:rsid w:val="005908CB"/>
    <w:rsid w:val="00590A1B"/>
    <w:rsid w:val="00590B40"/>
    <w:rsid w:val="00590CFC"/>
    <w:rsid w:val="00591161"/>
    <w:rsid w:val="005912E0"/>
    <w:rsid w:val="00591624"/>
    <w:rsid w:val="00591625"/>
    <w:rsid w:val="005919A6"/>
    <w:rsid w:val="00591A49"/>
    <w:rsid w:val="00591DC3"/>
    <w:rsid w:val="00591DD3"/>
    <w:rsid w:val="00591DD6"/>
    <w:rsid w:val="00592465"/>
    <w:rsid w:val="0059254D"/>
    <w:rsid w:val="00592719"/>
    <w:rsid w:val="0059271E"/>
    <w:rsid w:val="00592921"/>
    <w:rsid w:val="00592DB4"/>
    <w:rsid w:val="005930F8"/>
    <w:rsid w:val="0059310A"/>
    <w:rsid w:val="005932EB"/>
    <w:rsid w:val="005935FD"/>
    <w:rsid w:val="0059393C"/>
    <w:rsid w:val="00593A9A"/>
    <w:rsid w:val="005940CA"/>
    <w:rsid w:val="0059410E"/>
    <w:rsid w:val="00594164"/>
    <w:rsid w:val="0059434A"/>
    <w:rsid w:val="005945B8"/>
    <w:rsid w:val="00594756"/>
    <w:rsid w:val="005947A8"/>
    <w:rsid w:val="00594D93"/>
    <w:rsid w:val="00594FE3"/>
    <w:rsid w:val="005950CD"/>
    <w:rsid w:val="005954DC"/>
    <w:rsid w:val="00595EF2"/>
    <w:rsid w:val="005962BA"/>
    <w:rsid w:val="0059662F"/>
    <w:rsid w:val="005966CD"/>
    <w:rsid w:val="00596BA2"/>
    <w:rsid w:val="00596BB4"/>
    <w:rsid w:val="00597105"/>
    <w:rsid w:val="00597444"/>
    <w:rsid w:val="00597584"/>
    <w:rsid w:val="0059768F"/>
    <w:rsid w:val="0059771A"/>
    <w:rsid w:val="00597960"/>
    <w:rsid w:val="00597A66"/>
    <w:rsid w:val="00597CBF"/>
    <w:rsid w:val="00597DC2"/>
    <w:rsid w:val="005A025E"/>
    <w:rsid w:val="005A061D"/>
    <w:rsid w:val="005A068C"/>
    <w:rsid w:val="005A0C20"/>
    <w:rsid w:val="005A0C40"/>
    <w:rsid w:val="005A0CE5"/>
    <w:rsid w:val="005A0D08"/>
    <w:rsid w:val="005A1091"/>
    <w:rsid w:val="005A11F9"/>
    <w:rsid w:val="005A1434"/>
    <w:rsid w:val="005A14F4"/>
    <w:rsid w:val="005A17CA"/>
    <w:rsid w:val="005A18F5"/>
    <w:rsid w:val="005A1C41"/>
    <w:rsid w:val="005A1FBB"/>
    <w:rsid w:val="005A20BF"/>
    <w:rsid w:val="005A2101"/>
    <w:rsid w:val="005A228E"/>
    <w:rsid w:val="005A2C63"/>
    <w:rsid w:val="005A2E0F"/>
    <w:rsid w:val="005A2E55"/>
    <w:rsid w:val="005A2ECB"/>
    <w:rsid w:val="005A3226"/>
    <w:rsid w:val="005A326B"/>
    <w:rsid w:val="005A343F"/>
    <w:rsid w:val="005A348C"/>
    <w:rsid w:val="005A3D5C"/>
    <w:rsid w:val="005A3E4B"/>
    <w:rsid w:val="005A41E7"/>
    <w:rsid w:val="005A4351"/>
    <w:rsid w:val="005A43E6"/>
    <w:rsid w:val="005A45E7"/>
    <w:rsid w:val="005A48DD"/>
    <w:rsid w:val="005A4A99"/>
    <w:rsid w:val="005A4CD7"/>
    <w:rsid w:val="005A5107"/>
    <w:rsid w:val="005A5294"/>
    <w:rsid w:val="005A5854"/>
    <w:rsid w:val="005A59E9"/>
    <w:rsid w:val="005A5CF8"/>
    <w:rsid w:val="005A6127"/>
    <w:rsid w:val="005A6499"/>
    <w:rsid w:val="005A64CB"/>
    <w:rsid w:val="005A65A1"/>
    <w:rsid w:val="005A65DF"/>
    <w:rsid w:val="005A6AEB"/>
    <w:rsid w:val="005A6D47"/>
    <w:rsid w:val="005A6E2E"/>
    <w:rsid w:val="005A6EA0"/>
    <w:rsid w:val="005A6EDB"/>
    <w:rsid w:val="005A6F1F"/>
    <w:rsid w:val="005A787F"/>
    <w:rsid w:val="005A7CFC"/>
    <w:rsid w:val="005B0589"/>
    <w:rsid w:val="005B0A10"/>
    <w:rsid w:val="005B0DA4"/>
    <w:rsid w:val="005B0F20"/>
    <w:rsid w:val="005B0F34"/>
    <w:rsid w:val="005B10A9"/>
    <w:rsid w:val="005B12AB"/>
    <w:rsid w:val="005B16EB"/>
    <w:rsid w:val="005B184E"/>
    <w:rsid w:val="005B1A5B"/>
    <w:rsid w:val="005B1B47"/>
    <w:rsid w:val="005B1BF2"/>
    <w:rsid w:val="005B1D01"/>
    <w:rsid w:val="005B1E01"/>
    <w:rsid w:val="005B1F28"/>
    <w:rsid w:val="005B2393"/>
    <w:rsid w:val="005B23FE"/>
    <w:rsid w:val="005B2684"/>
    <w:rsid w:val="005B2917"/>
    <w:rsid w:val="005B2A3D"/>
    <w:rsid w:val="005B2BAD"/>
    <w:rsid w:val="005B373D"/>
    <w:rsid w:val="005B388C"/>
    <w:rsid w:val="005B3E0F"/>
    <w:rsid w:val="005B3FCE"/>
    <w:rsid w:val="005B4081"/>
    <w:rsid w:val="005B44D5"/>
    <w:rsid w:val="005B4664"/>
    <w:rsid w:val="005B484D"/>
    <w:rsid w:val="005B4887"/>
    <w:rsid w:val="005B4A59"/>
    <w:rsid w:val="005B4B01"/>
    <w:rsid w:val="005B4D73"/>
    <w:rsid w:val="005B4E81"/>
    <w:rsid w:val="005B4F46"/>
    <w:rsid w:val="005B51BE"/>
    <w:rsid w:val="005B5290"/>
    <w:rsid w:val="005B5736"/>
    <w:rsid w:val="005B58E8"/>
    <w:rsid w:val="005B5932"/>
    <w:rsid w:val="005B5BCC"/>
    <w:rsid w:val="005B5CD1"/>
    <w:rsid w:val="005B5CF7"/>
    <w:rsid w:val="005B5F70"/>
    <w:rsid w:val="005B6317"/>
    <w:rsid w:val="005B66D6"/>
    <w:rsid w:val="005B6D2F"/>
    <w:rsid w:val="005B715D"/>
    <w:rsid w:val="005B72EE"/>
    <w:rsid w:val="005B76C7"/>
    <w:rsid w:val="005B78C5"/>
    <w:rsid w:val="005B7A23"/>
    <w:rsid w:val="005B7C53"/>
    <w:rsid w:val="005C00BE"/>
    <w:rsid w:val="005C02CF"/>
    <w:rsid w:val="005C04D4"/>
    <w:rsid w:val="005C0766"/>
    <w:rsid w:val="005C0C64"/>
    <w:rsid w:val="005C0CEB"/>
    <w:rsid w:val="005C0F1D"/>
    <w:rsid w:val="005C1082"/>
    <w:rsid w:val="005C14AD"/>
    <w:rsid w:val="005C15CD"/>
    <w:rsid w:val="005C165C"/>
    <w:rsid w:val="005C1BF2"/>
    <w:rsid w:val="005C1D0D"/>
    <w:rsid w:val="005C1DD5"/>
    <w:rsid w:val="005C1E1F"/>
    <w:rsid w:val="005C1F7F"/>
    <w:rsid w:val="005C218C"/>
    <w:rsid w:val="005C24FE"/>
    <w:rsid w:val="005C26C6"/>
    <w:rsid w:val="005C27BA"/>
    <w:rsid w:val="005C296F"/>
    <w:rsid w:val="005C29B4"/>
    <w:rsid w:val="005C30CD"/>
    <w:rsid w:val="005C32D8"/>
    <w:rsid w:val="005C33E9"/>
    <w:rsid w:val="005C382B"/>
    <w:rsid w:val="005C3CE6"/>
    <w:rsid w:val="005C40C1"/>
    <w:rsid w:val="005C46CF"/>
    <w:rsid w:val="005C49CD"/>
    <w:rsid w:val="005C4A26"/>
    <w:rsid w:val="005C4B25"/>
    <w:rsid w:val="005C4BDE"/>
    <w:rsid w:val="005C4D77"/>
    <w:rsid w:val="005C4D95"/>
    <w:rsid w:val="005C4FD2"/>
    <w:rsid w:val="005C5347"/>
    <w:rsid w:val="005C54DB"/>
    <w:rsid w:val="005C554C"/>
    <w:rsid w:val="005C5920"/>
    <w:rsid w:val="005C5C93"/>
    <w:rsid w:val="005C5D05"/>
    <w:rsid w:val="005C5D19"/>
    <w:rsid w:val="005C6238"/>
    <w:rsid w:val="005C666B"/>
    <w:rsid w:val="005C67D0"/>
    <w:rsid w:val="005C69F8"/>
    <w:rsid w:val="005C6CAC"/>
    <w:rsid w:val="005C732D"/>
    <w:rsid w:val="005C753B"/>
    <w:rsid w:val="005C7873"/>
    <w:rsid w:val="005C7C44"/>
    <w:rsid w:val="005C7CC7"/>
    <w:rsid w:val="005D0385"/>
    <w:rsid w:val="005D03B6"/>
    <w:rsid w:val="005D04B7"/>
    <w:rsid w:val="005D0783"/>
    <w:rsid w:val="005D09B7"/>
    <w:rsid w:val="005D124C"/>
    <w:rsid w:val="005D14EB"/>
    <w:rsid w:val="005D170A"/>
    <w:rsid w:val="005D1918"/>
    <w:rsid w:val="005D19FA"/>
    <w:rsid w:val="005D1F96"/>
    <w:rsid w:val="005D219A"/>
    <w:rsid w:val="005D21E7"/>
    <w:rsid w:val="005D229C"/>
    <w:rsid w:val="005D25B5"/>
    <w:rsid w:val="005D2908"/>
    <w:rsid w:val="005D2C45"/>
    <w:rsid w:val="005D2CA0"/>
    <w:rsid w:val="005D3191"/>
    <w:rsid w:val="005D336A"/>
    <w:rsid w:val="005D34B1"/>
    <w:rsid w:val="005D358D"/>
    <w:rsid w:val="005D379D"/>
    <w:rsid w:val="005D3E1C"/>
    <w:rsid w:val="005D3FCE"/>
    <w:rsid w:val="005D4508"/>
    <w:rsid w:val="005D451D"/>
    <w:rsid w:val="005D496E"/>
    <w:rsid w:val="005D4C1E"/>
    <w:rsid w:val="005D5111"/>
    <w:rsid w:val="005D5489"/>
    <w:rsid w:val="005D5740"/>
    <w:rsid w:val="005D5942"/>
    <w:rsid w:val="005D5A15"/>
    <w:rsid w:val="005D5DB3"/>
    <w:rsid w:val="005D6181"/>
    <w:rsid w:val="005D619D"/>
    <w:rsid w:val="005D6289"/>
    <w:rsid w:val="005D6417"/>
    <w:rsid w:val="005D645C"/>
    <w:rsid w:val="005D660F"/>
    <w:rsid w:val="005D6786"/>
    <w:rsid w:val="005D6AA0"/>
    <w:rsid w:val="005D71AB"/>
    <w:rsid w:val="005D7375"/>
    <w:rsid w:val="005D7CF7"/>
    <w:rsid w:val="005E0043"/>
    <w:rsid w:val="005E009D"/>
    <w:rsid w:val="005E00C3"/>
    <w:rsid w:val="005E0427"/>
    <w:rsid w:val="005E0797"/>
    <w:rsid w:val="005E0AE1"/>
    <w:rsid w:val="005E1183"/>
    <w:rsid w:val="005E11C8"/>
    <w:rsid w:val="005E11DE"/>
    <w:rsid w:val="005E140D"/>
    <w:rsid w:val="005E1A56"/>
    <w:rsid w:val="005E1AC4"/>
    <w:rsid w:val="005E1C34"/>
    <w:rsid w:val="005E1C9B"/>
    <w:rsid w:val="005E1D1B"/>
    <w:rsid w:val="005E2BEE"/>
    <w:rsid w:val="005E3146"/>
    <w:rsid w:val="005E3C20"/>
    <w:rsid w:val="005E3CA9"/>
    <w:rsid w:val="005E4726"/>
    <w:rsid w:val="005E483B"/>
    <w:rsid w:val="005E4B82"/>
    <w:rsid w:val="005E4BAE"/>
    <w:rsid w:val="005E50FC"/>
    <w:rsid w:val="005E523F"/>
    <w:rsid w:val="005E563F"/>
    <w:rsid w:val="005E58F1"/>
    <w:rsid w:val="005E59A9"/>
    <w:rsid w:val="005E5D8D"/>
    <w:rsid w:val="005E6028"/>
    <w:rsid w:val="005E61BA"/>
    <w:rsid w:val="005E65BB"/>
    <w:rsid w:val="005E67E7"/>
    <w:rsid w:val="005E69D8"/>
    <w:rsid w:val="005E6C15"/>
    <w:rsid w:val="005E6E09"/>
    <w:rsid w:val="005E6EBD"/>
    <w:rsid w:val="005E6EE1"/>
    <w:rsid w:val="005E70B7"/>
    <w:rsid w:val="005E7538"/>
    <w:rsid w:val="005E758F"/>
    <w:rsid w:val="005E7775"/>
    <w:rsid w:val="005E7D5B"/>
    <w:rsid w:val="005E7F0E"/>
    <w:rsid w:val="005E7F16"/>
    <w:rsid w:val="005F02D6"/>
    <w:rsid w:val="005F04BE"/>
    <w:rsid w:val="005F04E9"/>
    <w:rsid w:val="005F089D"/>
    <w:rsid w:val="005F0933"/>
    <w:rsid w:val="005F0C07"/>
    <w:rsid w:val="005F0C31"/>
    <w:rsid w:val="005F0EB8"/>
    <w:rsid w:val="005F0FDE"/>
    <w:rsid w:val="005F10A8"/>
    <w:rsid w:val="005F161D"/>
    <w:rsid w:val="005F1680"/>
    <w:rsid w:val="005F16CA"/>
    <w:rsid w:val="005F16E5"/>
    <w:rsid w:val="005F1974"/>
    <w:rsid w:val="005F1ACE"/>
    <w:rsid w:val="005F1B04"/>
    <w:rsid w:val="005F1C96"/>
    <w:rsid w:val="005F1F82"/>
    <w:rsid w:val="005F227C"/>
    <w:rsid w:val="005F22F5"/>
    <w:rsid w:val="005F23C2"/>
    <w:rsid w:val="005F288D"/>
    <w:rsid w:val="005F2952"/>
    <w:rsid w:val="005F2B80"/>
    <w:rsid w:val="005F3011"/>
    <w:rsid w:val="005F328F"/>
    <w:rsid w:val="005F3390"/>
    <w:rsid w:val="005F3980"/>
    <w:rsid w:val="005F3A52"/>
    <w:rsid w:val="005F3E18"/>
    <w:rsid w:val="005F451C"/>
    <w:rsid w:val="005F49EE"/>
    <w:rsid w:val="005F4AA8"/>
    <w:rsid w:val="005F4B69"/>
    <w:rsid w:val="005F4D93"/>
    <w:rsid w:val="005F5502"/>
    <w:rsid w:val="005F5951"/>
    <w:rsid w:val="005F5CC5"/>
    <w:rsid w:val="005F5D7D"/>
    <w:rsid w:val="005F5EE7"/>
    <w:rsid w:val="005F619D"/>
    <w:rsid w:val="005F6278"/>
    <w:rsid w:val="005F64D3"/>
    <w:rsid w:val="005F6A02"/>
    <w:rsid w:val="005F6DBC"/>
    <w:rsid w:val="005F6E4A"/>
    <w:rsid w:val="005F72BA"/>
    <w:rsid w:val="005F7625"/>
    <w:rsid w:val="005F778E"/>
    <w:rsid w:val="005F7E8D"/>
    <w:rsid w:val="005F7F1F"/>
    <w:rsid w:val="0060001D"/>
    <w:rsid w:val="00600446"/>
    <w:rsid w:val="00600D00"/>
    <w:rsid w:val="00600E41"/>
    <w:rsid w:val="00600EF7"/>
    <w:rsid w:val="00600FD0"/>
    <w:rsid w:val="006013D8"/>
    <w:rsid w:val="0060149B"/>
    <w:rsid w:val="00601592"/>
    <w:rsid w:val="0060179F"/>
    <w:rsid w:val="006017DB"/>
    <w:rsid w:val="00601884"/>
    <w:rsid w:val="00601D64"/>
    <w:rsid w:val="00601D91"/>
    <w:rsid w:val="00601D99"/>
    <w:rsid w:val="00602145"/>
    <w:rsid w:val="0060258B"/>
    <w:rsid w:val="0060273A"/>
    <w:rsid w:val="006029BA"/>
    <w:rsid w:val="00602A36"/>
    <w:rsid w:val="00603274"/>
    <w:rsid w:val="006032E1"/>
    <w:rsid w:val="0060356C"/>
    <w:rsid w:val="00603A3D"/>
    <w:rsid w:val="00603EBF"/>
    <w:rsid w:val="0060400A"/>
    <w:rsid w:val="00604609"/>
    <w:rsid w:val="006047C3"/>
    <w:rsid w:val="006049EB"/>
    <w:rsid w:val="00604BB2"/>
    <w:rsid w:val="00604D44"/>
    <w:rsid w:val="00605010"/>
    <w:rsid w:val="006050AC"/>
    <w:rsid w:val="0060513A"/>
    <w:rsid w:val="00605524"/>
    <w:rsid w:val="00605B81"/>
    <w:rsid w:val="00606020"/>
    <w:rsid w:val="00606300"/>
    <w:rsid w:val="00606847"/>
    <w:rsid w:val="00606892"/>
    <w:rsid w:val="006069ED"/>
    <w:rsid w:val="00606BD5"/>
    <w:rsid w:val="00606F15"/>
    <w:rsid w:val="00607239"/>
    <w:rsid w:val="006072A9"/>
    <w:rsid w:val="00607615"/>
    <w:rsid w:val="0060792F"/>
    <w:rsid w:val="00607BB8"/>
    <w:rsid w:val="00610407"/>
    <w:rsid w:val="00610785"/>
    <w:rsid w:val="0061094A"/>
    <w:rsid w:val="00610DBA"/>
    <w:rsid w:val="0061160E"/>
    <w:rsid w:val="00611938"/>
    <w:rsid w:val="006119C6"/>
    <w:rsid w:val="00611C1A"/>
    <w:rsid w:val="00612235"/>
    <w:rsid w:val="006123DB"/>
    <w:rsid w:val="006124FD"/>
    <w:rsid w:val="00612889"/>
    <w:rsid w:val="0061289A"/>
    <w:rsid w:val="00612C53"/>
    <w:rsid w:val="00612D29"/>
    <w:rsid w:val="00613145"/>
    <w:rsid w:val="006131B0"/>
    <w:rsid w:val="006132A2"/>
    <w:rsid w:val="006135EA"/>
    <w:rsid w:val="00613604"/>
    <w:rsid w:val="00613634"/>
    <w:rsid w:val="0061397A"/>
    <w:rsid w:val="006139BC"/>
    <w:rsid w:val="00613C2B"/>
    <w:rsid w:val="006140B4"/>
    <w:rsid w:val="006141AA"/>
    <w:rsid w:val="0061446C"/>
    <w:rsid w:val="00614700"/>
    <w:rsid w:val="006148F0"/>
    <w:rsid w:val="006149B7"/>
    <w:rsid w:val="00614C8C"/>
    <w:rsid w:val="00614D36"/>
    <w:rsid w:val="006157C7"/>
    <w:rsid w:val="0061596A"/>
    <w:rsid w:val="00615A05"/>
    <w:rsid w:val="00615D5D"/>
    <w:rsid w:val="006161A5"/>
    <w:rsid w:val="006164CE"/>
    <w:rsid w:val="006169B9"/>
    <w:rsid w:val="00616AC6"/>
    <w:rsid w:val="00616B23"/>
    <w:rsid w:val="00617100"/>
    <w:rsid w:val="00617233"/>
    <w:rsid w:val="00617241"/>
    <w:rsid w:val="00617516"/>
    <w:rsid w:val="0061757A"/>
    <w:rsid w:val="00617E87"/>
    <w:rsid w:val="006200C4"/>
    <w:rsid w:val="00620167"/>
    <w:rsid w:val="00620390"/>
    <w:rsid w:val="00620391"/>
    <w:rsid w:val="00620637"/>
    <w:rsid w:val="0062089D"/>
    <w:rsid w:val="00620B90"/>
    <w:rsid w:val="0062151D"/>
    <w:rsid w:val="00621647"/>
    <w:rsid w:val="00621A4F"/>
    <w:rsid w:val="00621FE1"/>
    <w:rsid w:val="00622619"/>
    <w:rsid w:val="006227C6"/>
    <w:rsid w:val="006229E8"/>
    <w:rsid w:val="00622A7B"/>
    <w:rsid w:val="0062309A"/>
    <w:rsid w:val="00623554"/>
    <w:rsid w:val="0062369B"/>
    <w:rsid w:val="00623726"/>
    <w:rsid w:val="006237BB"/>
    <w:rsid w:val="00623859"/>
    <w:rsid w:val="00623A4C"/>
    <w:rsid w:val="00623B2C"/>
    <w:rsid w:val="00623E49"/>
    <w:rsid w:val="00624244"/>
    <w:rsid w:val="00624804"/>
    <w:rsid w:val="0062487C"/>
    <w:rsid w:val="00624950"/>
    <w:rsid w:val="00624976"/>
    <w:rsid w:val="00624D8A"/>
    <w:rsid w:val="00624FA3"/>
    <w:rsid w:val="0062501D"/>
    <w:rsid w:val="00625227"/>
    <w:rsid w:val="00625347"/>
    <w:rsid w:val="00625510"/>
    <w:rsid w:val="00625746"/>
    <w:rsid w:val="0062579C"/>
    <w:rsid w:val="0062597A"/>
    <w:rsid w:val="00625A77"/>
    <w:rsid w:val="00625F96"/>
    <w:rsid w:val="0062628E"/>
    <w:rsid w:val="0062632A"/>
    <w:rsid w:val="006264AC"/>
    <w:rsid w:val="00626647"/>
    <w:rsid w:val="006267DF"/>
    <w:rsid w:val="00626845"/>
    <w:rsid w:val="00626847"/>
    <w:rsid w:val="00626A4F"/>
    <w:rsid w:val="00626F3E"/>
    <w:rsid w:val="006270E8"/>
    <w:rsid w:val="006272E6"/>
    <w:rsid w:val="006275AF"/>
    <w:rsid w:val="00627848"/>
    <w:rsid w:val="00627C36"/>
    <w:rsid w:val="00627CDD"/>
    <w:rsid w:val="00627D60"/>
    <w:rsid w:val="00630532"/>
    <w:rsid w:val="00630A66"/>
    <w:rsid w:val="0063132B"/>
    <w:rsid w:val="006313BF"/>
    <w:rsid w:val="00631752"/>
    <w:rsid w:val="00631939"/>
    <w:rsid w:val="00631968"/>
    <w:rsid w:val="006319C6"/>
    <w:rsid w:val="00631D62"/>
    <w:rsid w:val="00631E26"/>
    <w:rsid w:val="00631E69"/>
    <w:rsid w:val="00632360"/>
    <w:rsid w:val="0063252D"/>
    <w:rsid w:val="0063271F"/>
    <w:rsid w:val="00632B45"/>
    <w:rsid w:val="00632BEF"/>
    <w:rsid w:val="00632F26"/>
    <w:rsid w:val="00633364"/>
    <w:rsid w:val="0063352B"/>
    <w:rsid w:val="0063362A"/>
    <w:rsid w:val="006337D1"/>
    <w:rsid w:val="0063381A"/>
    <w:rsid w:val="006338A9"/>
    <w:rsid w:val="006338B4"/>
    <w:rsid w:val="00633B6A"/>
    <w:rsid w:val="00633B89"/>
    <w:rsid w:val="00633BA6"/>
    <w:rsid w:val="00634362"/>
    <w:rsid w:val="0063469D"/>
    <w:rsid w:val="00634820"/>
    <w:rsid w:val="00634E23"/>
    <w:rsid w:val="00635056"/>
    <w:rsid w:val="00635128"/>
    <w:rsid w:val="0063530F"/>
    <w:rsid w:val="006353A2"/>
    <w:rsid w:val="00635479"/>
    <w:rsid w:val="0063558F"/>
    <w:rsid w:val="0063577A"/>
    <w:rsid w:val="00635897"/>
    <w:rsid w:val="00636541"/>
    <w:rsid w:val="006365A3"/>
    <w:rsid w:val="00636B04"/>
    <w:rsid w:val="00636F64"/>
    <w:rsid w:val="006371E7"/>
    <w:rsid w:val="00637263"/>
    <w:rsid w:val="006373D3"/>
    <w:rsid w:val="0063748C"/>
    <w:rsid w:val="00637948"/>
    <w:rsid w:val="00637A08"/>
    <w:rsid w:val="00637A67"/>
    <w:rsid w:val="00637AD0"/>
    <w:rsid w:val="00637FC5"/>
    <w:rsid w:val="00640139"/>
    <w:rsid w:val="00640152"/>
    <w:rsid w:val="0064020C"/>
    <w:rsid w:val="006405C0"/>
    <w:rsid w:val="006408D0"/>
    <w:rsid w:val="00640E86"/>
    <w:rsid w:val="0064147C"/>
    <w:rsid w:val="00641666"/>
    <w:rsid w:val="00642021"/>
    <w:rsid w:val="00642445"/>
    <w:rsid w:val="00642574"/>
    <w:rsid w:val="00642856"/>
    <w:rsid w:val="0064288A"/>
    <w:rsid w:val="006428B8"/>
    <w:rsid w:val="006429A4"/>
    <w:rsid w:val="00642F62"/>
    <w:rsid w:val="0064310F"/>
    <w:rsid w:val="0064348B"/>
    <w:rsid w:val="00643644"/>
    <w:rsid w:val="0064388D"/>
    <w:rsid w:val="00643A4D"/>
    <w:rsid w:val="00643B7D"/>
    <w:rsid w:val="00644044"/>
    <w:rsid w:val="006442D7"/>
    <w:rsid w:val="0064450D"/>
    <w:rsid w:val="00644844"/>
    <w:rsid w:val="00644937"/>
    <w:rsid w:val="00644CE7"/>
    <w:rsid w:val="00644EB5"/>
    <w:rsid w:val="006450D5"/>
    <w:rsid w:val="006457DE"/>
    <w:rsid w:val="00645AEE"/>
    <w:rsid w:val="00645BE0"/>
    <w:rsid w:val="00645C00"/>
    <w:rsid w:val="00645EBB"/>
    <w:rsid w:val="006467B1"/>
    <w:rsid w:val="00646B7C"/>
    <w:rsid w:val="00646CAB"/>
    <w:rsid w:val="0064709B"/>
    <w:rsid w:val="00647119"/>
    <w:rsid w:val="00647383"/>
    <w:rsid w:val="00647384"/>
    <w:rsid w:val="006475F9"/>
    <w:rsid w:val="006478E7"/>
    <w:rsid w:val="00647949"/>
    <w:rsid w:val="00647C0F"/>
    <w:rsid w:val="00647D0F"/>
    <w:rsid w:val="00647EA9"/>
    <w:rsid w:val="0065034B"/>
    <w:rsid w:val="006505BD"/>
    <w:rsid w:val="006509D5"/>
    <w:rsid w:val="00650BC6"/>
    <w:rsid w:val="006512F7"/>
    <w:rsid w:val="00651358"/>
    <w:rsid w:val="00651957"/>
    <w:rsid w:val="00651A17"/>
    <w:rsid w:val="00651A32"/>
    <w:rsid w:val="00651C02"/>
    <w:rsid w:val="00651C97"/>
    <w:rsid w:val="00651E2C"/>
    <w:rsid w:val="0065205D"/>
    <w:rsid w:val="006520FD"/>
    <w:rsid w:val="0065211D"/>
    <w:rsid w:val="00652AB6"/>
    <w:rsid w:val="00652AFA"/>
    <w:rsid w:val="00652AFE"/>
    <w:rsid w:val="00652B34"/>
    <w:rsid w:val="00652E48"/>
    <w:rsid w:val="006530B1"/>
    <w:rsid w:val="00653344"/>
    <w:rsid w:val="006533D3"/>
    <w:rsid w:val="006536E4"/>
    <w:rsid w:val="00653710"/>
    <w:rsid w:val="0065390E"/>
    <w:rsid w:val="0065398E"/>
    <w:rsid w:val="00653AD1"/>
    <w:rsid w:val="00654428"/>
    <w:rsid w:val="0065460B"/>
    <w:rsid w:val="00654848"/>
    <w:rsid w:val="00654A88"/>
    <w:rsid w:val="00654B06"/>
    <w:rsid w:val="00654BC5"/>
    <w:rsid w:val="00654C11"/>
    <w:rsid w:val="00654F9E"/>
    <w:rsid w:val="006556BA"/>
    <w:rsid w:val="00655C14"/>
    <w:rsid w:val="00655F01"/>
    <w:rsid w:val="00655FD0"/>
    <w:rsid w:val="00656124"/>
    <w:rsid w:val="006564CF"/>
    <w:rsid w:val="006565C4"/>
    <w:rsid w:val="0065684D"/>
    <w:rsid w:val="00656A33"/>
    <w:rsid w:val="00656B29"/>
    <w:rsid w:val="00656C42"/>
    <w:rsid w:val="006570DA"/>
    <w:rsid w:val="00657154"/>
    <w:rsid w:val="00657331"/>
    <w:rsid w:val="006575AB"/>
    <w:rsid w:val="00657609"/>
    <w:rsid w:val="006576A0"/>
    <w:rsid w:val="0065778A"/>
    <w:rsid w:val="00657FA8"/>
    <w:rsid w:val="00660144"/>
    <w:rsid w:val="006601C7"/>
    <w:rsid w:val="00660861"/>
    <w:rsid w:val="00660872"/>
    <w:rsid w:val="00660990"/>
    <w:rsid w:val="00660DBF"/>
    <w:rsid w:val="00660E19"/>
    <w:rsid w:val="006613A1"/>
    <w:rsid w:val="006614AC"/>
    <w:rsid w:val="00661929"/>
    <w:rsid w:val="00661B9D"/>
    <w:rsid w:val="006623EB"/>
    <w:rsid w:val="00662AF7"/>
    <w:rsid w:val="00662C5F"/>
    <w:rsid w:val="00662C86"/>
    <w:rsid w:val="00662F1B"/>
    <w:rsid w:val="006630E7"/>
    <w:rsid w:val="00663219"/>
    <w:rsid w:val="006632ED"/>
    <w:rsid w:val="006633B0"/>
    <w:rsid w:val="006638A0"/>
    <w:rsid w:val="006638B9"/>
    <w:rsid w:val="006639FE"/>
    <w:rsid w:val="00663A42"/>
    <w:rsid w:val="00663CE5"/>
    <w:rsid w:val="00663E5A"/>
    <w:rsid w:val="00664203"/>
    <w:rsid w:val="006643CF"/>
    <w:rsid w:val="00664404"/>
    <w:rsid w:val="0066475E"/>
    <w:rsid w:val="00664982"/>
    <w:rsid w:val="00664A5B"/>
    <w:rsid w:val="00664C1E"/>
    <w:rsid w:val="00664D02"/>
    <w:rsid w:val="00664E85"/>
    <w:rsid w:val="00665CE7"/>
    <w:rsid w:val="00666378"/>
    <w:rsid w:val="006663CF"/>
    <w:rsid w:val="006663F2"/>
    <w:rsid w:val="0066644B"/>
    <w:rsid w:val="0066645E"/>
    <w:rsid w:val="006668CB"/>
    <w:rsid w:val="00666CAD"/>
    <w:rsid w:val="00666D3A"/>
    <w:rsid w:val="00666F8A"/>
    <w:rsid w:val="00667008"/>
    <w:rsid w:val="006671E9"/>
    <w:rsid w:val="006671EA"/>
    <w:rsid w:val="0066721C"/>
    <w:rsid w:val="00667512"/>
    <w:rsid w:val="00667935"/>
    <w:rsid w:val="00667AF0"/>
    <w:rsid w:val="00667B2F"/>
    <w:rsid w:val="00667B44"/>
    <w:rsid w:val="00667E71"/>
    <w:rsid w:val="00667F4B"/>
    <w:rsid w:val="006703C4"/>
    <w:rsid w:val="00670474"/>
    <w:rsid w:val="00670B34"/>
    <w:rsid w:val="00670C6C"/>
    <w:rsid w:val="00670C91"/>
    <w:rsid w:val="006715CA"/>
    <w:rsid w:val="00671F76"/>
    <w:rsid w:val="006721CA"/>
    <w:rsid w:val="00672341"/>
    <w:rsid w:val="0067248F"/>
    <w:rsid w:val="0067256C"/>
    <w:rsid w:val="006727C1"/>
    <w:rsid w:val="0067294F"/>
    <w:rsid w:val="00672D01"/>
    <w:rsid w:val="006732D1"/>
    <w:rsid w:val="00673425"/>
    <w:rsid w:val="006735D7"/>
    <w:rsid w:val="006736BC"/>
    <w:rsid w:val="00673EDC"/>
    <w:rsid w:val="0067401E"/>
    <w:rsid w:val="0067411A"/>
    <w:rsid w:val="00674148"/>
    <w:rsid w:val="00674357"/>
    <w:rsid w:val="0067437E"/>
    <w:rsid w:val="006745FF"/>
    <w:rsid w:val="00674774"/>
    <w:rsid w:val="006748F4"/>
    <w:rsid w:val="00674C0E"/>
    <w:rsid w:val="00674DE7"/>
    <w:rsid w:val="00674F93"/>
    <w:rsid w:val="00675862"/>
    <w:rsid w:val="006759A6"/>
    <w:rsid w:val="00676141"/>
    <w:rsid w:val="006764D1"/>
    <w:rsid w:val="00676547"/>
    <w:rsid w:val="006765C5"/>
    <w:rsid w:val="006766AA"/>
    <w:rsid w:val="00676796"/>
    <w:rsid w:val="00676A0F"/>
    <w:rsid w:val="006775AB"/>
    <w:rsid w:val="00677822"/>
    <w:rsid w:val="00677989"/>
    <w:rsid w:val="00677AE3"/>
    <w:rsid w:val="00677D8D"/>
    <w:rsid w:val="00680255"/>
    <w:rsid w:val="0068043F"/>
    <w:rsid w:val="006805BE"/>
    <w:rsid w:val="006808CF"/>
    <w:rsid w:val="00680CB7"/>
    <w:rsid w:val="00681B69"/>
    <w:rsid w:val="00681C49"/>
    <w:rsid w:val="00682055"/>
    <w:rsid w:val="0068211D"/>
    <w:rsid w:val="00682289"/>
    <w:rsid w:val="00682608"/>
    <w:rsid w:val="00682815"/>
    <w:rsid w:val="006829B9"/>
    <w:rsid w:val="00682AB2"/>
    <w:rsid w:val="00682B84"/>
    <w:rsid w:val="00682BB3"/>
    <w:rsid w:val="00682BC4"/>
    <w:rsid w:val="00682DBB"/>
    <w:rsid w:val="0068308F"/>
    <w:rsid w:val="0068357E"/>
    <w:rsid w:val="006838B7"/>
    <w:rsid w:val="00683AE6"/>
    <w:rsid w:val="00683BD5"/>
    <w:rsid w:val="00683BF2"/>
    <w:rsid w:val="00683D7B"/>
    <w:rsid w:val="00683DA4"/>
    <w:rsid w:val="006840F8"/>
    <w:rsid w:val="00684610"/>
    <w:rsid w:val="006846C6"/>
    <w:rsid w:val="00684AE4"/>
    <w:rsid w:val="00684CC2"/>
    <w:rsid w:val="00684DE9"/>
    <w:rsid w:val="00684EBD"/>
    <w:rsid w:val="00684F65"/>
    <w:rsid w:val="00684F9B"/>
    <w:rsid w:val="00684FA3"/>
    <w:rsid w:val="00685173"/>
    <w:rsid w:val="00685355"/>
    <w:rsid w:val="00685582"/>
    <w:rsid w:val="00685BAA"/>
    <w:rsid w:val="00685EE3"/>
    <w:rsid w:val="0068651C"/>
    <w:rsid w:val="0068666D"/>
    <w:rsid w:val="006866B0"/>
    <w:rsid w:val="00686BB3"/>
    <w:rsid w:val="00686C93"/>
    <w:rsid w:val="00686DF0"/>
    <w:rsid w:val="00686E04"/>
    <w:rsid w:val="00686EED"/>
    <w:rsid w:val="00686FD1"/>
    <w:rsid w:val="0068704A"/>
    <w:rsid w:val="006874F6"/>
    <w:rsid w:val="00687B65"/>
    <w:rsid w:val="00687BC9"/>
    <w:rsid w:val="00687EDD"/>
    <w:rsid w:val="00687F22"/>
    <w:rsid w:val="0069002D"/>
    <w:rsid w:val="006900C7"/>
    <w:rsid w:val="00690364"/>
    <w:rsid w:val="00690614"/>
    <w:rsid w:val="00690813"/>
    <w:rsid w:val="0069099F"/>
    <w:rsid w:val="00691094"/>
    <w:rsid w:val="0069124E"/>
    <w:rsid w:val="00691839"/>
    <w:rsid w:val="00691930"/>
    <w:rsid w:val="00691A1F"/>
    <w:rsid w:val="00691C5E"/>
    <w:rsid w:val="006920CE"/>
    <w:rsid w:val="0069214F"/>
    <w:rsid w:val="006923B1"/>
    <w:rsid w:val="006924C6"/>
    <w:rsid w:val="006924E0"/>
    <w:rsid w:val="00692622"/>
    <w:rsid w:val="0069265A"/>
    <w:rsid w:val="006926E0"/>
    <w:rsid w:val="00692806"/>
    <w:rsid w:val="00692861"/>
    <w:rsid w:val="00692A0F"/>
    <w:rsid w:val="00692C43"/>
    <w:rsid w:val="00693173"/>
    <w:rsid w:val="00693201"/>
    <w:rsid w:val="006934A5"/>
    <w:rsid w:val="006934CD"/>
    <w:rsid w:val="0069389A"/>
    <w:rsid w:val="00693C4C"/>
    <w:rsid w:val="00693FEB"/>
    <w:rsid w:val="0069420F"/>
    <w:rsid w:val="00694424"/>
    <w:rsid w:val="0069447D"/>
    <w:rsid w:val="006944AE"/>
    <w:rsid w:val="00694706"/>
    <w:rsid w:val="006947F3"/>
    <w:rsid w:val="006948BC"/>
    <w:rsid w:val="00694A85"/>
    <w:rsid w:val="00694B9C"/>
    <w:rsid w:val="00694CE2"/>
    <w:rsid w:val="00694EB0"/>
    <w:rsid w:val="006950E1"/>
    <w:rsid w:val="00695375"/>
    <w:rsid w:val="006953DA"/>
    <w:rsid w:val="0069545F"/>
    <w:rsid w:val="0069550C"/>
    <w:rsid w:val="00695682"/>
    <w:rsid w:val="006956D3"/>
    <w:rsid w:val="00695845"/>
    <w:rsid w:val="00695865"/>
    <w:rsid w:val="00695898"/>
    <w:rsid w:val="006959B4"/>
    <w:rsid w:val="0069633F"/>
    <w:rsid w:val="00696939"/>
    <w:rsid w:val="00696A79"/>
    <w:rsid w:val="006970E9"/>
    <w:rsid w:val="006971CE"/>
    <w:rsid w:val="006976F9"/>
    <w:rsid w:val="00697C00"/>
    <w:rsid w:val="00697EB1"/>
    <w:rsid w:val="006A0081"/>
    <w:rsid w:val="006A03C5"/>
    <w:rsid w:val="006A050A"/>
    <w:rsid w:val="006A0529"/>
    <w:rsid w:val="006A0669"/>
    <w:rsid w:val="006A06A9"/>
    <w:rsid w:val="006A0A74"/>
    <w:rsid w:val="006A0C4D"/>
    <w:rsid w:val="006A1294"/>
    <w:rsid w:val="006A13CC"/>
    <w:rsid w:val="006A14A7"/>
    <w:rsid w:val="006A1643"/>
    <w:rsid w:val="006A1CBF"/>
    <w:rsid w:val="006A1F7F"/>
    <w:rsid w:val="006A209F"/>
    <w:rsid w:val="006A2445"/>
    <w:rsid w:val="006A24BF"/>
    <w:rsid w:val="006A26A6"/>
    <w:rsid w:val="006A2B4D"/>
    <w:rsid w:val="006A2DCD"/>
    <w:rsid w:val="006A3072"/>
    <w:rsid w:val="006A32BE"/>
    <w:rsid w:val="006A354B"/>
    <w:rsid w:val="006A3878"/>
    <w:rsid w:val="006A3C94"/>
    <w:rsid w:val="006A419E"/>
    <w:rsid w:val="006A4305"/>
    <w:rsid w:val="006A43C0"/>
    <w:rsid w:val="006A43F8"/>
    <w:rsid w:val="006A467F"/>
    <w:rsid w:val="006A4F1A"/>
    <w:rsid w:val="006A524A"/>
    <w:rsid w:val="006A53C9"/>
    <w:rsid w:val="006A544D"/>
    <w:rsid w:val="006A5554"/>
    <w:rsid w:val="006A5656"/>
    <w:rsid w:val="006A56F3"/>
    <w:rsid w:val="006A595C"/>
    <w:rsid w:val="006A59A9"/>
    <w:rsid w:val="006A5E98"/>
    <w:rsid w:val="006A5ED2"/>
    <w:rsid w:val="006A600D"/>
    <w:rsid w:val="006A62B4"/>
    <w:rsid w:val="006A63DC"/>
    <w:rsid w:val="006A63F9"/>
    <w:rsid w:val="006A63FC"/>
    <w:rsid w:val="006A674B"/>
    <w:rsid w:val="006A6A81"/>
    <w:rsid w:val="006A6A9C"/>
    <w:rsid w:val="006A6DF1"/>
    <w:rsid w:val="006A6FF3"/>
    <w:rsid w:val="006A72CF"/>
    <w:rsid w:val="006A73B7"/>
    <w:rsid w:val="006A7487"/>
    <w:rsid w:val="006A78D3"/>
    <w:rsid w:val="006A7E42"/>
    <w:rsid w:val="006A7FE1"/>
    <w:rsid w:val="006B02E7"/>
    <w:rsid w:val="006B05E0"/>
    <w:rsid w:val="006B0670"/>
    <w:rsid w:val="006B09B0"/>
    <w:rsid w:val="006B0A78"/>
    <w:rsid w:val="006B0ABA"/>
    <w:rsid w:val="006B0B33"/>
    <w:rsid w:val="006B0BE4"/>
    <w:rsid w:val="006B0D4A"/>
    <w:rsid w:val="006B15BD"/>
    <w:rsid w:val="006B1A38"/>
    <w:rsid w:val="006B1D1D"/>
    <w:rsid w:val="006B1DE9"/>
    <w:rsid w:val="006B1F34"/>
    <w:rsid w:val="006B2326"/>
    <w:rsid w:val="006B23DE"/>
    <w:rsid w:val="006B25D5"/>
    <w:rsid w:val="006B2647"/>
    <w:rsid w:val="006B2895"/>
    <w:rsid w:val="006B2DD6"/>
    <w:rsid w:val="006B3631"/>
    <w:rsid w:val="006B384D"/>
    <w:rsid w:val="006B38E5"/>
    <w:rsid w:val="006B3AD5"/>
    <w:rsid w:val="006B3DE1"/>
    <w:rsid w:val="006B3DED"/>
    <w:rsid w:val="006B4025"/>
    <w:rsid w:val="006B44B8"/>
    <w:rsid w:val="006B477F"/>
    <w:rsid w:val="006B4C6A"/>
    <w:rsid w:val="006B4E71"/>
    <w:rsid w:val="006B5180"/>
    <w:rsid w:val="006B5572"/>
    <w:rsid w:val="006B5740"/>
    <w:rsid w:val="006B5FC5"/>
    <w:rsid w:val="006B6259"/>
    <w:rsid w:val="006B6292"/>
    <w:rsid w:val="006B6492"/>
    <w:rsid w:val="006B6758"/>
    <w:rsid w:val="006B688D"/>
    <w:rsid w:val="006B6AC4"/>
    <w:rsid w:val="006B6D43"/>
    <w:rsid w:val="006B70F4"/>
    <w:rsid w:val="006B7189"/>
    <w:rsid w:val="006B7433"/>
    <w:rsid w:val="006B75ED"/>
    <w:rsid w:val="006B7841"/>
    <w:rsid w:val="006B7AA8"/>
    <w:rsid w:val="006B7AB4"/>
    <w:rsid w:val="006B7D12"/>
    <w:rsid w:val="006C004F"/>
    <w:rsid w:val="006C00C6"/>
    <w:rsid w:val="006C0362"/>
    <w:rsid w:val="006C04B4"/>
    <w:rsid w:val="006C05C4"/>
    <w:rsid w:val="006C0864"/>
    <w:rsid w:val="006C0A11"/>
    <w:rsid w:val="006C0F2E"/>
    <w:rsid w:val="006C11A5"/>
    <w:rsid w:val="006C15FD"/>
    <w:rsid w:val="006C16B7"/>
    <w:rsid w:val="006C1C4B"/>
    <w:rsid w:val="006C1F46"/>
    <w:rsid w:val="006C1F78"/>
    <w:rsid w:val="006C1FEA"/>
    <w:rsid w:val="006C1FF7"/>
    <w:rsid w:val="006C2233"/>
    <w:rsid w:val="006C23A9"/>
    <w:rsid w:val="006C2946"/>
    <w:rsid w:val="006C2B5C"/>
    <w:rsid w:val="006C2B76"/>
    <w:rsid w:val="006C2BC9"/>
    <w:rsid w:val="006C2BF6"/>
    <w:rsid w:val="006C2F47"/>
    <w:rsid w:val="006C2F63"/>
    <w:rsid w:val="006C3145"/>
    <w:rsid w:val="006C3316"/>
    <w:rsid w:val="006C3320"/>
    <w:rsid w:val="006C3374"/>
    <w:rsid w:val="006C354F"/>
    <w:rsid w:val="006C399C"/>
    <w:rsid w:val="006C3A18"/>
    <w:rsid w:val="006C3A58"/>
    <w:rsid w:val="006C3B20"/>
    <w:rsid w:val="006C3BB3"/>
    <w:rsid w:val="006C4242"/>
    <w:rsid w:val="006C4267"/>
    <w:rsid w:val="006C4804"/>
    <w:rsid w:val="006C4A0B"/>
    <w:rsid w:val="006C4B44"/>
    <w:rsid w:val="006C4D2D"/>
    <w:rsid w:val="006C5091"/>
    <w:rsid w:val="006C5151"/>
    <w:rsid w:val="006C58BC"/>
    <w:rsid w:val="006C5C60"/>
    <w:rsid w:val="006C62DC"/>
    <w:rsid w:val="006C6652"/>
    <w:rsid w:val="006C6B07"/>
    <w:rsid w:val="006C6EC0"/>
    <w:rsid w:val="006C6ED4"/>
    <w:rsid w:val="006C716C"/>
    <w:rsid w:val="006C76CD"/>
    <w:rsid w:val="006C77C2"/>
    <w:rsid w:val="006C78C5"/>
    <w:rsid w:val="006C7974"/>
    <w:rsid w:val="006C7AE7"/>
    <w:rsid w:val="006C7BD5"/>
    <w:rsid w:val="006C7C3B"/>
    <w:rsid w:val="006C7D31"/>
    <w:rsid w:val="006C7D9D"/>
    <w:rsid w:val="006C7E0D"/>
    <w:rsid w:val="006C7F25"/>
    <w:rsid w:val="006D079F"/>
    <w:rsid w:val="006D087A"/>
    <w:rsid w:val="006D0D16"/>
    <w:rsid w:val="006D0D76"/>
    <w:rsid w:val="006D0F97"/>
    <w:rsid w:val="006D10C3"/>
    <w:rsid w:val="006D129E"/>
    <w:rsid w:val="006D158D"/>
    <w:rsid w:val="006D167F"/>
    <w:rsid w:val="006D175F"/>
    <w:rsid w:val="006D18C2"/>
    <w:rsid w:val="006D1B9F"/>
    <w:rsid w:val="006D1E1F"/>
    <w:rsid w:val="006D24D0"/>
    <w:rsid w:val="006D2C6B"/>
    <w:rsid w:val="006D2E67"/>
    <w:rsid w:val="006D2E86"/>
    <w:rsid w:val="006D3077"/>
    <w:rsid w:val="006D3B16"/>
    <w:rsid w:val="006D3BF3"/>
    <w:rsid w:val="006D4650"/>
    <w:rsid w:val="006D4AB6"/>
    <w:rsid w:val="006D4C5C"/>
    <w:rsid w:val="006D4F31"/>
    <w:rsid w:val="006D529C"/>
    <w:rsid w:val="006D53F4"/>
    <w:rsid w:val="006D5447"/>
    <w:rsid w:val="006D5D7B"/>
    <w:rsid w:val="006D5FCB"/>
    <w:rsid w:val="006D6503"/>
    <w:rsid w:val="006D6932"/>
    <w:rsid w:val="006D69A3"/>
    <w:rsid w:val="006D6AE2"/>
    <w:rsid w:val="006D6BDE"/>
    <w:rsid w:val="006D6FD3"/>
    <w:rsid w:val="006D7099"/>
    <w:rsid w:val="006D716F"/>
    <w:rsid w:val="006D74A9"/>
    <w:rsid w:val="006D77D7"/>
    <w:rsid w:val="006D780D"/>
    <w:rsid w:val="006D7896"/>
    <w:rsid w:val="006D7D53"/>
    <w:rsid w:val="006D7E01"/>
    <w:rsid w:val="006D7FE8"/>
    <w:rsid w:val="006E054C"/>
    <w:rsid w:val="006E058A"/>
    <w:rsid w:val="006E05B3"/>
    <w:rsid w:val="006E0610"/>
    <w:rsid w:val="006E0D42"/>
    <w:rsid w:val="006E0E30"/>
    <w:rsid w:val="006E1076"/>
    <w:rsid w:val="006E1370"/>
    <w:rsid w:val="006E1506"/>
    <w:rsid w:val="006E17FF"/>
    <w:rsid w:val="006E1B65"/>
    <w:rsid w:val="006E1CB1"/>
    <w:rsid w:val="006E1EE1"/>
    <w:rsid w:val="006E2347"/>
    <w:rsid w:val="006E2E67"/>
    <w:rsid w:val="006E2F7F"/>
    <w:rsid w:val="006E2FAD"/>
    <w:rsid w:val="006E301E"/>
    <w:rsid w:val="006E3094"/>
    <w:rsid w:val="006E313C"/>
    <w:rsid w:val="006E338F"/>
    <w:rsid w:val="006E3547"/>
    <w:rsid w:val="006E37B1"/>
    <w:rsid w:val="006E39B2"/>
    <w:rsid w:val="006E4066"/>
    <w:rsid w:val="006E43B8"/>
    <w:rsid w:val="006E43CF"/>
    <w:rsid w:val="006E4444"/>
    <w:rsid w:val="006E498E"/>
    <w:rsid w:val="006E49CE"/>
    <w:rsid w:val="006E4A22"/>
    <w:rsid w:val="006E4A67"/>
    <w:rsid w:val="006E52AF"/>
    <w:rsid w:val="006E546F"/>
    <w:rsid w:val="006E5680"/>
    <w:rsid w:val="006E5700"/>
    <w:rsid w:val="006E5A84"/>
    <w:rsid w:val="006E5C3C"/>
    <w:rsid w:val="006E5EF0"/>
    <w:rsid w:val="006E5FCD"/>
    <w:rsid w:val="006E6171"/>
    <w:rsid w:val="006E61D8"/>
    <w:rsid w:val="006E62D3"/>
    <w:rsid w:val="006E6326"/>
    <w:rsid w:val="006E6806"/>
    <w:rsid w:val="006E6FAE"/>
    <w:rsid w:val="006E7130"/>
    <w:rsid w:val="006E7153"/>
    <w:rsid w:val="006E71F2"/>
    <w:rsid w:val="006E7585"/>
    <w:rsid w:val="006E7C40"/>
    <w:rsid w:val="006E7C5C"/>
    <w:rsid w:val="006E7D2C"/>
    <w:rsid w:val="006F0116"/>
    <w:rsid w:val="006F01C4"/>
    <w:rsid w:val="006F0397"/>
    <w:rsid w:val="006F09F7"/>
    <w:rsid w:val="006F0A90"/>
    <w:rsid w:val="006F0D3D"/>
    <w:rsid w:val="006F0EF0"/>
    <w:rsid w:val="006F1314"/>
    <w:rsid w:val="006F1530"/>
    <w:rsid w:val="006F1872"/>
    <w:rsid w:val="006F19F3"/>
    <w:rsid w:val="006F1B24"/>
    <w:rsid w:val="006F1C98"/>
    <w:rsid w:val="006F1DB8"/>
    <w:rsid w:val="006F21A5"/>
    <w:rsid w:val="006F2298"/>
    <w:rsid w:val="006F2499"/>
    <w:rsid w:val="006F2572"/>
    <w:rsid w:val="006F26EB"/>
    <w:rsid w:val="006F2707"/>
    <w:rsid w:val="006F289D"/>
    <w:rsid w:val="006F2B2B"/>
    <w:rsid w:val="006F2CEE"/>
    <w:rsid w:val="006F2E80"/>
    <w:rsid w:val="006F304B"/>
    <w:rsid w:val="006F30D3"/>
    <w:rsid w:val="006F349E"/>
    <w:rsid w:val="006F3719"/>
    <w:rsid w:val="006F3D55"/>
    <w:rsid w:val="006F4344"/>
    <w:rsid w:val="006F466D"/>
    <w:rsid w:val="006F544D"/>
    <w:rsid w:val="006F54AE"/>
    <w:rsid w:val="006F55E0"/>
    <w:rsid w:val="006F5AA3"/>
    <w:rsid w:val="006F5B4C"/>
    <w:rsid w:val="006F5E4C"/>
    <w:rsid w:val="006F5F9B"/>
    <w:rsid w:val="006F6118"/>
    <w:rsid w:val="006F6174"/>
    <w:rsid w:val="006F6290"/>
    <w:rsid w:val="006F62D2"/>
    <w:rsid w:val="006F632E"/>
    <w:rsid w:val="006F6547"/>
    <w:rsid w:val="006F767C"/>
    <w:rsid w:val="006F794D"/>
    <w:rsid w:val="006F7AFF"/>
    <w:rsid w:val="006F7C65"/>
    <w:rsid w:val="006F7C72"/>
    <w:rsid w:val="006F7E3F"/>
    <w:rsid w:val="006F7F5D"/>
    <w:rsid w:val="006F7F9A"/>
    <w:rsid w:val="0070020B"/>
    <w:rsid w:val="00700419"/>
    <w:rsid w:val="007008EA"/>
    <w:rsid w:val="00700C80"/>
    <w:rsid w:val="00700DB9"/>
    <w:rsid w:val="00700EA1"/>
    <w:rsid w:val="00700EC7"/>
    <w:rsid w:val="00700F9D"/>
    <w:rsid w:val="00701ACB"/>
    <w:rsid w:val="00702593"/>
    <w:rsid w:val="00702605"/>
    <w:rsid w:val="00702CF9"/>
    <w:rsid w:val="00702F7C"/>
    <w:rsid w:val="0070353B"/>
    <w:rsid w:val="00703908"/>
    <w:rsid w:val="00703939"/>
    <w:rsid w:val="00703E23"/>
    <w:rsid w:val="00703E99"/>
    <w:rsid w:val="00704327"/>
    <w:rsid w:val="0070439B"/>
    <w:rsid w:val="007043BD"/>
    <w:rsid w:val="00704525"/>
    <w:rsid w:val="00704983"/>
    <w:rsid w:val="00704BBA"/>
    <w:rsid w:val="00704C03"/>
    <w:rsid w:val="00704E6A"/>
    <w:rsid w:val="0070514E"/>
    <w:rsid w:val="00705225"/>
    <w:rsid w:val="00705261"/>
    <w:rsid w:val="007053DF"/>
    <w:rsid w:val="007055CD"/>
    <w:rsid w:val="00705680"/>
    <w:rsid w:val="00705C02"/>
    <w:rsid w:val="00706327"/>
    <w:rsid w:val="0070636D"/>
    <w:rsid w:val="00706AF5"/>
    <w:rsid w:val="00706B73"/>
    <w:rsid w:val="00706C0C"/>
    <w:rsid w:val="00706EF4"/>
    <w:rsid w:val="00707241"/>
    <w:rsid w:val="00707292"/>
    <w:rsid w:val="007076C9"/>
    <w:rsid w:val="00707BD2"/>
    <w:rsid w:val="007100F1"/>
    <w:rsid w:val="00710391"/>
    <w:rsid w:val="0071063E"/>
    <w:rsid w:val="0071083F"/>
    <w:rsid w:val="007108EA"/>
    <w:rsid w:val="00710926"/>
    <w:rsid w:val="00710ACE"/>
    <w:rsid w:val="007111F1"/>
    <w:rsid w:val="00711291"/>
    <w:rsid w:val="007115D9"/>
    <w:rsid w:val="00711B3B"/>
    <w:rsid w:val="00711DEA"/>
    <w:rsid w:val="00712458"/>
    <w:rsid w:val="00712641"/>
    <w:rsid w:val="0071282F"/>
    <w:rsid w:val="0071286A"/>
    <w:rsid w:val="007128E4"/>
    <w:rsid w:val="0071293E"/>
    <w:rsid w:val="00712D34"/>
    <w:rsid w:val="0071313F"/>
    <w:rsid w:val="007132CB"/>
    <w:rsid w:val="00713717"/>
    <w:rsid w:val="00713728"/>
    <w:rsid w:val="00713D74"/>
    <w:rsid w:val="00713E2B"/>
    <w:rsid w:val="00713EA9"/>
    <w:rsid w:val="00713EDD"/>
    <w:rsid w:val="00714063"/>
    <w:rsid w:val="007140CD"/>
    <w:rsid w:val="00714108"/>
    <w:rsid w:val="0071456E"/>
    <w:rsid w:val="00714816"/>
    <w:rsid w:val="00714A9F"/>
    <w:rsid w:val="00714E71"/>
    <w:rsid w:val="007157E8"/>
    <w:rsid w:val="00715C31"/>
    <w:rsid w:val="0071618A"/>
    <w:rsid w:val="00716319"/>
    <w:rsid w:val="00716361"/>
    <w:rsid w:val="007163B1"/>
    <w:rsid w:val="007166D1"/>
    <w:rsid w:val="007167B4"/>
    <w:rsid w:val="00716983"/>
    <w:rsid w:val="00716D09"/>
    <w:rsid w:val="00716F19"/>
    <w:rsid w:val="00717410"/>
    <w:rsid w:val="00717443"/>
    <w:rsid w:val="0071744C"/>
    <w:rsid w:val="00717579"/>
    <w:rsid w:val="007177BF"/>
    <w:rsid w:val="007178C6"/>
    <w:rsid w:val="00717CB4"/>
    <w:rsid w:val="00720172"/>
    <w:rsid w:val="0072019A"/>
    <w:rsid w:val="00720305"/>
    <w:rsid w:val="00720346"/>
    <w:rsid w:val="007208AC"/>
    <w:rsid w:val="007208AD"/>
    <w:rsid w:val="00720D59"/>
    <w:rsid w:val="007210CB"/>
    <w:rsid w:val="00721432"/>
    <w:rsid w:val="00721B0D"/>
    <w:rsid w:val="00721D48"/>
    <w:rsid w:val="007220FC"/>
    <w:rsid w:val="007228C2"/>
    <w:rsid w:val="00722EDB"/>
    <w:rsid w:val="00723006"/>
    <w:rsid w:val="0072320E"/>
    <w:rsid w:val="00723256"/>
    <w:rsid w:val="00723369"/>
    <w:rsid w:val="007234AE"/>
    <w:rsid w:val="007236D5"/>
    <w:rsid w:val="00723738"/>
    <w:rsid w:val="0072377B"/>
    <w:rsid w:val="007239C6"/>
    <w:rsid w:val="00723E0A"/>
    <w:rsid w:val="007242B4"/>
    <w:rsid w:val="00724402"/>
    <w:rsid w:val="00724AAC"/>
    <w:rsid w:val="00724DBF"/>
    <w:rsid w:val="0072509B"/>
    <w:rsid w:val="00725496"/>
    <w:rsid w:val="007255B7"/>
    <w:rsid w:val="007255EE"/>
    <w:rsid w:val="00725686"/>
    <w:rsid w:val="00725734"/>
    <w:rsid w:val="00725773"/>
    <w:rsid w:val="007259B9"/>
    <w:rsid w:val="00725DD6"/>
    <w:rsid w:val="00725F90"/>
    <w:rsid w:val="00726295"/>
    <w:rsid w:val="007263B4"/>
    <w:rsid w:val="007265BD"/>
    <w:rsid w:val="007265E7"/>
    <w:rsid w:val="00726A08"/>
    <w:rsid w:val="0072701E"/>
    <w:rsid w:val="007271A3"/>
    <w:rsid w:val="0072726C"/>
    <w:rsid w:val="00727317"/>
    <w:rsid w:val="00727545"/>
    <w:rsid w:val="007276FE"/>
    <w:rsid w:val="0072770D"/>
    <w:rsid w:val="00727F14"/>
    <w:rsid w:val="00730314"/>
    <w:rsid w:val="00730467"/>
    <w:rsid w:val="007306C5"/>
    <w:rsid w:val="00730801"/>
    <w:rsid w:val="00730949"/>
    <w:rsid w:val="007309A0"/>
    <w:rsid w:val="00730C61"/>
    <w:rsid w:val="00730CA0"/>
    <w:rsid w:val="00730D8E"/>
    <w:rsid w:val="00730F9A"/>
    <w:rsid w:val="00731074"/>
    <w:rsid w:val="0073190F"/>
    <w:rsid w:val="00731AEF"/>
    <w:rsid w:val="00731C22"/>
    <w:rsid w:val="00731C39"/>
    <w:rsid w:val="00731E9A"/>
    <w:rsid w:val="00731F64"/>
    <w:rsid w:val="00731FBE"/>
    <w:rsid w:val="007321C9"/>
    <w:rsid w:val="00732541"/>
    <w:rsid w:val="0073272A"/>
    <w:rsid w:val="00732B57"/>
    <w:rsid w:val="00732BE9"/>
    <w:rsid w:val="00732BF9"/>
    <w:rsid w:val="00732C9F"/>
    <w:rsid w:val="007331F7"/>
    <w:rsid w:val="00733272"/>
    <w:rsid w:val="00733AFB"/>
    <w:rsid w:val="00733BAB"/>
    <w:rsid w:val="00733E69"/>
    <w:rsid w:val="007343E5"/>
    <w:rsid w:val="0073461D"/>
    <w:rsid w:val="00734891"/>
    <w:rsid w:val="00734B98"/>
    <w:rsid w:val="00734D69"/>
    <w:rsid w:val="00734DD7"/>
    <w:rsid w:val="007359EA"/>
    <w:rsid w:val="00735A6C"/>
    <w:rsid w:val="00735DEC"/>
    <w:rsid w:val="00735F24"/>
    <w:rsid w:val="007364B6"/>
    <w:rsid w:val="007368FF"/>
    <w:rsid w:val="00736C3F"/>
    <w:rsid w:val="00736D69"/>
    <w:rsid w:val="00736F41"/>
    <w:rsid w:val="00736F46"/>
    <w:rsid w:val="00736FE6"/>
    <w:rsid w:val="007371DE"/>
    <w:rsid w:val="00737397"/>
    <w:rsid w:val="00737CEE"/>
    <w:rsid w:val="00737E63"/>
    <w:rsid w:val="00737E91"/>
    <w:rsid w:val="00737EC1"/>
    <w:rsid w:val="007401FE"/>
    <w:rsid w:val="0074068E"/>
    <w:rsid w:val="0074091D"/>
    <w:rsid w:val="00740FA7"/>
    <w:rsid w:val="0074102F"/>
    <w:rsid w:val="007411D6"/>
    <w:rsid w:val="0074146B"/>
    <w:rsid w:val="007414DA"/>
    <w:rsid w:val="00741740"/>
    <w:rsid w:val="00741848"/>
    <w:rsid w:val="00741F3E"/>
    <w:rsid w:val="00742023"/>
    <w:rsid w:val="007421EB"/>
    <w:rsid w:val="00742273"/>
    <w:rsid w:val="0074256F"/>
    <w:rsid w:val="007428C3"/>
    <w:rsid w:val="00742B2E"/>
    <w:rsid w:val="00742E1F"/>
    <w:rsid w:val="00742E43"/>
    <w:rsid w:val="00742F1F"/>
    <w:rsid w:val="0074307F"/>
    <w:rsid w:val="007430FB"/>
    <w:rsid w:val="00743131"/>
    <w:rsid w:val="007432B2"/>
    <w:rsid w:val="0074372D"/>
    <w:rsid w:val="0074375C"/>
    <w:rsid w:val="007437D1"/>
    <w:rsid w:val="00743D9A"/>
    <w:rsid w:val="0074400D"/>
    <w:rsid w:val="00744309"/>
    <w:rsid w:val="007445E3"/>
    <w:rsid w:val="007446E9"/>
    <w:rsid w:val="0074494B"/>
    <w:rsid w:val="00744BFB"/>
    <w:rsid w:val="00744F27"/>
    <w:rsid w:val="007450F6"/>
    <w:rsid w:val="00745532"/>
    <w:rsid w:val="0074555B"/>
    <w:rsid w:val="0074557C"/>
    <w:rsid w:val="0074568B"/>
    <w:rsid w:val="007458BD"/>
    <w:rsid w:val="0074597A"/>
    <w:rsid w:val="00745BC5"/>
    <w:rsid w:val="00745C1C"/>
    <w:rsid w:val="00745E34"/>
    <w:rsid w:val="0074625A"/>
    <w:rsid w:val="007466C3"/>
    <w:rsid w:val="007466CB"/>
    <w:rsid w:val="00747673"/>
    <w:rsid w:val="007476D0"/>
    <w:rsid w:val="00747726"/>
    <w:rsid w:val="007478D1"/>
    <w:rsid w:val="0074799E"/>
    <w:rsid w:val="00747CEE"/>
    <w:rsid w:val="00747D09"/>
    <w:rsid w:val="00747D41"/>
    <w:rsid w:val="00747FBC"/>
    <w:rsid w:val="007500A0"/>
    <w:rsid w:val="007500C3"/>
    <w:rsid w:val="007503A3"/>
    <w:rsid w:val="00750617"/>
    <w:rsid w:val="00750A26"/>
    <w:rsid w:val="00750B8A"/>
    <w:rsid w:val="00750BFF"/>
    <w:rsid w:val="00750C24"/>
    <w:rsid w:val="00750C32"/>
    <w:rsid w:val="00750DD5"/>
    <w:rsid w:val="00750EDD"/>
    <w:rsid w:val="0075151A"/>
    <w:rsid w:val="00751738"/>
    <w:rsid w:val="00751843"/>
    <w:rsid w:val="007518B9"/>
    <w:rsid w:val="00751DB3"/>
    <w:rsid w:val="00751E4C"/>
    <w:rsid w:val="00751E9E"/>
    <w:rsid w:val="00752141"/>
    <w:rsid w:val="00752468"/>
    <w:rsid w:val="0075262B"/>
    <w:rsid w:val="0075295F"/>
    <w:rsid w:val="0075308A"/>
    <w:rsid w:val="00753304"/>
    <w:rsid w:val="0075335C"/>
    <w:rsid w:val="0075341B"/>
    <w:rsid w:val="0075352B"/>
    <w:rsid w:val="00753533"/>
    <w:rsid w:val="00753794"/>
    <w:rsid w:val="007537CA"/>
    <w:rsid w:val="0075396D"/>
    <w:rsid w:val="00753F37"/>
    <w:rsid w:val="00753FC1"/>
    <w:rsid w:val="00754231"/>
    <w:rsid w:val="0075439E"/>
    <w:rsid w:val="00754582"/>
    <w:rsid w:val="007545C1"/>
    <w:rsid w:val="00754663"/>
    <w:rsid w:val="00754758"/>
    <w:rsid w:val="00754D3B"/>
    <w:rsid w:val="0075504A"/>
    <w:rsid w:val="007557BF"/>
    <w:rsid w:val="00755B65"/>
    <w:rsid w:val="00755FD8"/>
    <w:rsid w:val="00756684"/>
    <w:rsid w:val="007566B7"/>
    <w:rsid w:val="007568B8"/>
    <w:rsid w:val="007569D9"/>
    <w:rsid w:val="00757199"/>
    <w:rsid w:val="0075781E"/>
    <w:rsid w:val="00757B13"/>
    <w:rsid w:val="00757C23"/>
    <w:rsid w:val="00757D10"/>
    <w:rsid w:val="00757DE9"/>
    <w:rsid w:val="0076018D"/>
    <w:rsid w:val="00760215"/>
    <w:rsid w:val="007606F7"/>
    <w:rsid w:val="0076087F"/>
    <w:rsid w:val="007608C7"/>
    <w:rsid w:val="00760C9A"/>
    <w:rsid w:val="00760E02"/>
    <w:rsid w:val="00761026"/>
    <w:rsid w:val="00761283"/>
    <w:rsid w:val="007612FF"/>
    <w:rsid w:val="0076132A"/>
    <w:rsid w:val="00761618"/>
    <w:rsid w:val="0076190B"/>
    <w:rsid w:val="00761D8E"/>
    <w:rsid w:val="00761E6D"/>
    <w:rsid w:val="00761EB9"/>
    <w:rsid w:val="0076201D"/>
    <w:rsid w:val="0076207E"/>
    <w:rsid w:val="00762164"/>
    <w:rsid w:val="0076259C"/>
    <w:rsid w:val="00762C8E"/>
    <w:rsid w:val="00762D67"/>
    <w:rsid w:val="007632C4"/>
    <w:rsid w:val="0076336D"/>
    <w:rsid w:val="0076360B"/>
    <w:rsid w:val="00763A1A"/>
    <w:rsid w:val="00763A99"/>
    <w:rsid w:val="007643A1"/>
    <w:rsid w:val="0076474D"/>
    <w:rsid w:val="00764E21"/>
    <w:rsid w:val="00765204"/>
    <w:rsid w:val="00765971"/>
    <w:rsid w:val="007659DC"/>
    <w:rsid w:val="00765DE8"/>
    <w:rsid w:val="007660E1"/>
    <w:rsid w:val="0076618F"/>
    <w:rsid w:val="00766717"/>
    <w:rsid w:val="00766A30"/>
    <w:rsid w:val="00766D5C"/>
    <w:rsid w:val="00766DF9"/>
    <w:rsid w:val="00766E09"/>
    <w:rsid w:val="00766E2B"/>
    <w:rsid w:val="00766F79"/>
    <w:rsid w:val="00767128"/>
    <w:rsid w:val="00767184"/>
    <w:rsid w:val="007672D0"/>
    <w:rsid w:val="0076740E"/>
    <w:rsid w:val="007674C2"/>
    <w:rsid w:val="00767861"/>
    <w:rsid w:val="007679FE"/>
    <w:rsid w:val="00767F59"/>
    <w:rsid w:val="007705E5"/>
    <w:rsid w:val="00770B46"/>
    <w:rsid w:val="00770CAE"/>
    <w:rsid w:val="0077137A"/>
    <w:rsid w:val="007716AB"/>
    <w:rsid w:val="007716BD"/>
    <w:rsid w:val="00771828"/>
    <w:rsid w:val="00771B68"/>
    <w:rsid w:val="00771F1D"/>
    <w:rsid w:val="0077241A"/>
    <w:rsid w:val="00772459"/>
    <w:rsid w:val="00772482"/>
    <w:rsid w:val="0077265A"/>
    <w:rsid w:val="00772807"/>
    <w:rsid w:val="00772AA5"/>
    <w:rsid w:val="00772C87"/>
    <w:rsid w:val="00773028"/>
    <w:rsid w:val="007730BD"/>
    <w:rsid w:val="00773238"/>
    <w:rsid w:val="007734BC"/>
    <w:rsid w:val="007738B6"/>
    <w:rsid w:val="00773C4D"/>
    <w:rsid w:val="007743CA"/>
    <w:rsid w:val="00774594"/>
    <w:rsid w:val="00774D6F"/>
    <w:rsid w:val="00775099"/>
    <w:rsid w:val="0077546A"/>
    <w:rsid w:val="007755A2"/>
    <w:rsid w:val="00775708"/>
    <w:rsid w:val="007757A2"/>
    <w:rsid w:val="00775833"/>
    <w:rsid w:val="00775D86"/>
    <w:rsid w:val="00775DAF"/>
    <w:rsid w:val="00775FD6"/>
    <w:rsid w:val="00776126"/>
    <w:rsid w:val="007761CB"/>
    <w:rsid w:val="007763CE"/>
    <w:rsid w:val="0077695A"/>
    <w:rsid w:val="0077698B"/>
    <w:rsid w:val="00777078"/>
    <w:rsid w:val="00777208"/>
    <w:rsid w:val="007773A9"/>
    <w:rsid w:val="007773F4"/>
    <w:rsid w:val="00777797"/>
    <w:rsid w:val="00777A6E"/>
    <w:rsid w:val="00777F27"/>
    <w:rsid w:val="0078043B"/>
    <w:rsid w:val="00780BD1"/>
    <w:rsid w:val="00780EE3"/>
    <w:rsid w:val="00781221"/>
    <w:rsid w:val="0078140F"/>
    <w:rsid w:val="007815A2"/>
    <w:rsid w:val="007818A3"/>
    <w:rsid w:val="00781FE8"/>
    <w:rsid w:val="0078213D"/>
    <w:rsid w:val="007823D7"/>
    <w:rsid w:val="007824DC"/>
    <w:rsid w:val="00782D01"/>
    <w:rsid w:val="00782EB1"/>
    <w:rsid w:val="00782F69"/>
    <w:rsid w:val="0078341B"/>
    <w:rsid w:val="007835DA"/>
    <w:rsid w:val="00783604"/>
    <w:rsid w:val="00783643"/>
    <w:rsid w:val="00783980"/>
    <w:rsid w:val="00783AA0"/>
    <w:rsid w:val="00783CDE"/>
    <w:rsid w:val="00783F45"/>
    <w:rsid w:val="0078420E"/>
    <w:rsid w:val="007843BE"/>
    <w:rsid w:val="00784453"/>
    <w:rsid w:val="0078469A"/>
    <w:rsid w:val="007847D1"/>
    <w:rsid w:val="00784B81"/>
    <w:rsid w:val="00784C4B"/>
    <w:rsid w:val="00784D55"/>
    <w:rsid w:val="00784E5E"/>
    <w:rsid w:val="00784EF3"/>
    <w:rsid w:val="00785276"/>
    <w:rsid w:val="0078547E"/>
    <w:rsid w:val="007854D4"/>
    <w:rsid w:val="007854FC"/>
    <w:rsid w:val="007855D6"/>
    <w:rsid w:val="00785710"/>
    <w:rsid w:val="00785D5B"/>
    <w:rsid w:val="00786303"/>
    <w:rsid w:val="00786514"/>
    <w:rsid w:val="00786520"/>
    <w:rsid w:val="00786863"/>
    <w:rsid w:val="00786919"/>
    <w:rsid w:val="007869BE"/>
    <w:rsid w:val="00786A1B"/>
    <w:rsid w:val="00786A4F"/>
    <w:rsid w:val="007871F9"/>
    <w:rsid w:val="007872DA"/>
    <w:rsid w:val="0078733E"/>
    <w:rsid w:val="00787365"/>
    <w:rsid w:val="0078743F"/>
    <w:rsid w:val="007877DB"/>
    <w:rsid w:val="007879E7"/>
    <w:rsid w:val="0079024B"/>
    <w:rsid w:val="00790298"/>
    <w:rsid w:val="0079040B"/>
    <w:rsid w:val="007906B8"/>
    <w:rsid w:val="00790879"/>
    <w:rsid w:val="00790BF6"/>
    <w:rsid w:val="00790EFA"/>
    <w:rsid w:val="00791161"/>
    <w:rsid w:val="00791586"/>
    <w:rsid w:val="00791854"/>
    <w:rsid w:val="007923F5"/>
    <w:rsid w:val="00792CF2"/>
    <w:rsid w:val="00792DEC"/>
    <w:rsid w:val="007931C6"/>
    <w:rsid w:val="007935DE"/>
    <w:rsid w:val="007937EA"/>
    <w:rsid w:val="00793898"/>
    <w:rsid w:val="00793E91"/>
    <w:rsid w:val="00794450"/>
    <w:rsid w:val="00794C1E"/>
    <w:rsid w:val="00794C77"/>
    <w:rsid w:val="00794CAE"/>
    <w:rsid w:val="0079512E"/>
    <w:rsid w:val="00795475"/>
    <w:rsid w:val="007954A5"/>
    <w:rsid w:val="007955CD"/>
    <w:rsid w:val="007959FF"/>
    <w:rsid w:val="00795A5A"/>
    <w:rsid w:val="00795D42"/>
    <w:rsid w:val="00795F11"/>
    <w:rsid w:val="00795F5E"/>
    <w:rsid w:val="007960C1"/>
    <w:rsid w:val="0079618D"/>
    <w:rsid w:val="007964C3"/>
    <w:rsid w:val="00796537"/>
    <w:rsid w:val="00796559"/>
    <w:rsid w:val="00797122"/>
    <w:rsid w:val="0079716C"/>
    <w:rsid w:val="0079767A"/>
    <w:rsid w:val="00797CF3"/>
    <w:rsid w:val="007A071A"/>
    <w:rsid w:val="007A0DDE"/>
    <w:rsid w:val="007A0FE9"/>
    <w:rsid w:val="007A129B"/>
    <w:rsid w:val="007A1431"/>
    <w:rsid w:val="007A15D5"/>
    <w:rsid w:val="007A183B"/>
    <w:rsid w:val="007A18C0"/>
    <w:rsid w:val="007A1940"/>
    <w:rsid w:val="007A1978"/>
    <w:rsid w:val="007A19DA"/>
    <w:rsid w:val="007A1AED"/>
    <w:rsid w:val="007A1C6F"/>
    <w:rsid w:val="007A1D4E"/>
    <w:rsid w:val="007A22DB"/>
    <w:rsid w:val="007A2461"/>
    <w:rsid w:val="007A30EF"/>
    <w:rsid w:val="007A367D"/>
    <w:rsid w:val="007A39BB"/>
    <w:rsid w:val="007A3D23"/>
    <w:rsid w:val="007A3D3D"/>
    <w:rsid w:val="007A4198"/>
    <w:rsid w:val="007A4357"/>
    <w:rsid w:val="007A4542"/>
    <w:rsid w:val="007A4D98"/>
    <w:rsid w:val="007A5089"/>
    <w:rsid w:val="007A5654"/>
    <w:rsid w:val="007A5E50"/>
    <w:rsid w:val="007A5ECE"/>
    <w:rsid w:val="007A61EC"/>
    <w:rsid w:val="007A63E3"/>
    <w:rsid w:val="007A66C8"/>
    <w:rsid w:val="007A66EF"/>
    <w:rsid w:val="007A694D"/>
    <w:rsid w:val="007A6D52"/>
    <w:rsid w:val="007A6EEC"/>
    <w:rsid w:val="007A7300"/>
    <w:rsid w:val="007A7332"/>
    <w:rsid w:val="007A742C"/>
    <w:rsid w:val="007A7441"/>
    <w:rsid w:val="007A7466"/>
    <w:rsid w:val="007A76EA"/>
    <w:rsid w:val="007A77C6"/>
    <w:rsid w:val="007A7B2B"/>
    <w:rsid w:val="007B0114"/>
    <w:rsid w:val="007B050D"/>
    <w:rsid w:val="007B0671"/>
    <w:rsid w:val="007B07D8"/>
    <w:rsid w:val="007B1006"/>
    <w:rsid w:val="007B1339"/>
    <w:rsid w:val="007B1577"/>
    <w:rsid w:val="007B17E1"/>
    <w:rsid w:val="007B1A27"/>
    <w:rsid w:val="007B1A94"/>
    <w:rsid w:val="007B1D2C"/>
    <w:rsid w:val="007B20B1"/>
    <w:rsid w:val="007B2181"/>
    <w:rsid w:val="007B2473"/>
    <w:rsid w:val="007B2680"/>
    <w:rsid w:val="007B2A27"/>
    <w:rsid w:val="007B2B2A"/>
    <w:rsid w:val="007B2D20"/>
    <w:rsid w:val="007B2D3C"/>
    <w:rsid w:val="007B2D8B"/>
    <w:rsid w:val="007B2E8F"/>
    <w:rsid w:val="007B3085"/>
    <w:rsid w:val="007B3120"/>
    <w:rsid w:val="007B31DE"/>
    <w:rsid w:val="007B3297"/>
    <w:rsid w:val="007B3425"/>
    <w:rsid w:val="007B375E"/>
    <w:rsid w:val="007B39BC"/>
    <w:rsid w:val="007B437C"/>
    <w:rsid w:val="007B437D"/>
    <w:rsid w:val="007B4CFB"/>
    <w:rsid w:val="007B4D5B"/>
    <w:rsid w:val="007B5122"/>
    <w:rsid w:val="007B5181"/>
    <w:rsid w:val="007B5569"/>
    <w:rsid w:val="007B5573"/>
    <w:rsid w:val="007B569E"/>
    <w:rsid w:val="007B5807"/>
    <w:rsid w:val="007B59BF"/>
    <w:rsid w:val="007B62E5"/>
    <w:rsid w:val="007B62EB"/>
    <w:rsid w:val="007B63EE"/>
    <w:rsid w:val="007B640A"/>
    <w:rsid w:val="007B650A"/>
    <w:rsid w:val="007B6616"/>
    <w:rsid w:val="007B6889"/>
    <w:rsid w:val="007B6F4E"/>
    <w:rsid w:val="007B71B6"/>
    <w:rsid w:val="007B71F2"/>
    <w:rsid w:val="007B744B"/>
    <w:rsid w:val="007B747D"/>
    <w:rsid w:val="007B77A1"/>
    <w:rsid w:val="007B780E"/>
    <w:rsid w:val="007B79E5"/>
    <w:rsid w:val="007B7A27"/>
    <w:rsid w:val="007B7ACE"/>
    <w:rsid w:val="007B7B0C"/>
    <w:rsid w:val="007B7BA4"/>
    <w:rsid w:val="007B7CFC"/>
    <w:rsid w:val="007B7EC6"/>
    <w:rsid w:val="007C002A"/>
    <w:rsid w:val="007C07AC"/>
    <w:rsid w:val="007C0C63"/>
    <w:rsid w:val="007C1336"/>
    <w:rsid w:val="007C15A7"/>
    <w:rsid w:val="007C18FD"/>
    <w:rsid w:val="007C19DD"/>
    <w:rsid w:val="007C1A46"/>
    <w:rsid w:val="007C2806"/>
    <w:rsid w:val="007C2B0D"/>
    <w:rsid w:val="007C2B11"/>
    <w:rsid w:val="007C2BEB"/>
    <w:rsid w:val="007C2D5A"/>
    <w:rsid w:val="007C2EBB"/>
    <w:rsid w:val="007C2F40"/>
    <w:rsid w:val="007C30EB"/>
    <w:rsid w:val="007C3446"/>
    <w:rsid w:val="007C34E7"/>
    <w:rsid w:val="007C357B"/>
    <w:rsid w:val="007C3660"/>
    <w:rsid w:val="007C40D1"/>
    <w:rsid w:val="007C456C"/>
    <w:rsid w:val="007C475B"/>
    <w:rsid w:val="007C4804"/>
    <w:rsid w:val="007C4A41"/>
    <w:rsid w:val="007C52C9"/>
    <w:rsid w:val="007C52F5"/>
    <w:rsid w:val="007C535E"/>
    <w:rsid w:val="007C53B8"/>
    <w:rsid w:val="007C5583"/>
    <w:rsid w:val="007C563E"/>
    <w:rsid w:val="007C582D"/>
    <w:rsid w:val="007C5A08"/>
    <w:rsid w:val="007C5E29"/>
    <w:rsid w:val="007C5F46"/>
    <w:rsid w:val="007C5F86"/>
    <w:rsid w:val="007C63D1"/>
    <w:rsid w:val="007C6498"/>
    <w:rsid w:val="007C67DE"/>
    <w:rsid w:val="007C68C7"/>
    <w:rsid w:val="007C6E98"/>
    <w:rsid w:val="007C6F26"/>
    <w:rsid w:val="007C6F85"/>
    <w:rsid w:val="007C723B"/>
    <w:rsid w:val="007C7263"/>
    <w:rsid w:val="007C736B"/>
    <w:rsid w:val="007C7499"/>
    <w:rsid w:val="007C7800"/>
    <w:rsid w:val="007C7CF9"/>
    <w:rsid w:val="007D0048"/>
    <w:rsid w:val="007D0D28"/>
    <w:rsid w:val="007D1047"/>
    <w:rsid w:val="007D187F"/>
    <w:rsid w:val="007D1FC9"/>
    <w:rsid w:val="007D2134"/>
    <w:rsid w:val="007D2550"/>
    <w:rsid w:val="007D27C4"/>
    <w:rsid w:val="007D2AAA"/>
    <w:rsid w:val="007D2BF7"/>
    <w:rsid w:val="007D2D84"/>
    <w:rsid w:val="007D2F0D"/>
    <w:rsid w:val="007D3106"/>
    <w:rsid w:val="007D35FB"/>
    <w:rsid w:val="007D3A31"/>
    <w:rsid w:val="007D3B01"/>
    <w:rsid w:val="007D40C8"/>
    <w:rsid w:val="007D4101"/>
    <w:rsid w:val="007D41FA"/>
    <w:rsid w:val="007D423D"/>
    <w:rsid w:val="007D426E"/>
    <w:rsid w:val="007D48A1"/>
    <w:rsid w:val="007D49C5"/>
    <w:rsid w:val="007D4A71"/>
    <w:rsid w:val="007D5070"/>
    <w:rsid w:val="007D53FB"/>
    <w:rsid w:val="007D5400"/>
    <w:rsid w:val="007D5A45"/>
    <w:rsid w:val="007D60E4"/>
    <w:rsid w:val="007D68F9"/>
    <w:rsid w:val="007D6B83"/>
    <w:rsid w:val="007D6BCD"/>
    <w:rsid w:val="007D6C4D"/>
    <w:rsid w:val="007D6C86"/>
    <w:rsid w:val="007D6E23"/>
    <w:rsid w:val="007D7606"/>
    <w:rsid w:val="007D76F2"/>
    <w:rsid w:val="007D7744"/>
    <w:rsid w:val="007D77B2"/>
    <w:rsid w:val="007D77B5"/>
    <w:rsid w:val="007D7A72"/>
    <w:rsid w:val="007D7C89"/>
    <w:rsid w:val="007D7CAD"/>
    <w:rsid w:val="007E005E"/>
    <w:rsid w:val="007E03D8"/>
    <w:rsid w:val="007E03EC"/>
    <w:rsid w:val="007E045E"/>
    <w:rsid w:val="007E066B"/>
    <w:rsid w:val="007E07FD"/>
    <w:rsid w:val="007E0848"/>
    <w:rsid w:val="007E0F51"/>
    <w:rsid w:val="007E11BB"/>
    <w:rsid w:val="007E1396"/>
    <w:rsid w:val="007E1669"/>
    <w:rsid w:val="007E1883"/>
    <w:rsid w:val="007E1BB5"/>
    <w:rsid w:val="007E1CB6"/>
    <w:rsid w:val="007E1E79"/>
    <w:rsid w:val="007E201E"/>
    <w:rsid w:val="007E20E3"/>
    <w:rsid w:val="007E2574"/>
    <w:rsid w:val="007E26A9"/>
    <w:rsid w:val="007E26EE"/>
    <w:rsid w:val="007E282B"/>
    <w:rsid w:val="007E291F"/>
    <w:rsid w:val="007E2945"/>
    <w:rsid w:val="007E30D3"/>
    <w:rsid w:val="007E315C"/>
    <w:rsid w:val="007E3328"/>
    <w:rsid w:val="007E36D5"/>
    <w:rsid w:val="007E38B2"/>
    <w:rsid w:val="007E3903"/>
    <w:rsid w:val="007E3B2F"/>
    <w:rsid w:val="007E41E0"/>
    <w:rsid w:val="007E4216"/>
    <w:rsid w:val="007E433B"/>
    <w:rsid w:val="007E4818"/>
    <w:rsid w:val="007E4B34"/>
    <w:rsid w:val="007E4E5C"/>
    <w:rsid w:val="007E5375"/>
    <w:rsid w:val="007E5446"/>
    <w:rsid w:val="007E56C9"/>
    <w:rsid w:val="007E5A3E"/>
    <w:rsid w:val="007E5DC3"/>
    <w:rsid w:val="007E630B"/>
    <w:rsid w:val="007E64A4"/>
    <w:rsid w:val="007E67F8"/>
    <w:rsid w:val="007E6A7F"/>
    <w:rsid w:val="007E6BCF"/>
    <w:rsid w:val="007E6E3E"/>
    <w:rsid w:val="007E6FA8"/>
    <w:rsid w:val="007E707A"/>
    <w:rsid w:val="007E74EA"/>
    <w:rsid w:val="007E7548"/>
    <w:rsid w:val="007E7706"/>
    <w:rsid w:val="007E7727"/>
    <w:rsid w:val="007E7B57"/>
    <w:rsid w:val="007E7D3C"/>
    <w:rsid w:val="007E7D4D"/>
    <w:rsid w:val="007E7FBA"/>
    <w:rsid w:val="007F0002"/>
    <w:rsid w:val="007F04A3"/>
    <w:rsid w:val="007F05F5"/>
    <w:rsid w:val="007F06D5"/>
    <w:rsid w:val="007F0C98"/>
    <w:rsid w:val="007F0D4C"/>
    <w:rsid w:val="007F103B"/>
    <w:rsid w:val="007F12CB"/>
    <w:rsid w:val="007F138C"/>
    <w:rsid w:val="007F1870"/>
    <w:rsid w:val="007F2149"/>
    <w:rsid w:val="007F21B7"/>
    <w:rsid w:val="007F273C"/>
    <w:rsid w:val="007F2B0D"/>
    <w:rsid w:val="007F2C4D"/>
    <w:rsid w:val="007F32C3"/>
    <w:rsid w:val="007F36C2"/>
    <w:rsid w:val="007F38DB"/>
    <w:rsid w:val="007F392A"/>
    <w:rsid w:val="007F3D89"/>
    <w:rsid w:val="007F3E3C"/>
    <w:rsid w:val="007F3E4F"/>
    <w:rsid w:val="007F41B5"/>
    <w:rsid w:val="007F4294"/>
    <w:rsid w:val="007F48AF"/>
    <w:rsid w:val="007F4B00"/>
    <w:rsid w:val="007F4B44"/>
    <w:rsid w:val="007F4D47"/>
    <w:rsid w:val="007F4DB1"/>
    <w:rsid w:val="007F4E6A"/>
    <w:rsid w:val="007F5123"/>
    <w:rsid w:val="007F5311"/>
    <w:rsid w:val="007F53D4"/>
    <w:rsid w:val="007F5A62"/>
    <w:rsid w:val="007F5C8B"/>
    <w:rsid w:val="007F617E"/>
    <w:rsid w:val="007F62CC"/>
    <w:rsid w:val="007F63DA"/>
    <w:rsid w:val="007F63E4"/>
    <w:rsid w:val="007F654E"/>
    <w:rsid w:val="007F65E8"/>
    <w:rsid w:val="007F665C"/>
    <w:rsid w:val="007F6A02"/>
    <w:rsid w:val="007F6ED8"/>
    <w:rsid w:val="007F7646"/>
    <w:rsid w:val="007F7A46"/>
    <w:rsid w:val="007F7AD4"/>
    <w:rsid w:val="007F7D68"/>
    <w:rsid w:val="007F7F4C"/>
    <w:rsid w:val="007F7FC1"/>
    <w:rsid w:val="00800264"/>
    <w:rsid w:val="008006A8"/>
    <w:rsid w:val="00800AAA"/>
    <w:rsid w:val="00800AE1"/>
    <w:rsid w:val="00800DEA"/>
    <w:rsid w:val="00801202"/>
    <w:rsid w:val="0080178B"/>
    <w:rsid w:val="008019F6"/>
    <w:rsid w:val="00801B49"/>
    <w:rsid w:val="00801F54"/>
    <w:rsid w:val="0080230B"/>
    <w:rsid w:val="00802690"/>
    <w:rsid w:val="008026E2"/>
    <w:rsid w:val="00802880"/>
    <w:rsid w:val="00802958"/>
    <w:rsid w:val="00802C16"/>
    <w:rsid w:val="008033D1"/>
    <w:rsid w:val="008033D2"/>
    <w:rsid w:val="008035B0"/>
    <w:rsid w:val="008037B5"/>
    <w:rsid w:val="00803DD8"/>
    <w:rsid w:val="00803FBC"/>
    <w:rsid w:val="00804501"/>
    <w:rsid w:val="00804C0D"/>
    <w:rsid w:val="00804F33"/>
    <w:rsid w:val="00805443"/>
    <w:rsid w:val="0080563A"/>
    <w:rsid w:val="00805767"/>
    <w:rsid w:val="008057B9"/>
    <w:rsid w:val="00805A4D"/>
    <w:rsid w:val="00805B1E"/>
    <w:rsid w:val="00805C27"/>
    <w:rsid w:val="00805C9B"/>
    <w:rsid w:val="00805D01"/>
    <w:rsid w:val="008062F2"/>
    <w:rsid w:val="008063A6"/>
    <w:rsid w:val="008065D1"/>
    <w:rsid w:val="0080671E"/>
    <w:rsid w:val="008068DE"/>
    <w:rsid w:val="00806A71"/>
    <w:rsid w:val="00806DE2"/>
    <w:rsid w:val="00806EFD"/>
    <w:rsid w:val="00806FAA"/>
    <w:rsid w:val="0080707B"/>
    <w:rsid w:val="0080725B"/>
    <w:rsid w:val="008074D1"/>
    <w:rsid w:val="00807683"/>
    <w:rsid w:val="00807730"/>
    <w:rsid w:val="008078BF"/>
    <w:rsid w:val="00807988"/>
    <w:rsid w:val="008079A4"/>
    <w:rsid w:val="00807BCA"/>
    <w:rsid w:val="00807D52"/>
    <w:rsid w:val="00807D98"/>
    <w:rsid w:val="00807F1C"/>
    <w:rsid w:val="008103D9"/>
    <w:rsid w:val="0081066C"/>
    <w:rsid w:val="00810DC4"/>
    <w:rsid w:val="00810F82"/>
    <w:rsid w:val="008119C4"/>
    <w:rsid w:val="00811CB0"/>
    <w:rsid w:val="00811E27"/>
    <w:rsid w:val="00811E2E"/>
    <w:rsid w:val="008125D9"/>
    <w:rsid w:val="00812D05"/>
    <w:rsid w:val="00812F65"/>
    <w:rsid w:val="008130C8"/>
    <w:rsid w:val="008134C7"/>
    <w:rsid w:val="008134CA"/>
    <w:rsid w:val="00813614"/>
    <w:rsid w:val="00813756"/>
    <w:rsid w:val="0081389F"/>
    <w:rsid w:val="00813AB3"/>
    <w:rsid w:val="00813DDD"/>
    <w:rsid w:val="00813E15"/>
    <w:rsid w:val="00813EC1"/>
    <w:rsid w:val="0081417A"/>
    <w:rsid w:val="00814625"/>
    <w:rsid w:val="00814641"/>
    <w:rsid w:val="0081481E"/>
    <w:rsid w:val="00814969"/>
    <w:rsid w:val="00814B3E"/>
    <w:rsid w:val="00814BFE"/>
    <w:rsid w:val="00814C43"/>
    <w:rsid w:val="00814D19"/>
    <w:rsid w:val="00814D71"/>
    <w:rsid w:val="00814E33"/>
    <w:rsid w:val="00815047"/>
    <w:rsid w:val="00815269"/>
    <w:rsid w:val="0081557A"/>
    <w:rsid w:val="00815997"/>
    <w:rsid w:val="00815C8F"/>
    <w:rsid w:val="00816A66"/>
    <w:rsid w:val="00816B04"/>
    <w:rsid w:val="00816C6C"/>
    <w:rsid w:val="00816F95"/>
    <w:rsid w:val="00817187"/>
    <w:rsid w:val="008175D4"/>
    <w:rsid w:val="008176B3"/>
    <w:rsid w:val="008177DA"/>
    <w:rsid w:val="0081782E"/>
    <w:rsid w:val="00820167"/>
    <w:rsid w:val="0082020D"/>
    <w:rsid w:val="0082021F"/>
    <w:rsid w:val="008202BF"/>
    <w:rsid w:val="0082049A"/>
    <w:rsid w:val="008205C4"/>
    <w:rsid w:val="00820C4C"/>
    <w:rsid w:val="00820E61"/>
    <w:rsid w:val="00820EFC"/>
    <w:rsid w:val="00821243"/>
    <w:rsid w:val="008212D4"/>
    <w:rsid w:val="00821537"/>
    <w:rsid w:val="0082186A"/>
    <w:rsid w:val="00821918"/>
    <w:rsid w:val="00821CE2"/>
    <w:rsid w:val="0082211E"/>
    <w:rsid w:val="008221A4"/>
    <w:rsid w:val="00822329"/>
    <w:rsid w:val="00822777"/>
    <w:rsid w:val="00822835"/>
    <w:rsid w:val="00822C0D"/>
    <w:rsid w:val="00822FA0"/>
    <w:rsid w:val="00823970"/>
    <w:rsid w:val="00823ADD"/>
    <w:rsid w:val="00823B2C"/>
    <w:rsid w:val="00823BDA"/>
    <w:rsid w:val="00823F5E"/>
    <w:rsid w:val="00824074"/>
    <w:rsid w:val="00824840"/>
    <w:rsid w:val="0082522A"/>
    <w:rsid w:val="0082522E"/>
    <w:rsid w:val="0082523B"/>
    <w:rsid w:val="0082530A"/>
    <w:rsid w:val="0082532D"/>
    <w:rsid w:val="008254E6"/>
    <w:rsid w:val="0082563D"/>
    <w:rsid w:val="00825813"/>
    <w:rsid w:val="0082597F"/>
    <w:rsid w:val="00825BDE"/>
    <w:rsid w:val="00826737"/>
    <w:rsid w:val="00826982"/>
    <w:rsid w:val="00826BDD"/>
    <w:rsid w:val="00826C20"/>
    <w:rsid w:val="00826F09"/>
    <w:rsid w:val="0082725F"/>
    <w:rsid w:val="00827696"/>
    <w:rsid w:val="00827950"/>
    <w:rsid w:val="008279B5"/>
    <w:rsid w:val="0083020C"/>
    <w:rsid w:val="00830256"/>
    <w:rsid w:val="0083045D"/>
    <w:rsid w:val="00830639"/>
    <w:rsid w:val="0083099A"/>
    <w:rsid w:val="00830B54"/>
    <w:rsid w:val="00830C2A"/>
    <w:rsid w:val="00830DDC"/>
    <w:rsid w:val="00830E8C"/>
    <w:rsid w:val="00830FCF"/>
    <w:rsid w:val="008314E6"/>
    <w:rsid w:val="0083159A"/>
    <w:rsid w:val="008318B4"/>
    <w:rsid w:val="0083196B"/>
    <w:rsid w:val="00831F71"/>
    <w:rsid w:val="0083208C"/>
    <w:rsid w:val="008323DD"/>
    <w:rsid w:val="00832614"/>
    <w:rsid w:val="008326D0"/>
    <w:rsid w:val="0083294B"/>
    <w:rsid w:val="00832C78"/>
    <w:rsid w:val="00832E0F"/>
    <w:rsid w:val="00832E6B"/>
    <w:rsid w:val="00833149"/>
    <w:rsid w:val="0083338D"/>
    <w:rsid w:val="0083364C"/>
    <w:rsid w:val="008337BE"/>
    <w:rsid w:val="00833B15"/>
    <w:rsid w:val="00833CDF"/>
    <w:rsid w:val="00834074"/>
    <w:rsid w:val="00834257"/>
    <w:rsid w:val="0083445C"/>
    <w:rsid w:val="008344A9"/>
    <w:rsid w:val="008344B4"/>
    <w:rsid w:val="00834957"/>
    <w:rsid w:val="00834A14"/>
    <w:rsid w:val="0083590D"/>
    <w:rsid w:val="00835952"/>
    <w:rsid w:val="008359A2"/>
    <w:rsid w:val="00835B2C"/>
    <w:rsid w:val="00836015"/>
    <w:rsid w:val="008362DD"/>
    <w:rsid w:val="008365B9"/>
    <w:rsid w:val="008369B1"/>
    <w:rsid w:val="00836F9C"/>
    <w:rsid w:val="00837E25"/>
    <w:rsid w:val="0084023C"/>
    <w:rsid w:val="00840253"/>
    <w:rsid w:val="008404CC"/>
    <w:rsid w:val="00840629"/>
    <w:rsid w:val="00840D45"/>
    <w:rsid w:val="00840FBC"/>
    <w:rsid w:val="008414FA"/>
    <w:rsid w:val="00841A93"/>
    <w:rsid w:val="00841F09"/>
    <w:rsid w:val="00842618"/>
    <w:rsid w:val="008429EA"/>
    <w:rsid w:val="00842E9E"/>
    <w:rsid w:val="00843975"/>
    <w:rsid w:val="00843FE5"/>
    <w:rsid w:val="008444EB"/>
    <w:rsid w:val="0084480A"/>
    <w:rsid w:val="00844A00"/>
    <w:rsid w:val="00844A8A"/>
    <w:rsid w:val="00844D2B"/>
    <w:rsid w:val="00844E6E"/>
    <w:rsid w:val="00845056"/>
    <w:rsid w:val="0084514C"/>
    <w:rsid w:val="008451AB"/>
    <w:rsid w:val="008451BC"/>
    <w:rsid w:val="00845298"/>
    <w:rsid w:val="008452E7"/>
    <w:rsid w:val="0084569F"/>
    <w:rsid w:val="0084575D"/>
    <w:rsid w:val="00845858"/>
    <w:rsid w:val="00845C50"/>
    <w:rsid w:val="00845CD4"/>
    <w:rsid w:val="008468A9"/>
    <w:rsid w:val="00846D2C"/>
    <w:rsid w:val="00847166"/>
    <w:rsid w:val="0084720B"/>
    <w:rsid w:val="00847453"/>
    <w:rsid w:val="0084763B"/>
    <w:rsid w:val="00847AC0"/>
    <w:rsid w:val="008503FC"/>
    <w:rsid w:val="008506B6"/>
    <w:rsid w:val="008507D2"/>
    <w:rsid w:val="00850854"/>
    <w:rsid w:val="00850CF0"/>
    <w:rsid w:val="00850DBB"/>
    <w:rsid w:val="00850F9E"/>
    <w:rsid w:val="0085133F"/>
    <w:rsid w:val="008518ED"/>
    <w:rsid w:val="008519B3"/>
    <w:rsid w:val="00851AF0"/>
    <w:rsid w:val="00851D04"/>
    <w:rsid w:val="00852189"/>
    <w:rsid w:val="00852751"/>
    <w:rsid w:val="00852924"/>
    <w:rsid w:val="00852E92"/>
    <w:rsid w:val="0085396F"/>
    <w:rsid w:val="00853A15"/>
    <w:rsid w:val="00853E81"/>
    <w:rsid w:val="00853EAE"/>
    <w:rsid w:val="00853F12"/>
    <w:rsid w:val="00853F8F"/>
    <w:rsid w:val="00854191"/>
    <w:rsid w:val="00854A1D"/>
    <w:rsid w:val="00854E7F"/>
    <w:rsid w:val="00854F6D"/>
    <w:rsid w:val="00855107"/>
    <w:rsid w:val="0085531F"/>
    <w:rsid w:val="008557C2"/>
    <w:rsid w:val="00855AF6"/>
    <w:rsid w:val="00855D11"/>
    <w:rsid w:val="00856178"/>
    <w:rsid w:val="00856201"/>
    <w:rsid w:val="00856A0E"/>
    <w:rsid w:val="00856E20"/>
    <w:rsid w:val="00857068"/>
    <w:rsid w:val="0085718C"/>
    <w:rsid w:val="00857671"/>
    <w:rsid w:val="00857A99"/>
    <w:rsid w:val="00857BA1"/>
    <w:rsid w:val="008603D9"/>
    <w:rsid w:val="0086059F"/>
    <w:rsid w:val="0086072D"/>
    <w:rsid w:val="008607D2"/>
    <w:rsid w:val="00860839"/>
    <w:rsid w:val="00860ABB"/>
    <w:rsid w:val="00860CDE"/>
    <w:rsid w:val="00860EC8"/>
    <w:rsid w:val="008611DF"/>
    <w:rsid w:val="00861332"/>
    <w:rsid w:val="00861942"/>
    <w:rsid w:val="008619D4"/>
    <w:rsid w:val="00861ACE"/>
    <w:rsid w:val="00861F15"/>
    <w:rsid w:val="00861F5C"/>
    <w:rsid w:val="00862178"/>
    <w:rsid w:val="008625A0"/>
    <w:rsid w:val="00862689"/>
    <w:rsid w:val="00862696"/>
    <w:rsid w:val="008626B0"/>
    <w:rsid w:val="0086274A"/>
    <w:rsid w:val="008628B7"/>
    <w:rsid w:val="008628D4"/>
    <w:rsid w:val="008628F2"/>
    <w:rsid w:val="0086290E"/>
    <w:rsid w:val="00862F38"/>
    <w:rsid w:val="00863143"/>
    <w:rsid w:val="00863232"/>
    <w:rsid w:val="00863444"/>
    <w:rsid w:val="008639CB"/>
    <w:rsid w:val="00863E7E"/>
    <w:rsid w:val="00863FC0"/>
    <w:rsid w:val="0086402E"/>
    <w:rsid w:val="00864434"/>
    <w:rsid w:val="0086450B"/>
    <w:rsid w:val="0086460C"/>
    <w:rsid w:val="00864731"/>
    <w:rsid w:val="008647FC"/>
    <w:rsid w:val="00864A9B"/>
    <w:rsid w:val="00864E7F"/>
    <w:rsid w:val="00864EFE"/>
    <w:rsid w:val="00864F4B"/>
    <w:rsid w:val="00864F81"/>
    <w:rsid w:val="008652B4"/>
    <w:rsid w:val="00865332"/>
    <w:rsid w:val="00865772"/>
    <w:rsid w:val="008657B8"/>
    <w:rsid w:val="008659F3"/>
    <w:rsid w:val="00865C44"/>
    <w:rsid w:val="008663DD"/>
    <w:rsid w:val="00866A24"/>
    <w:rsid w:val="00866A80"/>
    <w:rsid w:val="00866B13"/>
    <w:rsid w:val="00866F82"/>
    <w:rsid w:val="00866F85"/>
    <w:rsid w:val="00867564"/>
    <w:rsid w:val="00867D1A"/>
    <w:rsid w:val="00867E96"/>
    <w:rsid w:val="00867FFB"/>
    <w:rsid w:val="008702AD"/>
    <w:rsid w:val="00870845"/>
    <w:rsid w:val="008709B3"/>
    <w:rsid w:val="00870A86"/>
    <w:rsid w:val="00870B64"/>
    <w:rsid w:val="00870B76"/>
    <w:rsid w:val="00870BAF"/>
    <w:rsid w:val="00870C18"/>
    <w:rsid w:val="00870DE8"/>
    <w:rsid w:val="00870E49"/>
    <w:rsid w:val="008710E4"/>
    <w:rsid w:val="00871218"/>
    <w:rsid w:val="008715CE"/>
    <w:rsid w:val="00871605"/>
    <w:rsid w:val="00871643"/>
    <w:rsid w:val="00871E69"/>
    <w:rsid w:val="00871FD1"/>
    <w:rsid w:val="0087266C"/>
    <w:rsid w:val="00872771"/>
    <w:rsid w:val="008728AE"/>
    <w:rsid w:val="00872947"/>
    <w:rsid w:val="00872C69"/>
    <w:rsid w:val="00873376"/>
    <w:rsid w:val="00873455"/>
    <w:rsid w:val="00873589"/>
    <w:rsid w:val="00873CCE"/>
    <w:rsid w:val="00873F23"/>
    <w:rsid w:val="00873F54"/>
    <w:rsid w:val="008741A5"/>
    <w:rsid w:val="008742AB"/>
    <w:rsid w:val="00874612"/>
    <w:rsid w:val="00874652"/>
    <w:rsid w:val="008746F5"/>
    <w:rsid w:val="008749BC"/>
    <w:rsid w:val="00874A82"/>
    <w:rsid w:val="00874CFB"/>
    <w:rsid w:val="00874EA3"/>
    <w:rsid w:val="00874FB9"/>
    <w:rsid w:val="0087517B"/>
    <w:rsid w:val="008753A5"/>
    <w:rsid w:val="008753EE"/>
    <w:rsid w:val="008756CE"/>
    <w:rsid w:val="00875E9E"/>
    <w:rsid w:val="00876237"/>
    <w:rsid w:val="008762C1"/>
    <w:rsid w:val="00876856"/>
    <w:rsid w:val="00876923"/>
    <w:rsid w:val="00876E64"/>
    <w:rsid w:val="00876EF5"/>
    <w:rsid w:val="008777F3"/>
    <w:rsid w:val="0087791C"/>
    <w:rsid w:val="00877968"/>
    <w:rsid w:val="00877A98"/>
    <w:rsid w:val="00877B23"/>
    <w:rsid w:val="00877B96"/>
    <w:rsid w:val="00877D56"/>
    <w:rsid w:val="00880368"/>
    <w:rsid w:val="008803CE"/>
    <w:rsid w:val="0088071B"/>
    <w:rsid w:val="008808B5"/>
    <w:rsid w:val="00880B51"/>
    <w:rsid w:val="00880D96"/>
    <w:rsid w:val="00880E50"/>
    <w:rsid w:val="00880F57"/>
    <w:rsid w:val="008813F0"/>
    <w:rsid w:val="0088158E"/>
    <w:rsid w:val="008819E5"/>
    <w:rsid w:val="00881B6C"/>
    <w:rsid w:val="00881C05"/>
    <w:rsid w:val="00881D9F"/>
    <w:rsid w:val="00881FBB"/>
    <w:rsid w:val="00881FFB"/>
    <w:rsid w:val="00882022"/>
    <w:rsid w:val="00882110"/>
    <w:rsid w:val="0088215D"/>
    <w:rsid w:val="00882300"/>
    <w:rsid w:val="0088245E"/>
    <w:rsid w:val="008827F5"/>
    <w:rsid w:val="0088303D"/>
    <w:rsid w:val="00883767"/>
    <w:rsid w:val="008837DE"/>
    <w:rsid w:val="008839DA"/>
    <w:rsid w:val="00883D58"/>
    <w:rsid w:val="0088408D"/>
    <w:rsid w:val="008841D3"/>
    <w:rsid w:val="0088443A"/>
    <w:rsid w:val="00884798"/>
    <w:rsid w:val="008849ED"/>
    <w:rsid w:val="00884CCD"/>
    <w:rsid w:val="00884E31"/>
    <w:rsid w:val="008851BD"/>
    <w:rsid w:val="00885274"/>
    <w:rsid w:val="00885291"/>
    <w:rsid w:val="0088560B"/>
    <w:rsid w:val="00885664"/>
    <w:rsid w:val="008859C5"/>
    <w:rsid w:val="00885AC8"/>
    <w:rsid w:val="0088634C"/>
    <w:rsid w:val="0088677F"/>
    <w:rsid w:val="008867A3"/>
    <w:rsid w:val="008868BC"/>
    <w:rsid w:val="00886DDA"/>
    <w:rsid w:val="0088738E"/>
    <w:rsid w:val="00887956"/>
    <w:rsid w:val="00887A63"/>
    <w:rsid w:val="00887FAF"/>
    <w:rsid w:val="008901FA"/>
    <w:rsid w:val="00890203"/>
    <w:rsid w:val="008902BF"/>
    <w:rsid w:val="008904E7"/>
    <w:rsid w:val="008909D9"/>
    <w:rsid w:val="00890DA9"/>
    <w:rsid w:val="00890EED"/>
    <w:rsid w:val="008910CB"/>
    <w:rsid w:val="00891488"/>
    <w:rsid w:val="00891603"/>
    <w:rsid w:val="0089161C"/>
    <w:rsid w:val="0089162C"/>
    <w:rsid w:val="00891C6E"/>
    <w:rsid w:val="00891C70"/>
    <w:rsid w:val="00891CF7"/>
    <w:rsid w:val="00891F1F"/>
    <w:rsid w:val="00891FEC"/>
    <w:rsid w:val="00892036"/>
    <w:rsid w:val="0089223C"/>
    <w:rsid w:val="008924CA"/>
    <w:rsid w:val="00892503"/>
    <w:rsid w:val="008925C3"/>
    <w:rsid w:val="00892675"/>
    <w:rsid w:val="008928BC"/>
    <w:rsid w:val="008928EA"/>
    <w:rsid w:val="00892A43"/>
    <w:rsid w:val="00892B3E"/>
    <w:rsid w:val="00892B55"/>
    <w:rsid w:val="00892D73"/>
    <w:rsid w:val="00892EBA"/>
    <w:rsid w:val="0089359F"/>
    <w:rsid w:val="008936E7"/>
    <w:rsid w:val="008938EF"/>
    <w:rsid w:val="008939BD"/>
    <w:rsid w:val="00893D42"/>
    <w:rsid w:val="00893E8B"/>
    <w:rsid w:val="00894181"/>
    <w:rsid w:val="00894733"/>
    <w:rsid w:val="008947A9"/>
    <w:rsid w:val="008949DA"/>
    <w:rsid w:val="00894A5B"/>
    <w:rsid w:val="00894C32"/>
    <w:rsid w:val="00894DFA"/>
    <w:rsid w:val="00894E38"/>
    <w:rsid w:val="00894F97"/>
    <w:rsid w:val="00895545"/>
    <w:rsid w:val="008955AD"/>
    <w:rsid w:val="008955E6"/>
    <w:rsid w:val="00895748"/>
    <w:rsid w:val="00895DD4"/>
    <w:rsid w:val="00895EEC"/>
    <w:rsid w:val="00895FD4"/>
    <w:rsid w:val="0089624D"/>
    <w:rsid w:val="00896353"/>
    <w:rsid w:val="008965D9"/>
    <w:rsid w:val="008967A4"/>
    <w:rsid w:val="008970C8"/>
    <w:rsid w:val="00897D31"/>
    <w:rsid w:val="00897E38"/>
    <w:rsid w:val="008A03A1"/>
    <w:rsid w:val="008A04EA"/>
    <w:rsid w:val="008A0C63"/>
    <w:rsid w:val="008A0E49"/>
    <w:rsid w:val="008A0E54"/>
    <w:rsid w:val="008A10D2"/>
    <w:rsid w:val="008A140E"/>
    <w:rsid w:val="008A1559"/>
    <w:rsid w:val="008A1783"/>
    <w:rsid w:val="008A18D1"/>
    <w:rsid w:val="008A19BD"/>
    <w:rsid w:val="008A19FB"/>
    <w:rsid w:val="008A1A23"/>
    <w:rsid w:val="008A1D1C"/>
    <w:rsid w:val="008A1D35"/>
    <w:rsid w:val="008A1F5A"/>
    <w:rsid w:val="008A20C2"/>
    <w:rsid w:val="008A23C6"/>
    <w:rsid w:val="008A244F"/>
    <w:rsid w:val="008A24BF"/>
    <w:rsid w:val="008A2CEE"/>
    <w:rsid w:val="008A2DA8"/>
    <w:rsid w:val="008A2FA4"/>
    <w:rsid w:val="008A3147"/>
    <w:rsid w:val="008A35A5"/>
    <w:rsid w:val="008A3B0B"/>
    <w:rsid w:val="008A3B4C"/>
    <w:rsid w:val="008A3C30"/>
    <w:rsid w:val="008A40E8"/>
    <w:rsid w:val="008A427F"/>
    <w:rsid w:val="008A428C"/>
    <w:rsid w:val="008A48D7"/>
    <w:rsid w:val="008A4921"/>
    <w:rsid w:val="008A4D0F"/>
    <w:rsid w:val="008A4F52"/>
    <w:rsid w:val="008A50A9"/>
    <w:rsid w:val="008A5436"/>
    <w:rsid w:val="008A55BA"/>
    <w:rsid w:val="008A5977"/>
    <w:rsid w:val="008A59FE"/>
    <w:rsid w:val="008A5AD6"/>
    <w:rsid w:val="008A5CF2"/>
    <w:rsid w:val="008A5D9F"/>
    <w:rsid w:val="008A5F18"/>
    <w:rsid w:val="008A6099"/>
    <w:rsid w:val="008A623C"/>
    <w:rsid w:val="008A68DE"/>
    <w:rsid w:val="008A6F61"/>
    <w:rsid w:val="008A6F8A"/>
    <w:rsid w:val="008A703B"/>
    <w:rsid w:val="008B0249"/>
    <w:rsid w:val="008B0276"/>
    <w:rsid w:val="008B02DB"/>
    <w:rsid w:val="008B03A7"/>
    <w:rsid w:val="008B04A9"/>
    <w:rsid w:val="008B04C0"/>
    <w:rsid w:val="008B1471"/>
    <w:rsid w:val="008B164C"/>
    <w:rsid w:val="008B1A03"/>
    <w:rsid w:val="008B1CA7"/>
    <w:rsid w:val="008B1E2F"/>
    <w:rsid w:val="008B2117"/>
    <w:rsid w:val="008B2566"/>
    <w:rsid w:val="008B258C"/>
    <w:rsid w:val="008B2609"/>
    <w:rsid w:val="008B297B"/>
    <w:rsid w:val="008B2DCB"/>
    <w:rsid w:val="008B2E3A"/>
    <w:rsid w:val="008B301E"/>
    <w:rsid w:val="008B338D"/>
    <w:rsid w:val="008B35D5"/>
    <w:rsid w:val="008B363E"/>
    <w:rsid w:val="008B3A0F"/>
    <w:rsid w:val="008B3C92"/>
    <w:rsid w:val="008B3F74"/>
    <w:rsid w:val="008B426B"/>
    <w:rsid w:val="008B493A"/>
    <w:rsid w:val="008B4E85"/>
    <w:rsid w:val="008B4F99"/>
    <w:rsid w:val="008B512C"/>
    <w:rsid w:val="008B518E"/>
    <w:rsid w:val="008B51B4"/>
    <w:rsid w:val="008B5285"/>
    <w:rsid w:val="008B56C0"/>
    <w:rsid w:val="008B574F"/>
    <w:rsid w:val="008B589D"/>
    <w:rsid w:val="008B58AE"/>
    <w:rsid w:val="008B5BF2"/>
    <w:rsid w:val="008B5C21"/>
    <w:rsid w:val="008B5D21"/>
    <w:rsid w:val="008B5F22"/>
    <w:rsid w:val="008B6012"/>
    <w:rsid w:val="008B67C4"/>
    <w:rsid w:val="008B684C"/>
    <w:rsid w:val="008B6E79"/>
    <w:rsid w:val="008B77DD"/>
    <w:rsid w:val="008B7962"/>
    <w:rsid w:val="008B7C52"/>
    <w:rsid w:val="008B7D88"/>
    <w:rsid w:val="008B7DF3"/>
    <w:rsid w:val="008B7DFB"/>
    <w:rsid w:val="008B7EDE"/>
    <w:rsid w:val="008B7FD4"/>
    <w:rsid w:val="008C01A2"/>
    <w:rsid w:val="008C0398"/>
    <w:rsid w:val="008C044B"/>
    <w:rsid w:val="008C077D"/>
    <w:rsid w:val="008C0A8F"/>
    <w:rsid w:val="008C0AA7"/>
    <w:rsid w:val="008C0F7B"/>
    <w:rsid w:val="008C0F86"/>
    <w:rsid w:val="008C14D7"/>
    <w:rsid w:val="008C15B9"/>
    <w:rsid w:val="008C1640"/>
    <w:rsid w:val="008C1862"/>
    <w:rsid w:val="008C19AF"/>
    <w:rsid w:val="008C1A15"/>
    <w:rsid w:val="008C1B50"/>
    <w:rsid w:val="008C1BB5"/>
    <w:rsid w:val="008C1C1D"/>
    <w:rsid w:val="008C1C83"/>
    <w:rsid w:val="008C1DCF"/>
    <w:rsid w:val="008C1E3E"/>
    <w:rsid w:val="008C233E"/>
    <w:rsid w:val="008C27FE"/>
    <w:rsid w:val="008C2CDD"/>
    <w:rsid w:val="008C2D98"/>
    <w:rsid w:val="008C2E48"/>
    <w:rsid w:val="008C2EF9"/>
    <w:rsid w:val="008C32AA"/>
    <w:rsid w:val="008C33CE"/>
    <w:rsid w:val="008C3457"/>
    <w:rsid w:val="008C3708"/>
    <w:rsid w:val="008C3759"/>
    <w:rsid w:val="008C3D68"/>
    <w:rsid w:val="008C40C6"/>
    <w:rsid w:val="008C4245"/>
    <w:rsid w:val="008C434C"/>
    <w:rsid w:val="008C4409"/>
    <w:rsid w:val="008C47E7"/>
    <w:rsid w:val="008C4B3C"/>
    <w:rsid w:val="008C4EA2"/>
    <w:rsid w:val="008C4EEF"/>
    <w:rsid w:val="008C50EF"/>
    <w:rsid w:val="008C517B"/>
    <w:rsid w:val="008C5246"/>
    <w:rsid w:val="008C5357"/>
    <w:rsid w:val="008C5588"/>
    <w:rsid w:val="008C5913"/>
    <w:rsid w:val="008C5949"/>
    <w:rsid w:val="008C5A57"/>
    <w:rsid w:val="008C5C67"/>
    <w:rsid w:val="008C5E7E"/>
    <w:rsid w:val="008C6328"/>
    <w:rsid w:val="008C6410"/>
    <w:rsid w:val="008C6747"/>
    <w:rsid w:val="008C68F5"/>
    <w:rsid w:val="008C6A43"/>
    <w:rsid w:val="008C6B7B"/>
    <w:rsid w:val="008C6F07"/>
    <w:rsid w:val="008C70B9"/>
    <w:rsid w:val="008C77A1"/>
    <w:rsid w:val="008C77F4"/>
    <w:rsid w:val="008C784F"/>
    <w:rsid w:val="008C7957"/>
    <w:rsid w:val="008C7A4E"/>
    <w:rsid w:val="008C7C86"/>
    <w:rsid w:val="008C7CB9"/>
    <w:rsid w:val="008C7D21"/>
    <w:rsid w:val="008C7E5D"/>
    <w:rsid w:val="008D01F3"/>
    <w:rsid w:val="008D1195"/>
    <w:rsid w:val="008D119A"/>
    <w:rsid w:val="008D131D"/>
    <w:rsid w:val="008D1649"/>
    <w:rsid w:val="008D16BD"/>
    <w:rsid w:val="008D1AC1"/>
    <w:rsid w:val="008D233B"/>
    <w:rsid w:val="008D288A"/>
    <w:rsid w:val="008D3995"/>
    <w:rsid w:val="008D3B12"/>
    <w:rsid w:val="008D3BC6"/>
    <w:rsid w:val="008D3C9E"/>
    <w:rsid w:val="008D3DA2"/>
    <w:rsid w:val="008D3DF0"/>
    <w:rsid w:val="008D41D6"/>
    <w:rsid w:val="008D4385"/>
    <w:rsid w:val="008D4976"/>
    <w:rsid w:val="008D4EDC"/>
    <w:rsid w:val="008D50B9"/>
    <w:rsid w:val="008D51AC"/>
    <w:rsid w:val="008D5491"/>
    <w:rsid w:val="008D5777"/>
    <w:rsid w:val="008D59F2"/>
    <w:rsid w:val="008D5EAC"/>
    <w:rsid w:val="008D5F09"/>
    <w:rsid w:val="008D66A6"/>
    <w:rsid w:val="008D67FE"/>
    <w:rsid w:val="008D686F"/>
    <w:rsid w:val="008D6978"/>
    <w:rsid w:val="008D6A39"/>
    <w:rsid w:val="008D6DA0"/>
    <w:rsid w:val="008D6EB2"/>
    <w:rsid w:val="008D7283"/>
    <w:rsid w:val="008D7323"/>
    <w:rsid w:val="008D75EF"/>
    <w:rsid w:val="008D7963"/>
    <w:rsid w:val="008D7B5F"/>
    <w:rsid w:val="008D7E12"/>
    <w:rsid w:val="008D7EF2"/>
    <w:rsid w:val="008E017E"/>
    <w:rsid w:val="008E034F"/>
    <w:rsid w:val="008E03A3"/>
    <w:rsid w:val="008E067D"/>
    <w:rsid w:val="008E07B1"/>
    <w:rsid w:val="008E092D"/>
    <w:rsid w:val="008E10A4"/>
    <w:rsid w:val="008E118F"/>
    <w:rsid w:val="008E121D"/>
    <w:rsid w:val="008E13E4"/>
    <w:rsid w:val="008E1644"/>
    <w:rsid w:val="008E1B28"/>
    <w:rsid w:val="008E1BB0"/>
    <w:rsid w:val="008E1CBE"/>
    <w:rsid w:val="008E1EAE"/>
    <w:rsid w:val="008E2303"/>
    <w:rsid w:val="008E239A"/>
    <w:rsid w:val="008E28CA"/>
    <w:rsid w:val="008E2D34"/>
    <w:rsid w:val="008E2E55"/>
    <w:rsid w:val="008E2FB3"/>
    <w:rsid w:val="008E3420"/>
    <w:rsid w:val="008E368D"/>
    <w:rsid w:val="008E38E4"/>
    <w:rsid w:val="008E3944"/>
    <w:rsid w:val="008E3A2E"/>
    <w:rsid w:val="008E3B2C"/>
    <w:rsid w:val="008E3D34"/>
    <w:rsid w:val="008E3DD5"/>
    <w:rsid w:val="008E41DB"/>
    <w:rsid w:val="008E4513"/>
    <w:rsid w:val="008E4B53"/>
    <w:rsid w:val="008E4B7C"/>
    <w:rsid w:val="008E4D09"/>
    <w:rsid w:val="008E52A2"/>
    <w:rsid w:val="008E5587"/>
    <w:rsid w:val="008E617D"/>
    <w:rsid w:val="008E6238"/>
    <w:rsid w:val="008E6275"/>
    <w:rsid w:val="008E64E2"/>
    <w:rsid w:val="008E65D3"/>
    <w:rsid w:val="008E675A"/>
    <w:rsid w:val="008E6B04"/>
    <w:rsid w:val="008E6B96"/>
    <w:rsid w:val="008E6D17"/>
    <w:rsid w:val="008E6DEE"/>
    <w:rsid w:val="008E6F6B"/>
    <w:rsid w:val="008E70DB"/>
    <w:rsid w:val="008E7349"/>
    <w:rsid w:val="008E74DE"/>
    <w:rsid w:val="008E75E0"/>
    <w:rsid w:val="008E7918"/>
    <w:rsid w:val="008E79B1"/>
    <w:rsid w:val="008E7B62"/>
    <w:rsid w:val="008E7E27"/>
    <w:rsid w:val="008E7E33"/>
    <w:rsid w:val="008F008D"/>
    <w:rsid w:val="008F02F5"/>
    <w:rsid w:val="008F032F"/>
    <w:rsid w:val="008F07A6"/>
    <w:rsid w:val="008F0A64"/>
    <w:rsid w:val="008F0BFF"/>
    <w:rsid w:val="008F1224"/>
    <w:rsid w:val="008F1532"/>
    <w:rsid w:val="008F1896"/>
    <w:rsid w:val="008F189F"/>
    <w:rsid w:val="008F19C7"/>
    <w:rsid w:val="008F1AFF"/>
    <w:rsid w:val="008F1CF5"/>
    <w:rsid w:val="008F1D6A"/>
    <w:rsid w:val="008F1D72"/>
    <w:rsid w:val="008F1F6F"/>
    <w:rsid w:val="008F1FBA"/>
    <w:rsid w:val="008F2011"/>
    <w:rsid w:val="008F2352"/>
    <w:rsid w:val="008F2739"/>
    <w:rsid w:val="008F27E1"/>
    <w:rsid w:val="008F2D97"/>
    <w:rsid w:val="008F2DB7"/>
    <w:rsid w:val="008F2E96"/>
    <w:rsid w:val="008F2F76"/>
    <w:rsid w:val="008F3116"/>
    <w:rsid w:val="008F314C"/>
    <w:rsid w:val="008F3367"/>
    <w:rsid w:val="008F3BC5"/>
    <w:rsid w:val="008F3C95"/>
    <w:rsid w:val="008F40D3"/>
    <w:rsid w:val="008F4335"/>
    <w:rsid w:val="008F4423"/>
    <w:rsid w:val="008F4791"/>
    <w:rsid w:val="008F483C"/>
    <w:rsid w:val="008F4E3C"/>
    <w:rsid w:val="008F50FA"/>
    <w:rsid w:val="008F522D"/>
    <w:rsid w:val="008F5412"/>
    <w:rsid w:val="008F57E0"/>
    <w:rsid w:val="008F5855"/>
    <w:rsid w:val="008F58E3"/>
    <w:rsid w:val="008F5918"/>
    <w:rsid w:val="008F598C"/>
    <w:rsid w:val="008F5BC7"/>
    <w:rsid w:val="008F5D36"/>
    <w:rsid w:val="008F5F1E"/>
    <w:rsid w:val="008F5F8D"/>
    <w:rsid w:val="008F6180"/>
    <w:rsid w:val="008F631A"/>
    <w:rsid w:val="008F63BE"/>
    <w:rsid w:val="008F6617"/>
    <w:rsid w:val="008F6A3F"/>
    <w:rsid w:val="008F6C2F"/>
    <w:rsid w:val="008F6CCB"/>
    <w:rsid w:val="008F6D05"/>
    <w:rsid w:val="008F6EE3"/>
    <w:rsid w:val="008F7407"/>
    <w:rsid w:val="008F74A8"/>
    <w:rsid w:val="008F790B"/>
    <w:rsid w:val="008F7C4F"/>
    <w:rsid w:val="008F7E89"/>
    <w:rsid w:val="008F7F71"/>
    <w:rsid w:val="009000B0"/>
    <w:rsid w:val="00900203"/>
    <w:rsid w:val="009004AA"/>
    <w:rsid w:val="009004D2"/>
    <w:rsid w:val="0090055E"/>
    <w:rsid w:val="00900813"/>
    <w:rsid w:val="00900847"/>
    <w:rsid w:val="0090084D"/>
    <w:rsid w:val="009008B1"/>
    <w:rsid w:val="00900C3A"/>
    <w:rsid w:val="00900C9A"/>
    <w:rsid w:val="009011DF"/>
    <w:rsid w:val="0090140C"/>
    <w:rsid w:val="009016C3"/>
    <w:rsid w:val="00901BA5"/>
    <w:rsid w:val="009021D0"/>
    <w:rsid w:val="00902222"/>
    <w:rsid w:val="00902366"/>
    <w:rsid w:val="009024A2"/>
    <w:rsid w:val="00902572"/>
    <w:rsid w:val="0090270F"/>
    <w:rsid w:val="00902DDF"/>
    <w:rsid w:val="00903073"/>
    <w:rsid w:val="0090310B"/>
    <w:rsid w:val="00903239"/>
    <w:rsid w:val="009033A3"/>
    <w:rsid w:val="0090355E"/>
    <w:rsid w:val="0090380E"/>
    <w:rsid w:val="00903CA4"/>
    <w:rsid w:val="00903D0E"/>
    <w:rsid w:val="00903EF3"/>
    <w:rsid w:val="00903F85"/>
    <w:rsid w:val="00904383"/>
    <w:rsid w:val="009045CA"/>
    <w:rsid w:val="00904642"/>
    <w:rsid w:val="00904827"/>
    <w:rsid w:val="00904C71"/>
    <w:rsid w:val="00904D2A"/>
    <w:rsid w:val="00904D64"/>
    <w:rsid w:val="00904E00"/>
    <w:rsid w:val="00904F00"/>
    <w:rsid w:val="009050CD"/>
    <w:rsid w:val="00905123"/>
    <w:rsid w:val="009055D1"/>
    <w:rsid w:val="009056BF"/>
    <w:rsid w:val="009056ED"/>
    <w:rsid w:val="0090575D"/>
    <w:rsid w:val="00905941"/>
    <w:rsid w:val="00905B65"/>
    <w:rsid w:val="00905EF7"/>
    <w:rsid w:val="00905FA5"/>
    <w:rsid w:val="00906072"/>
    <w:rsid w:val="00906179"/>
    <w:rsid w:val="009061AD"/>
    <w:rsid w:val="00906277"/>
    <w:rsid w:val="00906540"/>
    <w:rsid w:val="00906CA8"/>
    <w:rsid w:val="009072D2"/>
    <w:rsid w:val="00907391"/>
    <w:rsid w:val="0090765B"/>
    <w:rsid w:val="00907889"/>
    <w:rsid w:val="00910385"/>
    <w:rsid w:val="00910433"/>
    <w:rsid w:val="009105FD"/>
    <w:rsid w:val="00910742"/>
    <w:rsid w:val="00910D77"/>
    <w:rsid w:val="009110AC"/>
    <w:rsid w:val="00911323"/>
    <w:rsid w:val="00911570"/>
    <w:rsid w:val="00911772"/>
    <w:rsid w:val="00911984"/>
    <w:rsid w:val="00911AF3"/>
    <w:rsid w:val="00911E1F"/>
    <w:rsid w:val="0091250B"/>
    <w:rsid w:val="00912559"/>
    <w:rsid w:val="00912660"/>
    <w:rsid w:val="00912664"/>
    <w:rsid w:val="00912F51"/>
    <w:rsid w:val="00913076"/>
    <w:rsid w:val="009133A7"/>
    <w:rsid w:val="009134F9"/>
    <w:rsid w:val="00913656"/>
    <w:rsid w:val="00913A05"/>
    <w:rsid w:val="00913F21"/>
    <w:rsid w:val="00914093"/>
    <w:rsid w:val="009141D5"/>
    <w:rsid w:val="00914829"/>
    <w:rsid w:val="00914A6B"/>
    <w:rsid w:val="00915A0B"/>
    <w:rsid w:val="009162BF"/>
    <w:rsid w:val="0091639B"/>
    <w:rsid w:val="009167B2"/>
    <w:rsid w:val="009168DA"/>
    <w:rsid w:val="00916AF6"/>
    <w:rsid w:val="00916B8B"/>
    <w:rsid w:val="00916BF0"/>
    <w:rsid w:val="00917089"/>
    <w:rsid w:val="00917408"/>
    <w:rsid w:val="0091756F"/>
    <w:rsid w:val="009175ED"/>
    <w:rsid w:val="009177D9"/>
    <w:rsid w:val="0092019D"/>
    <w:rsid w:val="009208B5"/>
    <w:rsid w:val="00920991"/>
    <w:rsid w:val="00920ADB"/>
    <w:rsid w:val="00920EA4"/>
    <w:rsid w:val="009210EB"/>
    <w:rsid w:val="009213E9"/>
    <w:rsid w:val="009213F6"/>
    <w:rsid w:val="00921756"/>
    <w:rsid w:val="00921B2B"/>
    <w:rsid w:val="00921B9F"/>
    <w:rsid w:val="00921C7E"/>
    <w:rsid w:val="00921CA3"/>
    <w:rsid w:val="009220A0"/>
    <w:rsid w:val="009222CB"/>
    <w:rsid w:val="0092230B"/>
    <w:rsid w:val="009226DD"/>
    <w:rsid w:val="00922C11"/>
    <w:rsid w:val="009234D4"/>
    <w:rsid w:val="009235B5"/>
    <w:rsid w:val="009237A4"/>
    <w:rsid w:val="00923A39"/>
    <w:rsid w:val="00923ADE"/>
    <w:rsid w:val="00924206"/>
    <w:rsid w:val="00924805"/>
    <w:rsid w:val="0092492F"/>
    <w:rsid w:val="0092495B"/>
    <w:rsid w:val="00924967"/>
    <w:rsid w:val="00924AAF"/>
    <w:rsid w:val="00924ACB"/>
    <w:rsid w:val="00924EBD"/>
    <w:rsid w:val="00925087"/>
    <w:rsid w:val="00925090"/>
    <w:rsid w:val="00925592"/>
    <w:rsid w:val="0092587C"/>
    <w:rsid w:val="00925A5B"/>
    <w:rsid w:val="00925A86"/>
    <w:rsid w:val="00925D53"/>
    <w:rsid w:val="00925DA9"/>
    <w:rsid w:val="00925E24"/>
    <w:rsid w:val="00926094"/>
    <w:rsid w:val="0092631C"/>
    <w:rsid w:val="00926937"/>
    <w:rsid w:val="00926DD9"/>
    <w:rsid w:val="00927188"/>
    <w:rsid w:val="009272BF"/>
    <w:rsid w:val="0092736B"/>
    <w:rsid w:val="00927C61"/>
    <w:rsid w:val="009300E7"/>
    <w:rsid w:val="009302B3"/>
    <w:rsid w:val="00930855"/>
    <w:rsid w:val="009310F2"/>
    <w:rsid w:val="00931387"/>
    <w:rsid w:val="00931438"/>
    <w:rsid w:val="00931BE0"/>
    <w:rsid w:val="00931C5B"/>
    <w:rsid w:val="00931CE0"/>
    <w:rsid w:val="00931D5C"/>
    <w:rsid w:val="00932329"/>
    <w:rsid w:val="009327C6"/>
    <w:rsid w:val="00932CC7"/>
    <w:rsid w:val="00932CDF"/>
    <w:rsid w:val="00932D15"/>
    <w:rsid w:val="00932DF9"/>
    <w:rsid w:val="00932E3E"/>
    <w:rsid w:val="00932FA3"/>
    <w:rsid w:val="0093360C"/>
    <w:rsid w:val="00933658"/>
    <w:rsid w:val="00933770"/>
    <w:rsid w:val="00933860"/>
    <w:rsid w:val="00933A6B"/>
    <w:rsid w:val="00933D46"/>
    <w:rsid w:val="009341F1"/>
    <w:rsid w:val="00934307"/>
    <w:rsid w:val="009348E7"/>
    <w:rsid w:val="00934D9B"/>
    <w:rsid w:val="00934E8B"/>
    <w:rsid w:val="009352C7"/>
    <w:rsid w:val="009354E7"/>
    <w:rsid w:val="009356FB"/>
    <w:rsid w:val="0093583C"/>
    <w:rsid w:val="00935A58"/>
    <w:rsid w:val="00935C8B"/>
    <w:rsid w:val="009360B8"/>
    <w:rsid w:val="0093667E"/>
    <w:rsid w:val="00936A09"/>
    <w:rsid w:val="00936CCC"/>
    <w:rsid w:val="00936E66"/>
    <w:rsid w:val="0093707F"/>
    <w:rsid w:val="0093737E"/>
    <w:rsid w:val="009373DA"/>
    <w:rsid w:val="009376C8"/>
    <w:rsid w:val="009379A0"/>
    <w:rsid w:val="009379BA"/>
    <w:rsid w:val="009379D4"/>
    <w:rsid w:val="00937A50"/>
    <w:rsid w:val="00937B5C"/>
    <w:rsid w:val="00937BC5"/>
    <w:rsid w:val="00937C36"/>
    <w:rsid w:val="00937EA4"/>
    <w:rsid w:val="009407D8"/>
    <w:rsid w:val="00940B5C"/>
    <w:rsid w:val="00940F2B"/>
    <w:rsid w:val="0094100E"/>
    <w:rsid w:val="00941035"/>
    <w:rsid w:val="00941295"/>
    <w:rsid w:val="00941731"/>
    <w:rsid w:val="00941E54"/>
    <w:rsid w:val="00942658"/>
    <w:rsid w:val="009427EB"/>
    <w:rsid w:val="00942B98"/>
    <w:rsid w:val="00942D1D"/>
    <w:rsid w:val="00942E4F"/>
    <w:rsid w:val="00943293"/>
    <w:rsid w:val="00943468"/>
    <w:rsid w:val="00943612"/>
    <w:rsid w:val="0094387E"/>
    <w:rsid w:val="00943A4E"/>
    <w:rsid w:val="00943FBF"/>
    <w:rsid w:val="0094436A"/>
    <w:rsid w:val="009443AF"/>
    <w:rsid w:val="0094452E"/>
    <w:rsid w:val="0094455A"/>
    <w:rsid w:val="0094491C"/>
    <w:rsid w:val="00944A90"/>
    <w:rsid w:val="00944B6F"/>
    <w:rsid w:val="00944B94"/>
    <w:rsid w:val="00944C66"/>
    <w:rsid w:val="00944CC1"/>
    <w:rsid w:val="00944F65"/>
    <w:rsid w:val="00945222"/>
    <w:rsid w:val="009452F7"/>
    <w:rsid w:val="009459A0"/>
    <w:rsid w:val="00945AD7"/>
    <w:rsid w:val="00945AF9"/>
    <w:rsid w:val="00945BA1"/>
    <w:rsid w:val="00945BF5"/>
    <w:rsid w:val="00945C35"/>
    <w:rsid w:val="00946085"/>
    <w:rsid w:val="009463A0"/>
    <w:rsid w:val="00946745"/>
    <w:rsid w:val="0094681B"/>
    <w:rsid w:val="00946A96"/>
    <w:rsid w:val="00946BFB"/>
    <w:rsid w:val="00946CDF"/>
    <w:rsid w:val="00946FE4"/>
    <w:rsid w:val="009473C4"/>
    <w:rsid w:val="00947643"/>
    <w:rsid w:val="009479D2"/>
    <w:rsid w:val="009479E3"/>
    <w:rsid w:val="00947C48"/>
    <w:rsid w:val="00947F27"/>
    <w:rsid w:val="00950072"/>
    <w:rsid w:val="0095078A"/>
    <w:rsid w:val="009510D9"/>
    <w:rsid w:val="0095120C"/>
    <w:rsid w:val="0095120D"/>
    <w:rsid w:val="0095130F"/>
    <w:rsid w:val="0095176F"/>
    <w:rsid w:val="00951A37"/>
    <w:rsid w:val="00951A7A"/>
    <w:rsid w:val="00951AAE"/>
    <w:rsid w:val="00951B54"/>
    <w:rsid w:val="0095204F"/>
    <w:rsid w:val="00952258"/>
    <w:rsid w:val="0095233F"/>
    <w:rsid w:val="00952413"/>
    <w:rsid w:val="009524C8"/>
    <w:rsid w:val="009524FA"/>
    <w:rsid w:val="0095260C"/>
    <w:rsid w:val="009528B7"/>
    <w:rsid w:val="009528E3"/>
    <w:rsid w:val="00952A56"/>
    <w:rsid w:val="00952C7F"/>
    <w:rsid w:val="00952CBE"/>
    <w:rsid w:val="009531A0"/>
    <w:rsid w:val="00953214"/>
    <w:rsid w:val="00953217"/>
    <w:rsid w:val="0095377C"/>
    <w:rsid w:val="009537F4"/>
    <w:rsid w:val="009538BF"/>
    <w:rsid w:val="00953C83"/>
    <w:rsid w:val="00953E29"/>
    <w:rsid w:val="00954004"/>
    <w:rsid w:val="00954132"/>
    <w:rsid w:val="009542FF"/>
    <w:rsid w:val="0095467C"/>
    <w:rsid w:val="009546ED"/>
    <w:rsid w:val="009547F0"/>
    <w:rsid w:val="0095488D"/>
    <w:rsid w:val="00954900"/>
    <w:rsid w:val="00954948"/>
    <w:rsid w:val="00955056"/>
    <w:rsid w:val="00955312"/>
    <w:rsid w:val="00955380"/>
    <w:rsid w:val="009557A3"/>
    <w:rsid w:val="00955B80"/>
    <w:rsid w:val="00955BEE"/>
    <w:rsid w:val="00955BF5"/>
    <w:rsid w:val="00955CF9"/>
    <w:rsid w:val="00955FB3"/>
    <w:rsid w:val="0095618C"/>
    <w:rsid w:val="009563F3"/>
    <w:rsid w:val="00956735"/>
    <w:rsid w:val="00956E00"/>
    <w:rsid w:val="00956F09"/>
    <w:rsid w:val="0095743F"/>
    <w:rsid w:val="00957AF8"/>
    <w:rsid w:val="00957BCE"/>
    <w:rsid w:val="00957D8E"/>
    <w:rsid w:val="00960025"/>
    <w:rsid w:val="00960163"/>
    <w:rsid w:val="00960342"/>
    <w:rsid w:val="00960414"/>
    <w:rsid w:val="0096050C"/>
    <w:rsid w:val="00960531"/>
    <w:rsid w:val="009607C6"/>
    <w:rsid w:val="00960D65"/>
    <w:rsid w:val="00960D84"/>
    <w:rsid w:val="00960E01"/>
    <w:rsid w:val="0096106B"/>
    <w:rsid w:val="00961318"/>
    <w:rsid w:val="00961A89"/>
    <w:rsid w:val="00961AA3"/>
    <w:rsid w:val="00961B9D"/>
    <w:rsid w:val="00961C6B"/>
    <w:rsid w:val="00961CB3"/>
    <w:rsid w:val="00961D10"/>
    <w:rsid w:val="00962621"/>
    <w:rsid w:val="00962AC9"/>
    <w:rsid w:val="00962E56"/>
    <w:rsid w:val="00962FBF"/>
    <w:rsid w:val="009632A9"/>
    <w:rsid w:val="0096333D"/>
    <w:rsid w:val="009634A1"/>
    <w:rsid w:val="00963B7F"/>
    <w:rsid w:val="009640D0"/>
    <w:rsid w:val="009642DC"/>
    <w:rsid w:val="00964C50"/>
    <w:rsid w:val="00964E6C"/>
    <w:rsid w:val="00965024"/>
    <w:rsid w:val="009651BE"/>
    <w:rsid w:val="009654F2"/>
    <w:rsid w:val="00965540"/>
    <w:rsid w:val="009657FD"/>
    <w:rsid w:val="009659C1"/>
    <w:rsid w:val="00966166"/>
    <w:rsid w:val="0096623D"/>
    <w:rsid w:val="009662AD"/>
    <w:rsid w:val="00966447"/>
    <w:rsid w:val="0096683D"/>
    <w:rsid w:val="00966D3E"/>
    <w:rsid w:val="00966E55"/>
    <w:rsid w:val="00966FB6"/>
    <w:rsid w:val="009670C9"/>
    <w:rsid w:val="009702AD"/>
    <w:rsid w:val="0097049F"/>
    <w:rsid w:val="009704A4"/>
    <w:rsid w:val="0097054A"/>
    <w:rsid w:val="00970798"/>
    <w:rsid w:val="0097096C"/>
    <w:rsid w:val="00970A43"/>
    <w:rsid w:val="00970B5D"/>
    <w:rsid w:val="009710B5"/>
    <w:rsid w:val="009712DF"/>
    <w:rsid w:val="0097131B"/>
    <w:rsid w:val="0097168D"/>
    <w:rsid w:val="00971774"/>
    <w:rsid w:val="009717E5"/>
    <w:rsid w:val="00971BDE"/>
    <w:rsid w:val="00971D71"/>
    <w:rsid w:val="00972221"/>
    <w:rsid w:val="00972703"/>
    <w:rsid w:val="009727D7"/>
    <w:rsid w:val="00972C90"/>
    <w:rsid w:val="00972D97"/>
    <w:rsid w:val="00973A05"/>
    <w:rsid w:val="00973A23"/>
    <w:rsid w:val="00973C9C"/>
    <w:rsid w:val="00973CA7"/>
    <w:rsid w:val="00973DB8"/>
    <w:rsid w:val="00973DCA"/>
    <w:rsid w:val="00973E0A"/>
    <w:rsid w:val="0097416A"/>
    <w:rsid w:val="009743A3"/>
    <w:rsid w:val="009743FE"/>
    <w:rsid w:val="009746D4"/>
    <w:rsid w:val="00974910"/>
    <w:rsid w:val="00974CBA"/>
    <w:rsid w:val="00974D16"/>
    <w:rsid w:val="00974E3C"/>
    <w:rsid w:val="009750D3"/>
    <w:rsid w:val="0097534F"/>
    <w:rsid w:val="0097552B"/>
    <w:rsid w:val="009755BA"/>
    <w:rsid w:val="009755D0"/>
    <w:rsid w:val="0097597C"/>
    <w:rsid w:val="00975BAA"/>
    <w:rsid w:val="00975BF0"/>
    <w:rsid w:val="00975CA4"/>
    <w:rsid w:val="00976042"/>
    <w:rsid w:val="009761D5"/>
    <w:rsid w:val="0097623D"/>
    <w:rsid w:val="009762B6"/>
    <w:rsid w:val="00976453"/>
    <w:rsid w:val="009765F3"/>
    <w:rsid w:val="009765FA"/>
    <w:rsid w:val="009769B4"/>
    <w:rsid w:val="00976B1C"/>
    <w:rsid w:val="00976BB3"/>
    <w:rsid w:val="00976E8A"/>
    <w:rsid w:val="009774E8"/>
    <w:rsid w:val="00977831"/>
    <w:rsid w:val="00977D77"/>
    <w:rsid w:val="00977E09"/>
    <w:rsid w:val="00977F77"/>
    <w:rsid w:val="00977FD2"/>
    <w:rsid w:val="00980030"/>
    <w:rsid w:val="009800AF"/>
    <w:rsid w:val="009803FF"/>
    <w:rsid w:val="00980565"/>
    <w:rsid w:val="00980AAF"/>
    <w:rsid w:val="00980CDB"/>
    <w:rsid w:val="00980CE2"/>
    <w:rsid w:val="00980CF2"/>
    <w:rsid w:val="00980D39"/>
    <w:rsid w:val="00980D54"/>
    <w:rsid w:val="00980DDB"/>
    <w:rsid w:val="00981269"/>
    <w:rsid w:val="009812D3"/>
    <w:rsid w:val="00981350"/>
    <w:rsid w:val="0098141E"/>
    <w:rsid w:val="0098168A"/>
    <w:rsid w:val="009817B7"/>
    <w:rsid w:val="00981AA5"/>
    <w:rsid w:val="00981AD3"/>
    <w:rsid w:val="00981C75"/>
    <w:rsid w:val="00981CCC"/>
    <w:rsid w:val="009823F5"/>
    <w:rsid w:val="0098260C"/>
    <w:rsid w:val="00982CA1"/>
    <w:rsid w:val="00982E02"/>
    <w:rsid w:val="0098300E"/>
    <w:rsid w:val="0098355F"/>
    <w:rsid w:val="00983A17"/>
    <w:rsid w:val="009840F1"/>
    <w:rsid w:val="0098433C"/>
    <w:rsid w:val="0098443A"/>
    <w:rsid w:val="00984625"/>
    <w:rsid w:val="00984691"/>
    <w:rsid w:val="009846A0"/>
    <w:rsid w:val="00984785"/>
    <w:rsid w:val="00984961"/>
    <w:rsid w:val="00984E60"/>
    <w:rsid w:val="00984FBB"/>
    <w:rsid w:val="009856BD"/>
    <w:rsid w:val="0098630C"/>
    <w:rsid w:val="009864D8"/>
    <w:rsid w:val="009865DA"/>
    <w:rsid w:val="009866A3"/>
    <w:rsid w:val="00986AE3"/>
    <w:rsid w:val="00986DFD"/>
    <w:rsid w:val="00987070"/>
    <w:rsid w:val="009873A9"/>
    <w:rsid w:val="009876E1"/>
    <w:rsid w:val="0098775E"/>
    <w:rsid w:val="00987770"/>
    <w:rsid w:val="00987A4B"/>
    <w:rsid w:val="00987C4F"/>
    <w:rsid w:val="00987D28"/>
    <w:rsid w:val="00987E3E"/>
    <w:rsid w:val="00987E49"/>
    <w:rsid w:val="00987FAF"/>
    <w:rsid w:val="009904D7"/>
    <w:rsid w:val="00990611"/>
    <w:rsid w:val="00990623"/>
    <w:rsid w:val="00990BAF"/>
    <w:rsid w:val="00990CA4"/>
    <w:rsid w:val="00990CEA"/>
    <w:rsid w:val="00990D4B"/>
    <w:rsid w:val="00991272"/>
    <w:rsid w:val="0099172B"/>
    <w:rsid w:val="009917AB"/>
    <w:rsid w:val="009919DC"/>
    <w:rsid w:val="00991A53"/>
    <w:rsid w:val="00991AB6"/>
    <w:rsid w:val="00991B2B"/>
    <w:rsid w:val="00991BCA"/>
    <w:rsid w:val="00991CC7"/>
    <w:rsid w:val="00991E2A"/>
    <w:rsid w:val="00991E74"/>
    <w:rsid w:val="00991F3F"/>
    <w:rsid w:val="00991F7A"/>
    <w:rsid w:val="009920C6"/>
    <w:rsid w:val="00992591"/>
    <w:rsid w:val="009925AD"/>
    <w:rsid w:val="0099287A"/>
    <w:rsid w:val="009928EE"/>
    <w:rsid w:val="00992C29"/>
    <w:rsid w:val="00992D6A"/>
    <w:rsid w:val="00992E11"/>
    <w:rsid w:val="0099305A"/>
    <w:rsid w:val="009930ED"/>
    <w:rsid w:val="009931F5"/>
    <w:rsid w:val="009932EF"/>
    <w:rsid w:val="00993538"/>
    <w:rsid w:val="0099370D"/>
    <w:rsid w:val="0099377F"/>
    <w:rsid w:val="009937F3"/>
    <w:rsid w:val="00993D38"/>
    <w:rsid w:val="00993E32"/>
    <w:rsid w:val="00993E8B"/>
    <w:rsid w:val="00993F5C"/>
    <w:rsid w:val="009940B1"/>
    <w:rsid w:val="0099425F"/>
    <w:rsid w:val="009942E2"/>
    <w:rsid w:val="00994570"/>
    <w:rsid w:val="00994796"/>
    <w:rsid w:val="00994A45"/>
    <w:rsid w:val="00994AC8"/>
    <w:rsid w:val="00994BA9"/>
    <w:rsid w:val="00994BEC"/>
    <w:rsid w:val="00994C1D"/>
    <w:rsid w:val="00994C74"/>
    <w:rsid w:val="009952AF"/>
    <w:rsid w:val="00995307"/>
    <w:rsid w:val="00995449"/>
    <w:rsid w:val="009954E7"/>
    <w:rsid w:val="00995AD8"/>
    <w:rsid w:val="00995B1E"/>
    <w:rsid w:val="009961D2"/>
    <w:rsid w:val="00996706"/>
    <w:rsid w:val="00996997"/>
    <w:rsid w:val="00996C19"/>
    <w:rsid w:val="00997763"/>
    <w:rsid w:val="009977D5"/>
    <w:rsid w:val="009978E0"/>
    <w:rsid w:val="00997B03"/>
    <w:rsid w:val="00997FC5"/>
    <w:rsid w:val="009A01FD"/>
    <w:rsid w:val="009A02BF"/>
    <w:rsid w:val="009A0615"/>
    <w:rsid w:val="009A08DD"/>
    <w:rsid w:val="009A0AEF"/>
    <w:rsid w:val="009A0BAC"/>
    <w:rsid w:val="009A10BD"/>
    <w:rsid w:val="009A11D6"/>
    <w:rsid w:val="009A1418"/>
    <w:rsid w:val="009A1700"/>
    <w:rsid w:val="009A180D"/>
    <w:rsid w:val="009A1845"/>
    <w:rsid w:val="009A1B11"/>
    <w:rsid w:val="009A1F26"/>
    <w:rsid w:val="009A1F9C"/>
    <w:rsid w:val="009A2095"/>
    <w:rsid w:val="009A2241"/>
    <w:rsid w:val="009A22EB"/>
    <w:rsid w:val="009A27D0"/>
    <w:rsid w:val="009A2975"/>
    <w:rsid w:val="009A29A6"/>
    <w:rsid w:val="009A2D5B"/>
    <w:rsid w:val="009A2F56"/>
    <w:rsid w:val="009A32A3"/>
    <w:rsid w:val="009A3317"/>
    <w:rsid w:val="009A3BDC"/>
    <w:rsid w:val="009A3E8F"/>
    <w:rsid w:val="009A415D"/>
    <w:rsid w:val="009A43A9"/>
    <w:rsid w:val="009A4564"/>
    <w:rsid w:val="009A4573"/>
    <w:rsid w:val="009A4731"/>
    <w:rsid w:val="009A4B30"/>
    <w:rsid w:val="009A4FC7"/>
    <w:rsid w:val="009A4FFB"/>
    <w:rsid w:val="009A5158"/>
    <w:rsid w:val="009A5A48"/>
    <w:rsid w:val="009A5C4E"/>
    <w:rsid w:val="009A5D9C"/>
    <w:rsid w:val="009A6335"/>
    <w:rsid w:val="009A6370"/>
    <w:rsid w:val="009A6D7A"/>
    <w:rsid w:val="009A6E11"/>
    <w:rsid w:val="009A6F81"/>
    <w:rsid w:val="009A7451"/>
    <w:rsid w:val="009A77DE"/>
    <w:rsid w:val="009A7963"/>
    <w:rsid w:val="009A7CAF"/>
    <w:rsid w:val="009A7E47"/>
    <w:rsid w:val="009A7E92"/>
    <w:rsid w:val="009A7F4C"/>
    <w:rsid w:val="009B010F"/>
    <w:rsid w:val="009B0128"/>
    <w:rsid w:val="009B0622"/>
    <w:rsid w:val="009B076B"/>
    <w:rsid w:val="009B08DB"/>
    <w:rsid w:val="009B093F"/>
    <w:rsid w:val="009B0AB6"/>
    <w:rsid w:val="009B0E80"/>
    <w:rsid w:val="009B11D1"/>
    <w:rsid w:val="009B12AD"/>
    <w:rsid w:val="009B1324"/>
    <w:rsid w:val="009B1367"/>
    <w:rsid w:val="009B1795"/>
    <w:rsid w:val="009B17D8"/>
    <w:rsid w:val="009B18D3"/>
    <w:rsid w:val="009B19DB"/>
    <w:rsid w:val="009B2087"/>
    <w:rsid w:val="009B25A8"/>
    <w:rsid w:val="009B2774"/>
    <w:rsid w:val="009B27E6"/>
    <w:rsid w:val="009B2882"/>
    <w:rsid w:val="009B28FE"/>
    <w:rsid w:val="009B292D"/>
    <w:rsid w:val="009B29F5"/>
    <w:rsid w:val="009B2B8E"/>
    <w:rsid w:val="009B2D60"/>
    <w:rsid w:val="009B2D8B"/>
    <w:rsid w:val="009B317D"/>
    <w:rsid w:val="009B31CC"/>
    <w:rsid w:val="009B3578"/>
    <w:rsid w:val="009B3638"/>
    <w:rsid w:val="009B42F0"/>
    <w:rsid w:val="009B43C7"/>
    <w:rsid w:val="009B452A"/>
    <w:rsid w:val="009B4598"/>
    <w:rsid w:val="009B47A1"/>
    <w:rsid w:val="009B47E1"/>
    <w:rsid w:val="009B48D7"/>
    <w:rsid w:val="009B5033"/>
    <w:rsid w:val="009B5759"/>
    <w:rsid w:val="009B5801"/>
    <w:rsid w:val="009B587C"/>
    <w:rsid w:val="009B591D"/>
    <w:rsid w:val="009B5BD7"/>
    <w:rsid w:val="009B5DCA"/>
    <w:rsid w:val="009B5E12"/>
    <w:rsid w:val="009B649F"/>
    <w:rsid w:val="009B64F1"/>
    <w:rsid w:val="009B66F3"/>
    <w:rsid w:val="009B68D0"/>
    <w:rsid w:val="009B6922"/>
    <w:rsid w:val="009B6AD0"/>
    <w:rsid w:val="009B6D55"/>
    <w:rsid w:val="009B7B3C"/>
    <w:rsid w:val="009B7E21"/>
    <w:rsid w:val="009C0098"/>
    <w:rsid w:val="009C0105"/>
    <w:rsid w:val="009C01C4"/>
    <w:rsid w:val="009C05DD"/>
    <w:rsid w:val="009C060B"/>
    <w:rsid w:val="009C07CD"/>
    <w:rsid w:val="009C0945"/>
    <w:rsid w:val="009C0D21"/>
    <w:rsid w:val="009C1247"/>
    <w:rsid w:val="009C1486"/>
    <w:rsid w:val="009C1650"/>
    <w:rsid w:val="009C1AD7"/>
    <w:rsid w:val="009C1CA9"/>
    <w:rsid w:val="009C1D09"/>
    <w:rsid w:val="009C21B0"/>
    <w:rsid w:val="009C2295"/>
    <w:rsid w:val="009C22D5"/>
    <w:rsid w:val="009C23D7"/>
    <w:rsid w:val="009C2545"/>
    <w:rsid w:val="009C2A8C"/>
    <w:rsid w:val="009C2C8D"/>
    <w:rsid w:val="009C3396"/>
    <w:rsid w:val="009C3527"/>
    <w:rsid w:val="009C35CF"/>
    <w:rsid w:val="009C3A96"/>
    <w:rsid w:val="009C42C8"/>
    <w:rsid w:val="009C42E8"/>
    <w:rsid w:val="009C46E9"/>
    <w:rsid w:val="009C4962"/>
    <w:rsid w:val="009C4AC2"/>
    <w:rsid w:val="009C4AF2"/>
    <w:rsid w:val="009C4D32"/>
    <w:rsid w:val="009C4DE7"/>
    <w:rsid w:val="009C4DF8"/>
    <w:rsid w:val="009C4EB2"/>
    <w:rsid w:val="009C4F72"/>
    <w:rsid w:val="009C5059"/>
    <w:rsid w:val="009C5391"/>
    <w:rsid w:val="009C567E"/>
    <w:rsid w:val="009C57ED"/>
    <w:rsid w:val="009C58FA"/>
    <w:rsid w:val="009C5F37"/>
    <w:rsid w:val="009C60E7"/>
    <w:rsid w:val="009C6580"/>
    <w:rsid w:val="009C65D0"/>
    <w:rsid w:val="009C68E7"/>
    <w:rsid w:val="009C695A"/>
    <w:rsid w:val="009C6979"/>
    <w:rsid w:val="009C6CB1"/>
    <w:rsid w:val="009C75E4"/>
    <w:rsid w:val="009C7711"/>
    <w:rsid w:val="009C7EA1"/>
    <w:rsid w:val="009D0075"/>
    <w:rsid w:val="009D0166"/>
    <w:rsid w:val="009D06C8"/>
    <w:rsid w:val="009D075A"/>
    <w:rsid w:val="009D0B57"/>
    <w:rsid w:val="009D0C9A"/>
    <w:rsid w:val="009D0D8A"/>
    <w:rsid w:val="009D0D95"/>
    <w:rsid w:val="009D0E7A"/>
    <w:rsid w:val="009D11D1"/>
    <w:rsid w:val="009D1315"/>
    <w:rsid w:val="009D1421"/>
    <w:rsid w:val="009D16B6"/>
    <w:rsid w:val="009D1A47"/>
    <w:rsid w:val="009D1A6F"/>
    <w:rsid w:val="009D1E59"/>
    <w:rsid w:val="009D262E"/>
    <w:rsid w:val="009D26B2"/>
    <w:rsid w:val="009D275C"/>
    <w:rsid w:val="009D281F"/>
    <w:rsid w:val="009D29E4"/>
    <w:rsid w:val="009D2CD0"/>
    <w:rsid w:val="009D2E8B"/>
    <w:rsid w:val="009D2FEF"/>
    <w:rsid w:val="009D329F"/>
    <w:rsid w:val="009D3614"/>
    <w:rsid w:val="009D3A3E"/>
    <w:rsid w:val="009D3BF7"/>
    <w:rsid w:val="009D3C48"/>
    <w:rsid w:val="009D3E18"/>
    <w:rsid w:val="009D3EC0"/>
    <w:rsid w:val="009D4169"/>
    <w:rsid w:val="009D485D"/>
    <w:rsid w:val="009D489B"/>
    <w:rsid w:val="009D4E83"/>
    <w:rsid w:val="009D4F87"/>
    <w:rsid w:val="009D4FAF"/>
    <w:rsid w:val="009D51BA"/>
    <w:rsid w:val="009D5285"/>
    <w:rsid w:val="009D5849"/>
    <w:rsid w:val="009D5DDB"/>
    <w:rsid w:val="009D5E0A"/>
    <w:rsid w:val="009D5F8E"/>
    <w:rsid w:val="009D5FBD"/>
    <w:rsid w:val="009D6193"/>
    <w:rsid w:val="009D628C"/>
    <w:rsid w:val="009D65F6"/>
    <w:rsid w:val="009D66B6"/>
    <w:rsid w:val="009D66CE"/>
    <w:rsid w:val="009D6887"/>
    <w:rsid w:val="009D6A52"/>
    <w:rsid w:val="009D6A68"/>
    <w:rsid w:val="009D6C78"/>
    <w:rsid w:val="009D6E48"/>
    <w:rsid w:val="009D6FEB"/>
    <w:rsid w:val="009D719C"/>
    <w:rsid w:val="009D7A3E"/>
    <w:rsid w:val="009D7C38"/>
    <w:rsid w:val="009D7CB4"/>
    <w:rsid w:val="009D7DB2"/>
    <w:rsid w:val="009D7E32"/>
    <w:rsid w:val="009D7F8D"/>
    <w:rsid w:val="009E015E"/>
    <w:rsid w:val="009E01F0"/>
    <w:rsid w:val="009E02AD"/>
    <w:rsid w:val="009E02EA"/>
    <w:rsid w:val="009E0363"/>
    <w:rsid w:val="009E0483"/>
    <w:rsid w:val="009E0546"/>
    <w:rsid w:val="009E08EE"/>
    <w:rsid w:val="009E0BFC"/>
    <w:rsid w:val="009E1773"/>
    <w:rsid w:val="009E1793"/>
    <w:rsid w:val="009E1B76"/>
    <w:rsid w:val="009E1C81"/>
    <w:rsid w:val="009E21EC"/>
    <w:rsid w:val="009E2C4E"/>
    <w:rsid w:val="009E2D05"/>
    <w:rsid w:val="009E30DF"/>
    <w:rsid w:val="009E31A4"/>
    <w:rsid w:val="009E31D3"/>
    <w:rsid w:val="009E31ED"/>
    <w:rsid w:val="009E33F6"/>
    <w:rsid w:val="009E3442"/>
    <w:rsid w:val="009E37CE"/>
    <w:rsid w:val="009E3A7A"/>
    <w:rsid w:val="009E3BEC"/>
    <w:rsid w:val="009E3DC0"/>
    <w:rsid w:val="009E3DDB"/>
    <w:rsid w:val="009E3EE8"/>
    <w:rsid w:val="009E3F36"/>
    <w:rsid w:val="009E3F42"/>
    <w:rsid w:val="009E3FD6"/>
    <w:rsid w:val="009E405B"/>
    <w:rsid w:val="009E4092"/>
    <w:rsid w:val="009E4105"/>
    <w:rsid w:val="009E492F"/>
    <w:rsid w:val="009E4997"/>
    <w:rsid w:val="009E4B44"/>
    <w:rsid w:val="009E4DC0"/>
    <w:rsid w:val="009E500F"/>
    <w:rsid w:val="009E5121"/>
    <w:rsid w:val="009E51DE"/>
    <w:rsid w:val="009E5312"/>
    <w:rsid w:val="009E5388"/>
    <w:rsid w:val="009E555A"/>
    <w:rsid w:val="009E576E"/>
    <w:rsid w:val="009E59B3"/>
    <w:rsid w:val="009E5A41"/>
    <w:rsid w:val="009E5B02"/>
    <w:rsid w:val="009E5E9F"/>
    <w:rsid w:val="009E607F"/>
    <w:rsid w:val="009E63F7"/>
    <w:rsid w:val="009E6475"/>
    <w:rsid w:val="009E65E2"/>
    <w:rsid w:val="009E6AC8"/>
    <w:rsid w:val="009E6C6E"/>
    <w:rsid w:val="009E6E21"/>
    <w:rsid w:val="009E6FB9"/>
    <w:rsid w:val="009E6FFB"/>
    <w:rsid w:val="009E7297"/>
    <w:rsid w:val="009E729B"/>
    <w:rsid w:val="009E74B7"/>
    <w:rsid w:val="009E7D4C"/>
    <w:rsid w:val="009F0285"/>
    <w:rsid w:val="009F0403"/>
    <w:rsid w:val="009F0519"/>
    <w:rsid w:val="009F0CD4"/>
    <w:rsid w:val="009F0E05"/>
    <w:rsid w:val="009F0E87"/>
    <w:rsid w:val="009F126B"/>
    <w:rsid w:val="009F12D5"/>
    <w:rsid w:val="009F146E"/>
    <w:rsid w:val="009F1658"/>
    <w:rsid w:val="009F190A"/>
    <w:rsid w:val="009F1E79"/>
    <w:rsid w:val="009F230F"/>
    <w:rsid w:val="009F2BF1"/>
    <w:rsid w:val="009F2C0D"/>
    <w:rsid w:val="009F2E03"/>
    <w:rsid w:val="009F3222"/>
    <w:rsid w:val="009F337F"/>
    <w:rsid w:val="009F35E1"/>
    <w:rsid w:val="009F3837"/>
    <w:rsid w:val="009F3960"/>
    <w:rsid w:val="009F3D0E"/>
    <w:rsid w:val="009F424A"/>
    <w:rsid w:val="009F43DE"/>
    <w:rsid w:val="009F4902"/>
    <w:rsid w:val="009F49FC"/>
    <w:rsid w:val="009F50DA"/>
    <w:rsid w:val="009F51F4"/>
    <w:rsid w:val="009F543B"/>
    <w:rsid w:val="009F55A1"/>
    <w:rsid w:val="009F56AC"/>
    <w:rsid w:val="009F597D"/>
    <w:rsid w:val="009F59A5"/>
    <w:rsid w:val="009F5AA8"/>
    <w:rsid w:val="009F5C4E"/>
    <w:rsid w:val="009F5FDD"/>
    <w:rsid w:val="009F60C0"/>
    <w:rsid w:val="009F6160"/>
    <w:rsid w:val="009F632D"/>
    <w:rsid w:val="009F654D"/>
    <w:rsid w:val="009F675F"/>
    <w:rsid w:val="009F6882"/>
    <w:rsid w:val="009F6A99"/>
    <w:rsid w:val="009F6C80"/>
    <w:rsid w:val="009F6EE2"/>
    <w:rsid w:val="009F720F"/>
    <w:rsid w:val="009F7354"/>
    <w:rsid w:val="009F7713"/>
    <w:rsid w:val="009F773F"/>
    <w:rsid w:val="009F77D0"/>
    <w:rsid w:val="00A00398"/>
    <w:rsid w:val="00A003F7"/>
    <w:rsid w:val="00A0045C"/>
    <w:rsid w:val="00A00977"/>
    <w:rsid w:val="00A00995"/>
    <w:rsid w:val="00A009BD"/>
    <w:rsid w:val="00A00C9D"/>
    <w:rsid w:val="00A011E7"/>
    <w:rsid w:val="00A0123A"/>
    <w:rsid w:val="00A01353"/>
    <w:rsid w:val="00A0157A"/>
    <w:rsid w:val="00A01862"/>
    <w:rsid w:val="00A01972"/>
    <w:rsid w:val="00A01A6A"/>
    <w:rsid w:val="00A01C1C"/>
    <w:rsid w:val="00A01E81"/>
    <w:rsid w:val="00A02127"/>
    <w:rsid w:val="00A02443"/>
    <w:rsid w:val="00A02948"/>
    <w:rsid w:val="00A02ABF"/>
    <w:rsid w:val="00A02CA0"/>
    <w:rsid w:val="00A02CD6"/>
    <w:rsid w:val="00A031BA"/>
    <w:rsid w:val="00A03268"/>
    <w:rsid w:val="00A032C6"/>
    <w:rsid w:val="00A032FB"/>
    <w:rsid w:val="00A033D8"/>
    <w:rsid w:val="00A0355F"/>
    <w:rsid w:val="00A035D5"/>
    <w:rsid w:val="00A03D49"/>
    <w:rsid w:val="00A03F8E"/>
    <w:rsid w:val="00A0401F"/>
    <w:rsid w:val="00A043CA"/>
    <w:rsid w:val="00A04427"/>
    <w:rsid w:val="00A04DC7"/>
    <w:rsid w:val="00A05215"/>
    <w:rsid w:val="00A05681"/>
    <w:rsid w:val="00A05A54"/>
    <w:rsid w:val="00A05B07"/>
    <w:rsid w:val="00A05D6C"/>
    <w:rsid w:val="00A05DA3"/>
    <w:rsid w:val="00A05EDC"/>
    <w:rsid w:val="00A05F53"/>
    <w:rsid w:val="00A063A7"/>
    <w:rsid w:val="00A06556"/>
    <w:rsid w:val="00A06592"/>
    <w:rsid w:val="00A067B2"/>
    <w:rsid w:val="00A06947"/>
    <w:rsid w:val="00A06AF7"/>
    <w:rsid w:val="00A06B38"/>
    <w:rsid w:val="00A06BF7"/>
    <w:rsid w:val="00A06F29"/>
    <w:rsid w:val="00A074A7"/>
    <w:rsid w:val="00A0760F"/>
    <w:rsid w:val="00A0761F"/>
    <w:rsid w:val="00A07B02"/>
    <w:rsid w:val="00A1023A"/>
    <w:rsid w:val="00A1039E"/>
    <w:rsid w:val="00A104F4"/>
    <w:rsid w:val="00A10A18"/>
    <w:rsid w:val="00A10C08"/>
    <w:rsid w:val="00A10FEC"/>
    <w:rsid w:val="00A1103E"/>
    <w:rsid w:val="00A1121D"/>
    <w:rsid w:val="00A1127E"/>
    <w:rsid w:val="00A1149B"/>
    <w:rsid w:val="00A114C7"/>
    <w:rsid w:val="00A116DB"/>
    <w:rsid w:val="00A11882"/>
    <w:rsid w:val="00A118B5"/>
    <w:rsid w:val="00A11E52"/>
    <w:rsid w:val="00A11F77"/>
    <w:rsid w:val="00A121D7"/>
    <w:rsid w:val="00A12B69"/>
    <w:rsid w:val="00A1307D"/>
    <w:rsid w:val="00A13226"/>
    <w:rsid w:val="00A138E2"/>
    <w:rsid w:val="00A139C9"/>
    <w:rsid w:val="00A13A0D"/>
    <w:rsid w:val="00A13A13"/>
    <w:rsid w:val="00A13DD2"/>
    <w:rsid w:val="00A13F47"/>
    <w:rsid w:val="00A141F3"/>
    <w:rsid w:val="00A145CE"/>
    <w:rsid w:val="00A148BB"/>
    <w:rsid w:val="00A148EC"/>
    <w:rsid w:val="00A149EE"/>
    <w:rsid w:val="00A14E8E"/>
    <w:rsid w:val="00A1505B"/>
    <w:rsid w:val="00A150A8"/>
    <w:rsid w:val="00A1589F"/>
    <w:rsid w:val="00A15AB9"/>
    <w:rsid w:val="00A15B85"/>
    <w:rsid w:val="00A161D6"/>
    <w:rsid w:val="00A16262"/>
    <w:rsid w:val="00A16651"/>
    <w:rsid w:val="00A16D00"/>
    <w:rsid w:val="00A1701E"/>
    <w:rsid w:val="00A171E0"/>
    <w:rsid w:val="00A17556"/>
    <w:rsid w:val="00A17692"/>
    <w:rsid w:val="00A178BC"/>
    <w:rsid w:val="00A179D2"/>
    <w:rsid w:val="00A17AE9"/>
    <w:rsid w:val="00A17B76"/>
    <w:rsid w:val="00A20234"/>
    <w:rsid w:val="00A2028C"/>
    <w:rsid w:val="00A2050C"/>
    <w:rsid w:val="00A20633"/>
    <w:rsid w:val="00A2066B"/>
    <w:rsid w:val="00A20907"/>
    <w:rsid w:val="00A20910"/>
    <w:rsid w:val="00A20C77"/>
    <w:rsid w:val="00A20CF9"/>
    <w:rsid w:val="00A20FBD"/>
    <w:rsid w:val="00A21155"/>
    <w:rsid w:val="00A21442"/>
    <w:rsid w:val="00A214E3"/>
    <w:rsid w:val="00A21937"/>
    <w:rsid w:val="00A2195F"/>
    <w:rsid w:val="00A21AB9"/>
    <w:rsid w:val="00A21BC0"/>
    <w:rsid w:val="00A21E85"/>
    <w:rsid w:val="00A21F54"/>
    <w:rsid w:val="00A2210B"/>
    <w:rsid w:val="00A2288E"/>
    <w:rsid w:val="00A229CE"/>
    <w:rsid w:val="00A23053"/>
    <w:rsid w:val="00A23099"/>
    <w:rsid w:val="00A23797"/>
    <w:rsid w:val="00A241EC"/>
    <w:rsid w:val="00A24203"/>
    <w:rsid w:val="00A2431A"/>
    <w:rsid w:val="00A2444A"/>
    <w:rsid w:val="00A2460C"/>
    <w:rsid w:val="00A246A3"/>
    <w:rsid w:val="00A2488B"/>
    <w:rsid w:val="00A24947"/>
    <w:rsid w:val="00A24A51"/>
    <w:rsid w:val="00A24DF9"/>
    <w:rsid w:val="00A24E3E"/>
    <w:rsid w:val="00A24F69"/>
    <w:rsid w:val="00A2569E"/>
    <w:rsid w:val="00A258E7"/>
    <w:rsid w:val="00A258ED"/>
    <w:rsid w:val="00A25B5F"/>
    <w:rsid w:val="00A25D1C"/>
    <w:rsid w:val="00A25D22"/>
    <w:rsid w:val="00A25FE6"/>
    <w:rsid w:val="00A2606B"/>
    <w:rsid w:val="00A2607F"/>
    <w:rsid w:val="00A268D7"/>
    <w:rsid w:val="00A269FC"/>
    <w:rsid w:val="00A26A3D"/>
    <w:rsid w:val="00A26C3E"/>
    <w:rsid w:val="00A26CE6"/>
    <w:rsid w:val="00A26F2C"/>
    <w:rsid w:val="00A27005"/>
    <w:rsid w:val="00A27011"/>
    <w:rsid w:val="00A271C5"/>
    <w:rsid w:val="00A27666"/>
    <w:rsid w:val="00A27AA4"/>
    <w:rsid w:val="00A30A49"/>
    <w:rsid w:val="00A30B30"/>
    <w:rsid w:val="00A30B42"/>
    <w:rsid w:val="00A30C2D"/>
    <w:rsid w:val="00A30D85"/>
    <w:rsid w:val="00A30D94"/>
    <w:rsid w:val="00A30F92"/>
    <w:rsid w:val="00A315A3"/>
    <w:rsid w:val="00A317C9"/>
    <w:rsid w:val="00A319F0"/>
    <w:rsid w:val="00A31C47"/>
    <w:rsid w:val="00A31D4A"/>
    <w:rsid w:val="00A31EFB"/>
    <w:rsid w:val="00A3241F"/>
    <w:rsid w:val="00A329F5"/>
    <w:rsid w:val="00A32F0F"/>
    <w:rsid w:val="00A33024"/>
    <w:rsid w:val="00A33126"/>
    <w:rsid w:val="00A3314F"/>
    <w:rsid w:val="00A332CC"/>
    <w:rsid w:val="00A3377D"/>
    <w:rsid w:val="00A33829"/>
    <w:rsid w:val="00A34354"/>
    <w:rsid w:val="00A34502"/>
    <w:rsid w:val="00A349DC"/>
    <w:rsid w:val="00A34A6C"/>
    <w:rsid w:val="00A34D44"/>
    <w:rsid w:val="00A34EEC"/>
    <w:rsid w:val="00A359A3"/>
    <w:rsid w:val="00A359DC"/>
    <w:rsid w:val="00A35FEE"/>
    <w:rsid w:val="00A36091"/>
    <w:rsid w:val="00A36493"/>
    <w:rsid w:val="00A364DD"/>
    <w:rsid w:val="00A36575"/>
    <w:rsid w:val="00A365A6"/>
    <w:rsid w:val="00A367FE"/>
    <w:rsid w:val="00A368D9"/>
    <w:rsid w:val="00A36D50"/>
    <w:rsid w:val="00A36EC5"/>
    <w:rsid w:val="00A37470"/>
    <w:rsid w:val="00A37592"/>
    <w:rsid w:val="00A375FD"/>
    <w:rsid w:val="00A37640"/>
    <w:rsid w:val="00A37674"/>
    <w:rsid w:val="00A37A14"/>
    <w:rsid w:val="00A37B18"/>
    <w:rsid w:val="00A37F08"/>
    <w:rsid w:val="00A37F6C"/>
    <w:rsid w:val="00A37F85"/>
    <w:rsid w:val="00A4034C"/>
    <w:rsid w:val="00A403A4"/>
    <w:rsid w:val="00A408CA"/>
    <w:rsid w:val="00A40C6A"/>
    <w:rsid w:val="00A40E79"/>
    <w:rsid w:val="00A41174"/>
    <w:rsid w:val="00A414B6"/>
    <w:rsid w:val="00A414CC"/>
    <w:rsid w:val="00A41771"/>
    <w:rsid w:val="00A41833"/>
    <w:rsid w:val="00A41CD1"/>
    <w:rsid w:val="00A423E1"/>
    <w:rsid w:val="00A4262C"/>
    <w:rsid w:val="00A42A4C"/>
    <w:rsid w:val="00A42AD8"/>
    <w:rsid w:val="00A42B3F"/>
    <w:rsid w:val="00A42D5A"/>
    <w:rsid w:val="00A42D86"/>
    <w:rsid w:val="00A42D8F"/>
    <w:rsid w:val="00A42E05"/>
    <w:rsid w:val="00A42F77"/>
    <w:rsid w:val="00A432AE"/>
    <w:rsid w:val="00A43989"/>
    <w:rsid w:val="00A439A9"/>
    <w:rsid w:val="00A439C0"/>
    <w:rsid w:val="00A43D22"/>
    <w:rsid w:val="00A43D93"/>
    <w:rsid w:val="00A43F7D"/>
    <w:rsid w:val="00A44049"/>
    <w:rsid w:val="00A4434D"/>
    <w:rsid w:val="00A443BE"/>
    <w:rsid w:val="00A4442D"/>
    <w:rsid w:val="00A444AD"/>
    <w:rsid w:val="00A44640"/>
    <w:rsid w:val="00A44E84"/>
    <w:rsid w:val="00A44EB1"/>
    <w:rsid w:val="00A4500B"/>
    <w:rsid w:val="00A45335"/>
    <w:rsid w:val="00A453DF"/>
    <w:rsid w:val="00A458A6"/>
    <w:rsid w:val="00A45A10"/>
    <w:rsid w:val="00A46304"/>
    <w:rsid w:val="00A4666A"/>
    <w:rsid w:val="00A470D1"/>
    <w:rsid w:val="00A4712F"/>
    <w:rsid w:val="00A47374"/>
    <w:rsid w:val="00A4780C"/>
    <w:rsid w:val="00A47A96"/>
    <w:rsid w:val="00A47B86"/>
    <w:rsid w:val="00A47D21"/>
    <w:rsid w:val="00A47DD6"/>
    <w:rsid w:val="00A47E85"/>
    <w:rsid w:val="00A47F3C"/>
    <w:rsid w:val="00A50DD7"/>
    <w:rsid w:val="00A512D8"/>
    <w:rsid w:val="00A51530"/>
    <w:rsid w:val="00A51816"/>
    <w:rsid w:val="00A51CED"/>
    <w:rsid w:val="00A51E82"/>
    <w:rsid w:val="00A51EBA"/>
    <w:rsid w:val="00A5222B"/>
    <w:rsid w:val="00A5222E"/>
    <w:rsid w:val="00A52324"/>
    <w:rsid w:val="00A5305F"/>
    <w:rsid w:val="00A533F6"/>
    <w:rsid w:val="00A53787"/>
    <w:rsid w:val="00A53930"/>
    <w:rsid w:val="00A53CA7"/>
    <w:rsid w:val="00A53D41"/>
    <w:rsid w:val="00A53ED0"/>
    <w:rsid w:val="00A541F1"/>
    <w:rsid w:val="00A54323"/>
    <w:rsid w:val="00A543DF"/>
    <w:rsid w:val="00A543ED"/>
    <w:rsid w:val="00A545B1"/>
    <w:rsid w:val="00A546C1"/>
    <w:rsid w:val="00A554C5"/>
    <w:rsid w:val="00A55578"/>
    <w:rsid w:val="00A55893"/>
    <w:rsid w:val="00A55928"/>
    <w:rsid w:val="00A55C67"/>
    <w:rsid w:val="00A5602B"/>
    <w:rsid w:val="00A560C7"/>
    <w:rsid w:val="00A560EA"/>
    <w:rsid w:val="00A562B0"/>
    <w:rsid w:val="00A56388"/>
    <w:rsid w:val="00A56463"/>
    <w:rsid w:val="00A564CB"/>
    <w:rsid w:val="00A564CF"/>
    <w:rsid w:val="00A5659B"/>
    <w:rsid w:val="00A56F05"/>
    <w:rsid w:val="00A570B7"/>
    <w:rsid w:val="00A57228"/>
    <w:rsid w:val="00A574EA"/>
    <w:rsid w:val="00A57672"/>
    <w:rsid w:val="00A5775B"/>
    <w:rsid w:val="00A57ADC"/>
    <w:rsid w:val="00A602B1"/>
    <w:rsid w:val="00A602BD"/>
    <w:rsid w:val="00A60A17"/>
    <w:rsid w:val="00A60D71"/>
    <w:rsid w:val="00A611C4"/>
    <w:rsid w:val="00A614B5"/>
    <w:rsid w:val="00A617E7"/>
    <w:rsid w:val="00A61A25"/>
    <w:rsid w:val="00A61C8A"/>
    <w:rsid w:val="00A61FCB"/>
    <w:rsid w:val="00A62028"/>
    <w:rsid w:val="00A6202D"/>
    <w:rsid w:val="00A62163"/>
    <w:rsid w:val="00A62987"/>
    <w:rsid w:val="00A63279"/>
    <w:rsid w:val="00A6340C"/>
    <w:rsid w:val="00A634C3"/>
    <w:rsid w:val="00A6382B"/>
    <w:rsid w:val="00A639CA"/>
    <w:rsid w:val="00A63F49"/>
    <w:rsid w:val="00A641E8"/>
    <w:rsid w:val="00A64446"/>
    <w:rsid w:val="00A644C9"/>
    <w:rsid w:val="00A6456D"/>
    <w:rsid w:val="00A647CA"/>
    <w:rsid w:val="00A64AE4"/>
    <w:rsid w:val="00A64CB4"/>
    <w:rsid w:val="00A64DFC"/>
    <w:rsid w:val="00A64F12"/>
    <w:rsid w:val="00A652D5"/>
    <w:rsid w:val="00A655A2"/>
    <w:rsid w:val="00A6563F"/>
    <w:rsid w:val="00A65642"/>
    <w:rsid w:val="00A656F5"/>
    <w:rsid w:val="00A658E3"/>
    <w:rsid w:val="00A659E6"/>
    <w:rsid w:val="00A65B04"/>
    <w:rsid w:val="00A65B6E"/>
    <w:rsid w:val="00A65F10"/>
    <w:rsid w:val="00A65F5D"/>
    <w:rsid w:val="00A66364"/>
    <w:rsid w:val="00A665D2"/>
    <w:rsid w:val="00A66A1E"/>
    <w:rsid w:val="00A66CCA"/>
    <w:rsid w:val="00A66DE9"/>
    <w:rsid w:val="00A671E4"/>
    <w:rsid w:val="00A675B0"/>
    <w:rsid w:val="00A67AF7"/>
    <w:rsid w:val="00A67AFA"/>
    <w:rsid w:val="00A67B5A"/>
    <w:rsid w:val="00A67BE5"/>
    <w:rsid w:val="00A67CEE"/>
    <w:rsid w:val="00A67E10"/>
    <w:rsid w:val="00A700C1"/>
    <w:rsid w:val="00A7022C"/>
    <w:rsid w:val="00A70235"/>
    <w:rsid w:val="00A703CE"/>
    <w:rsid w:val="00A704EC"/>
    <w:rsid w:val="00A705E7"/>
    <w:rsid w:val="00A707C4"/>
    <w:rsid w:val="00A709C2"/>
    <w:rsid w:val="00A70A15"/>
    <w:rsid w:val="00A70EC4"/>
    <w:rsid w:val="00A713FD"/>
    <w:rsid w:val="00A719B5"/>
    <w:rsid w:val="00A71C1A"/>
    <w:rsid w:val="00A71C3F"/>
    <w:rsid w:val="00A71D98"/>
    <w:rsid w:val="00A71DDC"/>
    <w:rsid w:val="00A72190"/>
    <w:rsid w:val="00A7219B"/>
    <w:rsid w:val="00A7246B"/>
    <w:rsid w:val="00A72675"/>
    <w:rsid w:val="00A7299E"/>
    <w:rsid w:val="00A734FE"/>
    <w:rsid w:val="00A73694"/>
    <w:rsid w:val="00A73775"/>
    <w:rsid w:val="00A73AEA"/>
    <w:rsid w:val="00A73B2E"/>
    <w:rsid w:val="00A73C10"/>
    <w:rsid w:val="00A73C34"/>
    <w:rsid w:val="00A73CB8"/>
    <w:rsid w:val="00A74035"/>
    <w:rsid w:val="00A7403F"/>
    <w:rsid w:val="00A7410B"/>
    <w:rsid w:val="00A745A1"/>
    <w:rsid w:val="00A745B3"/>
    <w:rsid w:val="00A74637"/>
    <w:rsid w:val="00A7467D"/>
    <w:rsid w:val="00A7490B"/>
    <w:rsid w:val="00A74D9B"/>
    <w:rsid w:val="00A74DD6"/>
    <w:rsid w:val="00A750F4"/>
    <w:rsid w:val="00A753A3"/>
    <w:rsid w:val="00A7543F"/>
    <w:rsid w:val="00A759F2"/>
    <w:rsid w:val="00A75A6A"/>
    <w:rsid w:val="00A75FF8"/>
    <w:rsid w:val="00A76093"/>
    <w:rsid w:val="00A76293"/>
    <w:rsid w:val="00A764BC"/>
    <w:rsid w:val="00A76F35"/>
    <w:rsid w:val="00A76F40"/>
    <w:rsid w:val="00A76FA8"/>
    <w:rsid w:val="00A7706B"/>
    <w:rsid w:val="00A770D3"/>
    <w:rsid w:val="00A77227"/>
    <w:rsid w:val="00A772BF"/>
    <w:rsid w:val="00A774DE"/>
    <w:rsid w:val="00A77717"/>
    <w:rsid w:val="00A77824"/>
    <w:rsid w:val="00A778CE"/>
    <w:rsid w:val="00A779D2"/>
    <w:rsid w:val="00A77A19"/>
    <w:rsid w:val="00A77C9A"/>
    <w:rsid w:val="00A77D67"/>
    <w:rsid w:val="00A77FDD"/>
    <w:rsid w:val="00A800BA"/>
    <w:rsid w:val="00A80464"/>
    <w:rsid w:val="00A804CC"/>
    <w:rsid w:val="00A80576"/>
    <w:rsid w:val="00A80748"/>
    <w:rsid w:val="00A80835"/>
    <w:rsid w:val="00A8089A"/>
    <w:rsid w:val="00A808AE"/>
    <w:rsid w:val="00A80A85"/>
    <w:rsid w:val="00A80F6A"/>
    <w:rsid w:val="00A810CF"/>
    <w:rsid w:val="00A810D4"/>
    <w:rsid w:val="00A814BD"/>
    <w:rsid w:val="00A8191E"/>
    <w:rsid w:val="00A81A62"/>
    <w:rsid w:val="00A81AF1"/>
    <w:rsid w:val="00A81C59"/>
    <w:rsid w:val="00A81E76"/>
    <w:rsid w:val="00A82C55"/>
    <w:rsid w:val="00A8302A"/>
    <w:rsid w:val="00A83062"/>
    <w:rsid w:val="00A836EB"/>
    <w:rsid w:val="00A83733"/>
    <w:rsid w:val="00A83AFE"/>
    <w:rsid w:val="00A83B9F"/>
    <w:rsid w:val="00A83CF6"/>
    <w:rsid w:val="00A83ECB"/>
    <w:rsid w:val="00A83F66"/>
    <w:rsid w:val="00A8451C"/>
    <w:rsid w:val="00A84824"/>
    <w:rsid w:val="00A849BE"/>
    <w:rsid w:val="00A84DDE"/>
    <w:rsid w:val="00A852DB"/>
    <w:rsid w:val="00A85618"/>
    <w:rsid w:val="00A856AA"/>
    <w:rsid w:val="00A857DB"/>
    <w:rsid w:val="00A857E2"/>
    <w:rsid w:val="00A8583F"/>
    <w:rsid w:val="00A85AA4"/>
    <w:rsid w:val="00A85BD8"/>
    <w:rsid w:val="00A85E32"/>
    <w:rsid w:val="00A85E53"/>
    <w:rsid w:val="00A860AB"/>
    <w:rsid w:val="00A86177"/>
    <w:rsid w:val="00A86363"/>
    <w:rsid w:val="00A8648E"/>
    <w:rsid w:val="00A8660C"/>
    <w:rsid w:val="00A8675B"/>
    <w:rsid w:val="00A86795"/>
    <w:rsid w:val="00A86A16"/>
    <w:rsid w:val="00A86D57"/>
    <w:rsid w:val="00A86E23"/>
    <w:rsid w:val="00A86E25"/>
    <w:rsid w:val="00A86E3A"/>
    <w:rsid w:val="00A86F8E"/>
    <w:rsid w:val="00A8722B"/>
    <w:rsid w:val="00A87DC7"/>
    <w:rsid w:val="00A87FC9"/>
    <w:rsid w:val="00A902AD"/>
    <w:rsid w:val="00A902CC"/>
    <w:rsid w:val="00A90462"/>
    <w:rsid w:val="00A90958"/>
    <w:rsid w:val="00A90B2F"/>
    <w:rsid w:val="00A90FF3"/>
    <w:rsid w:val="00A9168D"/>
    <w:rsid w:val="00A918CB"/>
    <w:rsid w:val="00A91A06"/>
    <w:rsid w:val="00A91A5E"/>
    <w:rsid w:val="00A91C7D"/>
    <w:rsid w:val="00A91E41"/>
    <w:rsid w:val="00A91F95"/>
    <w:rsid w:val="00A92075"/>
    <w:rsid w:val="00A9279D"/>
    <w:rsid w:val="00A927F4"/>
    <w:rsid w:val="00A92966"/>
    <w:rsid w:val="00A92A36"/>
    <w:rsid w:val="00A92ACE"/>
    <w:rsid w:val="00A92AD4"/>
    <w:rsid w:val="00A92DFF"/>
    <w:rsid w:val="00A933A4"/>
    <w:rsid w:val="00A9369E"/>
    <w:rsid w:val="00A93793"/>
    <w:rsid w:val="00A93D6D"/>
    <w:rsid w:val="00A94496"/>
    <w:rsid w:val="00A9474F"/>
    <w:rsid w:val="00A94CA2"/>
    <w:rsid w:val="00A94F5F"/>
    <w:rsid w:val="00A95092"/>
    <w:rsid w:val="00A952A9"/>
    <w:rsid w:val="00A956A3"/>
    <w:rsid w:val="00A956E0"/>
    <w:rsid w:val="00A95763"/>
    <w:rsid w:val="00A957C0"/>
    <w:rsid w:val="00A9587B"/>
    <w:rsid w:val="00A95D17"/>
    <w:rsid w:val="00A95F71"/>
    <w:rsid w:val="00A962F3"/>
    <w:rsid w:val="00A96378"/>
    <w:rsid w:val="00A964A6"/>
    <w:rsid w:val="00A966ED"/>
    <w:rsid w:val="00A9682B"/>
    <w:rsid w:val="00A968D2"/>
    <w:rsid w:val="00A96994"/>
    <w:rsid w:val="00A96A84"/>
    <w:rsid w:val="00A96B95"/>
    <w:rsid w:val="00A97663"/>
    <w:rsid w:val="00A9777E"/>
    <w:rsid w:val="00A978C2"/>
    <w:rsid w:val="00AA04AC"/>
    <w:rsid w:val="00AA04CC"/>
    <w:rsid w:val="00AA0B7F"/>
    <w:rsid w:val="00AA0FF8"/>
    <w:rsid w:val="00AA12F9"/>
    <w:rsid w:val="00AA1512"/>
    <w:rsid w:val="00AA15B0"/>
    <w:rsid w:val="00AA1909"/>
    <w:rsid w:val="00AA1D54"/>
    <w:rsid w:val="00AA1D70"/>
    <w:rsid w:val="00AA1DD1"/>
    <w:rsid w:val="00AA1E43"/>
    <w:rsid w:val="00AA1ED4"/>
    <w:rsid w:val="00AA1F41"/>
    <w:rsid w:val="00AA206C"/>
    <w:rsid w:val="00AA2244"/>
    <w:rsid w:val="00AA2583"/>
    <w:rsid w:val="00AA2778"/>
    <w:rsid w:val="00AA2AF6"/>
    <w:rsid w:val="00AA2B40"/>
    <w:rsid w:val="00AA2C76"/>
    <w:rsid w:val="00AA2E13"/>
    <w:rsid w:val="00AA304C"/>
    <w:rsid w:val="00AA3321"/>
    <w:rsid w:val="00AA359E"/>
    <w:rsid w:val="00AA3A53"/>
    <w:rsid w:val="00AA3A67"/>
    <w:rsid w:val="00AA3D07"/>
    <w:rsid w:val="00AA405C"/>
    <w:rsid w:val="00AA4121"/>
    <w:rsid w:val="00AA4B4D"/>
    <w:rsid w:val="00AA4CF0"/>
    <w:rsid w:val="00AA5023"/>
    <w:rsid w:val="00AA54EF"/>
    <w:rsid w:val="00AA5518"/>
    <w:rsid w:val="00AA55A7"/>
    <w:rsid w:val="00AA5673"/>
    <w:rsid w:val="00AA57D0"/>
    <w:rsid w:val="00AA5974"/>
    <w:rsid w:val="00AA599A"/>
    <w:rsid w:val="00AA5C69"/>
    <w:rsid w:val="00AA5D50"/>
    <w:rsid w:val="00AA5D8C"/>
    <w:rsid w:val="00AA5DC0"/>
    <w:rsid w:val="00AA5E67"/>
    <w:rsid w:val="00AA5F2D"/>
    <w:rsid w:val="00AA62A2"/>
    <w:rsid w:val="00AA62BB"/>
    <w:rsid w:val="00AA6448"/>
    <w:rsid w:val="00AA64E9"/>
    <w:rsid w:val="00AA676B"/>
    <w:rsid w:val="00AA67FB"/>
    <w:rsid w:val="00AA6983"/>
    <w:rsid w:val="00AA6ACC"/>
    <w:rsid w:val="00AA6B21"/>
    <w:rsid w:val="00AA6E82"/>
    <w:rsid w:val="00AA72D3"/>
    <w:rsid w:val="00AA74F1"/>
    <w:rsid w:val="00AA7640"/>
    <w:rsid w:val="00AA776F"/>
    <w:rsid w:val="00AA7D83"/>
    <w:rsid w:val="00AA7F1C"/>
    <w:rsid w:val="00AB027C"/>
    <w:rsid w:val="00AB03B6"/>
    <w:rsid w:val="00AB03EC"/>
    <w:rsid w:val="00AB04CE"/>
    <w:rsid w:val="00AB04E3"/>
    <w:rsid w:val="00AB09C0"/>
    <w:rsid w:val="00AB0AA7"/>
    <w:rsid w:val="00AB0DCE"/>
    <w:rsid w:val="00AB0F50"/>
    <w:rsid w:val="00AB164C"/>
    <w:rsid w:val="00AB1884"/>
    <w:rsid w:val="00AB1DB5"/>
    <w:rsid w:val="00AB206E"/>
    <w:rsid w:val="00AB209A"/>
    <w:rsid w:val="00AB2109"/>
    <w:rsid w:val="00AB241B"/>
    <w:rsid w:val="00AB2583"/>
    <w:rsid w:val="00AB26A5"/>
    <w:rsid w:val="00AB2C1D"/>
    <w:rsid w:val="00AB304A"/>
    <w:rsid w:val="00AB334A"/>
    <w:rsid w:val="00AB33A2"/>
    <w:rsid w:val="00AB38C3"/>
    <w:rsid w:val="00AB3A56"/>
    <w:rsid w:val="00AB3DCB"/>
    <w:rsid w:val="00AB3E05"/>
    <w:rsid w:val="00AB431F"/>
    <w:rsid w:val="00AB4413"/>
    <w:rsid w:val="00AB4590"/>
    <w:rsid w:val="00AB45AB"/>
    <w:rsid w:val="00AB4677"/>
    <w:rsid w:val="00AB4C50"/>
    <w:rsid w:val="00AB4E0B"/>
    <w:rsid w:val="00AB4F61"/>
    <w:rsid w:val="00AB51AC"/>
    <w:rsid w:val="00AB51E5"/>
    <w:rsid w:val="00AB542E"/>
    <w:rsid w:val="00AB54FA"/>
    <w:rsid w:val="00AB59E1"/>
    <w:rsid w:val="00AB5C83"/>
    <w:rsid w:val="00AB60DA"/>
    <w:rsid w:val="00AB63D5"/>
    <w:rsid w:val="00AB672F"/>
    <w:rsid w:val="00AB6A5F"/>
    <w:rsid w:val="00AB6D04"/>
    <w:rsid w:val="00AB6DDD"/>
    <w:rsid w:val="00AB6F15"/>
    <w:rsid w:val="00AB7297"/>
    <w:rsid w:val="00AB7370"/>
    <w:rsid w:val="00AB75CB"/>
    <w:rsid w:val="00AB7799"/>
    <w:rsid w:val="00AB7905"/>
    <w:rsid w:val="00AB794F"/>
    <w:rsid w:val="00AB7AEB"/>
    <w:rsid w:val="00AB7D7C"/>
    <w:rsid w:val="00AB7EFF"/>
    <w:rsid w:val="00AB7FF6"/>
    <w:rsid w:val="00AC05BA"/>
    <w:rsid w:val="00AC08F6"/>
    <w:rsid w:val="00AC0985"/>
    <w:rsid w:val="00AC0B0C"/>
    <w:rsid w:val="00AC113F"/>
    <w:rsid w:val="00AC1175"/>
    <w:rsid w:val="00AC1335"/>
    <w:rsid w:val="00AC1409"/>
    <w:rsid w:val="00AC14D9"/>
    <w:rsid w:val="00AC160D"/>
    <w:rsid w:val="00AC199F"/>
    <w:rsid w:val="00AC1ADC"/>
    <w:rsid w:val="00AC1EE3"/>
    <w:rsid w:val="00AC24EB"/>
    <w:rsid w:val="00AC29F7"/>
    <w:rsid w:val="00AC2AD9"/>
    <w:rsid w:val="00AC2C21"/>
    <w:rsid w:val="00AC2CAB"/>
    <w:rsid w:val="00AC2F2F"/>
    <w:rsid w:val="00AC3101"/>
    <w:rsid w:val="00AC3454"/>
    <w:rsid w:val="00AC3617"/>
    <w:rsid w:val="00AC3625"/>
    <w:rsid w:val="00AC372E"/>
    <w:rsid w:val="00AC3D2D"/>
    <w:rsid w:val="00AC3F67"/>
    <w:rsid w:val="00AC4045"/>
    <w:rsid w:val="00AC40FE"/>
    <w:rsid w:val="00AC4347"/>
    <w:rsid w:val="00AC46FA"/>
    <w:rsid w:val="00AC491B"/>
    <w:rsid w:val="00AC495E"/>
    <w:rsid w:val="00AC4AC6"/>
    <w:rsid w:val="00AC4C28"/>
    <w:rsid w:val="00AC4D35"/>
    <w:rsid w:val="00AC4EF5"/>
    <w:rsid w:val="00AC4F5B"/>
    <w:rsid w:val="00AC50E4"/>
    <w:rsid w:val="00AC546E"/>
    <w:rsid w:val="00AC56EB"/>
    <w:rsid w:val="00AC5738"/>
    <w:rsid w:val="00AC5C8E"/>
    <w:rsid w:val="00AC5FF1"/>
    <w:rsid w:val="00AC6117"/>
    <w:rsid w:val="00AC63B5"/>
    <w:rsid w:val="00AC69AB"/>
    <w:rsid w:val="00AC6BEF"/>
    <w:rsid w:val="00AC710F"/>
    <w:rsid w:val="00AC7134"/>
    <w:rsid w:val="00AC74FE"/>
    <w:rsid w:val="00AC76EA"/>
    <w:rsid w:val="00AC7B55"/>
    <w:rsid w:val="00AD056B"/>
    <w:rsid w:val="00AD0990"/>
    <w:rsid w:val="00AD0A65"/>
    <w:rsid w:val="00AD0B6A"/>
    <w:rsid w:val="00AD0BC0"/>
    <w:rsid w:val="00AD0F15"/>
    <w:rsid w:val="00AD1382"/>
    <w:rsid w:val="00AD164E"/>
    <w:rsid w:val="00AD1868"/>
    <w:rsid w:val="00AD18CB"/>
    <w:rsid w:val="00AD191A"/>
    <w:rsid w:val="00AD1FF9"/>
    <w:rsid w:val="00AD20D6"/>
    <w:rsid w:val="00AD22D2"/>
    <w:rsid w:val="00AD22F3"/>
    <w:rsid w:val="00AD23FB"/>
    <w:rsid w:val="00AD247F"/>
    <w:rsid w:val="00AD2648"/>
    <w:rsid w:val="00AD264A"/>
    <w:rsid w:val="00AD296D"/>
    <w:rsid w:val="00AD2AD8"/>
    <w:rsid w:val="00AD310E"/>
    <w:rsid w:val="00AD392F"/>
    <w:rsid w:val="00AD3D80"/>
    <w:rsid w:val="00AD3FE2"/>
    <w:rsid w:val="00AD44D4"/>
    <w:rsid w:val="00AD45BC"/>
    <w:rsid w:val="00AD4A1D"/>
    <w:rsid w:val="00AD4C6E"/>
    <w:rsid w:val="00AD512C"/>
    <w:rsid w:val="00AD637F"/>
    <w:rsid w:val="00AD6A0D"/>
    <w:rsid w:val="00AD6BB7"/>
    <w:rsid w:val="00AD71DB"/>
    <w:rsid w:val="00AD7274"/>
    <w:rsid w:val="00AD72C1"/>
    <w:rsid w:val="00AD7342"/>
    <w:rsid w:val="00AD73C6"/>
    <w:rsid w:val="00AD73CC"/>
    <w:rsid w:val="00AD7797"/>
    <w:rsid w:val="00AD7821"/>
    <w:rsid w:val="00AD782E"/>
    <w:rsid w:val="00AD785E"/>
    <w:rsid w:val="00AD787B"/>
    <w:rsid w:val="00AD7B24"/>
    <w:rsid w:val="00AD7CC2"/>
    <w:rsid w:val="00AD7EA4"/>
    <w:rsid w:val="00AD7EC0"/>
    <w:rsid w:val="00AE022F"/>
    <w:rsid w:val="00AE0278"/>
    <w:rsid w:val="00AE06B4"/>
    <w:rsid w:val="00AE0727"/>
    <w:rsid w:val="00AE0728"/>
    <w:rsid w:val="00AE07A8"/>
    <w:rsid w:val="00AE1312"/>
    <w:rsid w:val="00AE148E"/>
    <w:rsid w:val="00AE16B9"/>
    <w:rsid w:val="00AE17B9"/>
    <w:rsid w:val="00AE1978"/>
    <w:rsid w:val="00AE1C62"/>
    <w:rsid w:val="00AE2363"/>
    <w:rsid w:val="00AE2508"/>
    <w:rsid w:val="00AE30BD"/>
    <w:rsid w:val="00AE376C"/>
    <w:rsid w:val="00AE3DC3"/>
    <w:rsid w:val="00AE4059"/>
    <w:rsid w:val="00AE408F"/>
    <w:rsid w:val="00AE4842"/>
    <w:rsid w:val="00AE4981"/>
    <w:rsid w:val="00AE4DAE"/>
    <w:rsid w:val="00AE54C6"/>
    <w:rsid w:val="00AE571F"/>
    <w:rsid w:val="00AE585E"/>
    <w:rsid w:val="00AE5D1C"/>
    <w:rsid w:val="00AE5D83"/>
    <w:rsid w:val="00AE5DE5"/>
    <w:rsid w:val="00AE5F3E"/>
    <w:rsid w:val="00AE5F57"/>
    <w:rsid w:val="00AE65C4"/>
    <w:rsid w:val="00AE688B"/>
    <w:rsid w:val="00AE6A8F"/>
    <w:rsid w:val="00AE6B73"/>
    <w:rsid w:val="00AE6D22"/>
    <w:rsid w:val="00AE6F9B"/>
    <w:rsid w:val="00AE6FE0"/>
    <w:rsid w:val="00AE700A"/>
    <w:rsid w:val="00AE7A5E"/>
    <w:rsid w:val="00AE7DBE"/>
    <w:rsid w:val="00AE7E03"/>
    <w:rsid w:val="00AE7E73"/>
    <w:rsid w:val="00AE7FF1"/>
    <w:rsid w:val="00AF01B2"/>
    <w:rsid w:val="00AF029E"/>
    <w:rsid w:val="00AF0753"/>
    <w:rsid w:val="00AF0757"/>
    <w:rsid w:val="00AF0FA1"/>
    <w:rsid w:val="00AF139B"/>
    <w:rsid w:val="00AF1DB5"/>
    <w:rsid w:val="00AF1DC6"/>
    <w:rsid w:val="00AF228D"/>
    <w:rsid w:val="00AF228F"/>
    <w:rsid w:val="00AF235B"/>
    <w:rsid w:val="00AF2CAA"/>
    <w:rsid w:val="00AF2D04"/>
    <w:rsid w:val="00AF2DE3"/>
    <w:rsid w:val="00AF2FA8"/>
    <w:rsid w:val="00AF310B"/>
    <w:rsid w:val="00AF3273"/>
    <w:rsid w:val="00AF33F0"/>
    <w:rsid w:val="00AF3726"/>
    <w:rsid w:val="00AF3812"/>
    <w:rsid w:val="00AF39CA"/>
    <w:rsid w:val="00AF3CDD"/>
    <w:rsid w:val="00AF3DD2"/>
    <w:rsid w:val="00AF3DF4"/>
    <w:rsid w:val="00AF431D"/>
    <w:rsid w:val="00AF470A"/>
    <w:rsid w:val="00AF48E0"/>
    <w:rsid w:val="00AF4D9F"/>
    <w:rsid w:val="00AF4E0A"/>
    <w:rsid w:val="00AF4E6A"/>
    <w:rsid w:val="00AF5697"/>
    <w:rsid w:val="00AF5837"/>
    <w:rsid w:val="00AF59A6"/>
    <w:rsid w:val="00AF60B8"/>
    <w:rsid w:val="00AF61EA"/>
    <w:rsid w:val="00AF6211"/>
    <w:rsid w:val="00AF66B2"/>
    <w:rsid w:val="00AF6936"/>
    <w:rsid w:val="00AF6B7A"/>
    <w:rsid w:val="00AF736C"/>
    <w:rsid w:val="00AF75B8"/>
    <w:rsid w:val="00AF771C"/>
    <w:rsid w:val="00AF798D"/>
    <w:rsid w:val="00AF7A79"/>
    <w:rsid w:val="00AF7F65"/>
    <w:rsid w:val="00B00039"/>
    <w:rsid w:val="00B00130"/>
    <w:rsid w:val="00B003AA"/>
    <w:rsid w:val="00B00490"/>
    <w:rsid w:val="00B004D8"/>
    <w:rsid w:val="00B004DE"/>
    <w:rsid w:val="00B00525"/>
    <w:rsid w:val="00B0075B"/>
    <w:rsid w:val="00B00790"/>
    <w:rsid w:val="00B00806"/>
    <w:rsid w:val="00B00986"/>
    <w:rsid w:val="00B00B35"/>
    <w:rsid w:val="00B00CC8"/>
    <w:rsid w:val="00B00DA1"/>
    <w:rsid w:val="00B00F6A"/>
    <w:rsid w:val="00B01484"/>
    <w:rsid w:val="00B0185C"/>
    <w:rsid w:val="00B01A98"/>
    <w:rsid w:val="00B01D37"/>
    <w:rsid w:val="00B02003"/>
    <w:rsid w:val="00B0229A"/>
    <w:rsid w:val="00B02454"/>
    <w:rsid w:val="00B032C0"/>
    <w:rsid w:val="00B037A2"/>
    <w:rsid w:val="00B037D6"/>
    <w:rsid w:val="00B0393D"/>
    <w:rsid w:val="00B03A42"/>
    <w:rsid w:val="00B03B61"/>
    <w:rsid w:val="00B0414D"/>
    <w:rsid w:val="00B04337"/>
    <w:rsid w:val="00B04969"/>
    <w:rsid w:val="00B04BD3"/>
    <w:rsid w:val="00B04C8D"/>
    <w:rsid w:val="00B0502D"/>
    <w:rsid w:val="00B05088"/>
    <w:rsid w:val="00B054B6"/>
    <w:rsid w:val="00B05627"/>
    <w:rsid w:val="00B05A97"/>
    <w:rsid w:val="00B05BB7"/>
    <w:rsid w:val="00B05CF4"/>
    <w:rsid w:val="00B062CD"/>
    <w:rsid w:val="00B0684F"/>
    <w:rsid w:val="00B06A01"/>
    <w:rsid w:val="00B06E24"/>
    <w:rsid w:val="00B06EFC"/>
    <w:rsid w:val="00B07329"/>
    <w:rsid w:val="00B07630"/>
    <w:rsid w:val="00B07676"/>
    <w:rsid w:val="00B076BD"/>
    <w:rsid w:val="00B07783"/>
    <w:rsid w:val="00B07909"/>
    <w:rsid w:val="00B07DF2"/>
    <w:rsid w:val="00B100D8"/>
    <w:rsid w:val="00B101D8"/>
    <w:rsid w:val="00B102EA"/>
    <w:rsid w:val="00B10A53"/>
    <w:rsid w:val="00B10B19"/>
    <w:rsid w:val="00B11352"/>
    <w:rsid w:val="00B11360"/>
    <w:rsid w:val="00B11527"/>
    <w:rsid w:val="00B11556"/>
    <w:rsid w:val="00B11C12"/>
    <w:rsid w:val="00B11E7E"/>
    <w:rsid w:val="00B11FB4"/>
    <w:rsid w:val="00B122AF"/>
    <w:rsid w:val="00B124CA"/>
    <w:rsid w:val="00B126C1"/>
    <w:rsid w:val="00B12A3D"/>
    <w:rsid w:val="00B13142"/>
    <w:rsid w:val="00B131B0"/>
    <w:rsid w:val="00B132F6"/>
    <w:rsid w:val="00B13703"/>
    <w:rsid w:val="00B138C8"/>
    <w:rsid w:val="00B1398B"/>
    <w:rsid w:val="00B13A50"/>
    <w:rsid w:val="00B14092"/>
    <w:rsid w:val="00B141C3"/>
    <w:rsid w:val="00B141E4"/>
    <w:rsid w:val="00B1437D"/>
    <w:rsid w:val="00B14585"/>
    <w:rsid w:val="00B14804"/>
    <w:rsid w:val="00B14895"/>
    <w:rsid w:val="00B14F60"/>
    <w:rsid w:val="00B1525C"/>
    <w:rsid w:val="00B15542"/>
    <w:rsid w:val="00B155DC"/>
    <w:rsid w:val="00B1586D"/>
    <w:rsid w:val="00B158F1"/>
    <w:rsid w:val="00B15DEF"/>
    <w:rsid w:val="00B15E68"/>
    <w:rsid w:val="00B16145"/>
    <w:rsid w:val="00B16556"/>
    <w:rsid w:val="00B165D3"/>
    <w:rsid w:val="00B167F9"/>
    <w:rsid w:val="00B16CAF"/>
    <w:rsid w:val="00B16D87"/>
    <w:rsid w:val="00B16EAC"/>
    <w:rsid w:val="00B17046"/>
    <w:rsid w:val="00B1704F"/>
    <w:rsid w:val="00B1706A"/>
    <w:rsid w:val="00B170A2"/>
    <w:rsid w:val="00B17157"/>
    <w:rsid w:val="00B175FC"/>
    <w:rsid w:val="00B17B75"/>
    <w:rsid w:val="00B17CC1"/>
    <w:rsid w:val="00B17DA1"/>
    <w:rsid w:val="00B17EE4"/>
    <w:rsid w:val="00B201B6"/>
    <w:rsid w:val="00B20352"/>
    <w:rsid w:val="00B204BB"/>
    <w:rsid w:val="00B204C4"/>
    <w:rsid w:val="00B205E3"/>
    <w:rsid w:val="00B2062C"/>
    <w:rsid w:val="00B206FC"/>
    <w:rsid w:val="00B20EF8"/>
    <w:rsid w:val="00B21313"/>
    <w:rsid w:val="00B213FF"/>
    <w:rsid w:val="00B21510"/>
    <w:rsid w:val="00B21DC0"/>
    <w:rsid w:val="00B21E48"/>
    <w:rsid w:val="00B22469"/>
    <w:rsid w:val="00B225BB"/>
    <w:rsid w:val="00B227AF"/>
    <w:rsid w:val="00B228B8"/>
    <w:rsid w:val="00B2299A"/>
    <w:rsid w:val="00B229BA"/>
    <w:rsid w:val="00B229E6"/>
    <w:rsid w:val="00B22B6D"/>
    <w:rsid w:val="00B22D03"/>
    <w:rsid w:val="00B22D27"/>
    <w:rsid w:val="00B22DE1"/>
    <w:rsid w:val="00B22E0A"/>
    <w:rsid w:val="00B23004"/>
    <w:rsid w:val="00B2330C"/>
    <w:rsid w:val="00B233E2"/>
    <w:rsid w:val="00B23460"/>
    <w:rsid w:val="00B235B6"/>
    <w:rsid w:val="00B23618"/>
    <w:rsid w:val="00B23692"/>
    <w:rsid w:val="00B23C24"/>
    <w:rsid w:val="00B23CB3"/>
    <w:rsid w:val="00B243DD"/>
    <w:rsid w:val="00B2454C"/>
    <w:rsid w:val="00B24998"/>
    <w:rsid w:val="00B24A56"/>
    <w:rsid w:val="00B25041"/>
    <w:rsid w:val="00B25165"/>
    <w:rsid w:val="00B252C6"/>
    <w:rsid w:val="00B2563B"/>
    <w:rsid w:val="00B2581F"/>
    <w:rsid w:val="00B258BB"/>
    <w:rsid w:val="00B25942"/>
    <w:rsid w:val="00B25AA0"/>
    <w:rsid w:val="00B25DE8"/>
    <w:rsid w:val="00B26269"/>
    <w:rsid w:val="00B2629F"/>
    <w:rsid w:val="00B263D9"/>
    <w:rsid w:val="00B264C4"/>
    <w:rsid w:val="00B2675D"/>
    <w:rsid w:val="00B26E4F"/>
    <w:rsid w:val="00B2711D"/>
    <w:rsid w:val="00B273D2"/>
    <w:rsid w:val="00B2775E"/>
    <w:rsid w:val="00B27779"/>
    <w:rsid w:val="00B27962"/>
    <w:rsid w:val="00B27ACD"/>
    <w:rsid w:val="00B27D20"/>
    <w:rsid w:val="00B27DEB"/>
    <w:rsid w:val="00B302A6"/>
    <w:rsid w:val="00B302B5"/>
    <w:rsid w:val="00B303BF"/>
    <w:rsid w:val="00B30401"/>
    <w:rsid w:val="00B30665"/>
    <w:rsid w:val="00B30B8C"/>
    <w:rsid w:val="00B30FAE"/>
    <w:rsid w:val="00B31061"/>
    <w:rsid w:val="00B31200"/>
    <w:rsid w:val="00B3153D"/>
    <w:rsid w:val="00B317A5"/>
    <w:rsid w:val="00B31834"/>
    <w:rsid w:val="00B31C04"/>
    <w:rsid w:val="00B31C7D"/>
    <w:rsid w:val="00B31C8D"/>
    <w:rsid w:val="00B31DE6"/>
    <w:rsid w:val="00B31E96"/>
    <w:rsid w:val="00B31EDF"/>
    <w:rsid w:val="00B31F99"/>
    <w:rsid w:val="00B3227C"/>
    <w:rsid w:val="00B3231F"/>
    <w:rsid w:val="00B32423"/>
    <w:rsid w:val="00B3256F"/>
    <w:rsid w:val="00B325DA"/>
    <w:rsid w:val="00B327A7"/>
    <w:rsid w:val="00B33043"/>
    <w:rsid w:val="00B330FE"/>
    <w:rsid w:val="00B3360B"/>
    <w:rsid w:val="00B33870"/>
    <w:rsid w:val="00B3399B"/>
    <w:rsid w:val="00B33A20"/>
    <w:rsid w:val="00B33D1E"/>
    <w:rsid w:val="00B34088"/>
    <w:rsid w:val="00B34501"/>
    <w:rsid w:val="00B347CD"/>
    <w:rsid w:val="00B34D2B"/>
    <w:rsid w:val="00B35290"/>
    <w:rsid w:val="00B354D6"/>
    <w:rsid w:val="00B35624"/>
    <w:rsid w:val="00B356E4"/>
    <w:rsid w:val="00B35946"/>
    <w:rsid w:val="00B361D2"/>
    <w:rsid w:val="00B36446"/>
    <w:rsid w:val="00B36488"/>
    <w:rsid w:val="00B365F3"/>
    <w:rsid w:val="00B36A07"/>
    <w:rsid w:val="00B36ACC"/>
    <w:rsid w:val="00B36D59"/>
    <w:rsid w:val="00B36DD7"/>
    <w:rsid w:val="00B36E4A"/>
    <w:rsid w:val="00B37078"/>
    <w:rsid w:val="00B37439"/>
    <w:rsid w:val="00B37E82"/>
    <w:rsid w:val="00B4056B"/>
    <w:rsid w:val="00B40605"/>
    <w:rsid w:val="00B40828"/>
    <w:rsid w:val="00B40CD8"/>
    <w:rsid w:val="00B40DBE"/>
    <w:rsid w:val="00B40F3C"/>
    <w:rsid w:val="00B40F5F"/>
    <w:rsid w:val="00B40FAB"/>
    <w:rsid w:val="00B4107B"/>
    <w:rsid w:val="00B41278"/>
    <w:rsid w:val="00B412F2"/>
    <w:rsid w:val="00B413E3"/>
    <w:rsid w:val="00B4151D"/>
    <w:rsid w:val="00B41693"/>
    <w:rsid w:val="00B41734"/>
    <w:rsid w:val="00B418E1"/>
    <w:rsid w:val="00B419CE"/>
    <w:rsid w:val="00B419FC"/>
    <w:rsid w:val="00B41E81"/>
    <w:rsid w:val="00B41F49"/>
    <w:rsid w:val="00B41FCA"/>
    <w:rsid w:val="00B42140"/>
    <w:rsid w:val="00B42229"/>
    <w:rsid w:val="00B4228F"/>
    <w:rsid w:val="00B42370"/>
    <w:rsid w:val="00B427A0"/>
    <w:rsid w:val="00B427D6"/>
    <w:rsid w:val="00B433CB"/>
    <w:rsid w:val="00B43766"/>
    <w:rsid w:val="00B4382A"/>
    <w:rsid w:val="00B43EC0"/>
    <w:rsid w:val="00B4413D"/>
    <w:rsid w:val="00B44162"/>
    <w:rsid w:val="00B44168"/>
    <w:rsid w:val="00B442D7"/>
    <w:rsid w:val="00B4472B"/>
    <w:rsid w:val="00B447F8"/>
    <w:rsid w:val="00B44B34"/>
    <w:rsid w:val="00B44B7C"/>
    <w:rsid w:val="00B44BDA"/>
    <w:rsid w:val="00B44BE9"/>
    <w:rsid w:val="00B44D67"/>
    <w:rsid w:val="00B44F00"/>
    <w:rsid w:val="00B451DB"/>
    <w:rsid w:val="00B453AF"/>
    <w:rsid w:val="00B45591"/>
    <w:rsid w:val="00B4563D"/>
    <w:rsid w:val="00B456D0"/>
    <w:rsid w:val="00B45AF2"/>
    <w:rsid w:val="00B45B51"/>
    <w:rsid w:val="00B4602B"/>
    <w:rsid w:val="00B465C1"/>
    <w:rsid w:val="00B467FA"/>
    <w:rsid w:val="00B46842"/>
    <w:rsid w:val="00B46B65"/>
    <w:rsid w:val="00B46D59"/>
    <w:rsid w:val="00B46DF0"/>
    <w:rsid w:val="00B46DFA"/>
    <w:rsid w:val="00B472D0"/>
    <w:rsid w:val="00B475E4"/>
    <w:rsid w:val="00B479A5"/>
    <w:rsid w:val="00B47A16"/>
    <w:rsid w:val="00B47CD3"/>
    <w:rsid w:val="00B50027"/>
    <w:rsid w:val="00B5054C"/>
    <w:rsid w:val="00B50796"/>
    <w:rsid w:val="00B5093C"/>
    <w:rsid w:val="00B50949"/>
    <w:rsid w:val="00B509F1"/>
    <w:rsid w:val="00B50B46"/>
    <w:rsid w:val="00B50FFB"/>
    <w:rsid w:val="00B51088"/>
    <w:rsid w:val="00B511E1"/>
    <w:rsid w:val="00B5186F"/>
    <w:rsid w:val="00B51B77"/>
    <w:rsid w:val="00B51CDA"/>
    <w:rsid w:val="00B52421"/>
    <w:rsid w:val="00B5252C"/>
    <w:rsid w:val="00B52910"/>
    <w:rsid w:val="00B52C2E"/>
    <w:rsid w:val="00B52D91"/>
    <w:rsid w:val="00B532D7"/>
    <w:rsid w:val="00B535F0"/>
    <w:rsid w:val="00B53726"/>
    <w:rsid w:val="00B538BA"/>
    <w:rsid w:val="00B53D3B"/>
    <w:rsid w:val="00B53DAF"/>
    <w:rsid w:val="00B5400B"/>
    <w:rsid w:val="00B545E7"/>
    <w:rsid w:val="00B54881"/>
    <w:rsid w:val="00B54B05"/>
    <w:rsid w:val="00B54C5A"/>
    <w:rsid w:val="00B54E22"/>
    <w:rsid w:val="00B5511E"/>
    <w:rsid w:val="00B55261"/>
    <w:rsid w:val="00B55E84"/>
    <w:rsid w:val="00B5651E"/>
    <w:rsid w:val="00B56630"/>
    <w:rsid w:val="00B566DB"/>
    <w:rsid w:val="00B5687D"/>
    <w:rsid w:val="00B56A59"/>
    <w:rsid w:val="00B56BAC"/>
    <w:rsid w:val="00B56C3F"/>
    <w:rsid w:val="00B56D01"/>
    <w:rsid w:val="00B56D88"/>
    <w:rsid w:val="00B56F45"/>
    <w:rsid w:val="00B5733F"/>
    <w:rsid w:val="00B57805"/>
    <w:rsid w:val="00B57819"/>
    <w:rsid w:val="00B579D0"/>
    <w:rsid w:val="00B57B04"/>
    <w:rsid w:val="00B57B33"/>
    <w:rsid w:val="00B57DDF"/>
    <w:rsid w:val="00B57F5F"/>
    <w:rsid w:val="00B6016A"/>
    <w:rsid w:val="00B602F9"/>
    <w:rsid w:val="00B6036B"/>
    <w:rsid w:val="00B60599"/>
    <w:rsid w:val="00B60796"/>
    <w:rsid w:val="00B609C2"/>
    <w:rsid w:val="00B60A81"/>
    <w:rsid w:val="00B60B31"/>
    <w:rsid w:val="00B60E37"/>
    <w:rsid w:val="00B61494"/>
    <w:rsid w:val="00B615F3"/>
    <w:rsid w:val="00B61691"/>
    <w:rsid w:val="00B61701"/>
    <w:rsid w:val="00B618D5"/>
    <w:rsid w:val="00B61C72"/>
    <w:rsid w:val="00B61E1D"/>
    <w:rsid w:val="00B61F87"/>
    <w:rsid w:val="00B61FE6"/>
    <w:rsid w:val="00B62135"/>
    <w:rsid w:val="00B62336"/>
    <w:rsid w:val="00B629E7"/>
    <w:rsid w:val="00B62BC1"/>
    <w:rsid w:val="00B62D5E"/>
    <w:rsid w:val="00B63080"/>
    <w:rsid w:val="00B63293"/>
    <w:rsid w:val="00B633DE"/>
    <w:rsid w:val="00B63411"/>
    <w:rsid w:val="00B63524"/>
    <w:rsid w:val="00B6365C"/>
    <w:rsid w:val="00B63738"/>
    <w:rsid w:val="00B6374A"/>
    <w:rsid w:val="00B63AEB"/>
    <w:rsid w:val="00B63D8B"/>
    <w:rsid w:val="00B63D8D"/>
    <w:rsid w:val="00B63DFA"/>
    <w:rsid w:val="00B64169"/>
    <w:rsid w:val="00B6420C"/>
    <w:rsid w:val="00B64341"/>
    <w:rsid w:val="00B644F6"/>
    <w:rsid w:val="00B646A1"/>
    <w:rsid w:val="00B646C7"/>
    <w:rsid w:val="00B647E0"/>
    <w:rsid w:val="00B64AB6"/>
    <w:rsid w:val="00B64E71"/>
    <w:rsid w:val="00B64F29"/>
    <w:rsid w:val="00B65173"/>
    <w:rsid w:val="00B654EC"/>
    <w:rsid w:val="00B65523"/>
    <w:rsid w:val="00B65570"/>
    <w:rsid w:val="00B65768"/>
    <w:rsid w:val="00B658FE"/>
    <w:rsid w:val="00B65932"/>
    <w:rsid w:val="00B65AE3"/>
    <w:rsid w:val="00B65E51"/>
    <w:rsid w:val="00B66073"/>
    <w:rsid w:val="00B66127"/>
    <w:rsid w:val="00B662BD"/>
    <w:rsid w:val="00B6637A"/>
    <w:rsid w:val="00B663A2"/>
    <w:rsid w:val="00B669DD"/>
    <w:rsid w:val="00B66A30"/>
    <w:rsid w:val="00B66C92"/>
    <w:rsid w:val="00B66EDF"/>
    <w:rsid w:val="00B670C9"/>
    <w:rsid w:val="00B67126"/>
    <w:rsid w:val="00B6726E"/>
    <w:rsid w:val="00B6732A"/>
    <w:rsid w:val="00B679F0"/>
    <w:rsid w:val="00B67A33"/>
    <w:rsid w:val="00B67C51"/>
    <w:rsid w:val="00B67E31"/>
    <w:rsid w:val="00B67E92"/>
    <w:rsid w:val="00B67F8F"/>
    <w:rsid w:val="00B701EC"/>
    <w:rsid w:val="00B70275"/>
    <w:rsid w:val="00B70442"/>
    <w:rsid w:val="00B70AE5"/>
    <w:rsid w:val="00B70C8F"/>
    <w:rsid w:val="00B70E64"/>
    <w:rsid w:val="00B70F4B"/>
    <w:rsid w:val="00B710A7"/>
    <w:rsid w:val="00B712F6"/>
    <w:rsid w:val="00B7151E"/>
    <w:rsid w:val="00B71561"/>
    <w:rsid w:val="00B71634"/>
    <w:rsid w:val="00B71A37"/>
    <w:rsid w:val="00B71B1D"/>
    <w:rsid w:val="00B72099"/>
    <w:rsid w:val="00B721B4"/>
    <w:rsid w:val="00B72687"/>
    <w:rsid w:val="00B7280D"/>
    <w:rsid w:val="00B728F9"/>
    <w:rsid w:val="00B72B06"/>
    <w:rsid w:val="00B72C57"/>
    <w:rsid w:val="00B733F7"/>
    <w:rsid w:val="00B73970"/>
    <w:rsid w:val="00B73C43"/>
    <w:rsid w:val="00B73E56"/>
    <w:rsid w:val="00B73F75"/>
    <w:rsid w:val="00B744B1"/>
    <w:rsid w:val="00B74603"/>
    <w:rsid w:val="00B74827"/>
    <w:rsid w:val="00B749AF"/>
    <w:rsid w:val="00B74C4A"/>
    <w:rsid w:val="00B74D13"/>
    <w:rsid w:val="00B74ED7"/>
    <w:rsid w:val="00B75335"/>
    <w:rsid w:val="00B753C9"/>
    <w:rsid w:val="00B75595"/>
    <w:rsid w:val="00B75660"/>
    <w:rsid w:val="00B75BD9"/>
    <w:rsid w:val="00B75D04"/>
    <w:rsid w:val="00B75EB6"/>
    <w:rsid w:val="00B75F6B"/>
    <w:rsid w:val="00B76274"/>
    <w:rsid w:val="00B76C46"/>
    <w:rsid w:val="00B76CFE"/>
    <w:rsid w:val="00B76D07"/>
    <w:rsid w:val="00B76F5E"/>
    <w:rsid w:val="00B7725D"/>
    <w:rsid w:val="00B77498"/>
    <w:rsid w:val="00B775AF"/>
    <w:rsid w:val="00B7784A"/>
    <w:rsid w:val="00B77A8F"/>
    <w:rsid w:val="00B77C2B"/>
    <w:rsid w:val="00B77DB0"/>
    <w:rsid w:val="00B77F3B"/>
    <w:rsid w:val="00B800BE"/>
    <w:rsid w:val="00B8028C"/>
    <w:rsid w:val="00B803DA"/>
    <w:rsid w:val="00B80421"/>
    <w:rsid w:val="00B80719"/>
    <w:rsid w:val="00B80A2F"/>
    <w:rsid w:val="00B80B13"/>
    <w:rsid w:val="00B80C31"/>
    <w:rsid w:val="00B80E83"/>
    <w:rsid w:val="00B81198"/>
    <w:rsid w:val="00B815AD"/>
    <w:rsid w:val="00B81604"/>
    <w:rsid w:val="00B81718"/>
    <w:rsid w:val="00B81880"/>
    <w:rsid w:val="00B81B89"/>
    <w:rsid w:val="00B81E2F"/>
    <w:rsid w:val="00B81EEC"/>
    <w:rsid w:val="00B8210E"/>
    <w:rsid w:val="00B8232B"/>
    <w:rsid w:val="00B8251D"/>
    <w:rsid w:val="00B82A03"/>
    <w:rsid w:val="00B82D77"/>
    <w:rsid w:val="00B830C3"/>
    <w:rsid w:val="00B831B5"/>
    <w:rsid w:val="00B831CC"/>
    <w:rsid w:val="00B83251"/>
    <w:rsid w:val="00B832DC"/>
    <w:rsid w:val="00B8346A"/>
    <w:rsid w:val="00B838E8"/>
    <w:rsid w:val="00B83F68"/>
    <w:rsid w:val="00B84142"/>
    <w:rsid w:val="00B843B7"/>
    <w:rsid w:val="00B84970"/>
    <w:rsid w:val="00B84CC5"/>
    <w:rsid w:val="00B84E01"/>
    <w:rsid w:val="00B84EA2"/>
    <w:rsid w:val="00B85062"/>
    <w:rsid w:val="00B8530C"/>
    <w:rsid w:val="00B85703"/>
    <w:rsid w:val="00B85724"/>
    <w:rsid w:val="00B8573C"/>
    <w:rsid w:val="00B8581E"/>
    <w:rsid w:val="00B858BB"/>
    <w:rsid w:val="00B85A61"/>
    <w:rsid w:val="00B85C25"/>
    <w:rsid w:val="00B85C93"/>
    <w:rsid w:val="00B85C94"/>
    <w:rsid w:val="00B85CA0"/>
    <w:rsid w:val="00B865EE"/>
    <w:rsid w:val="00B86A2A"/>
    <w:rsid w:val="00B86B47"/>
    <w:rsid w:val="00B86BD5"/>
    <w:rsid w:val="00B87311"/>
    <w:rsid w:val="00B87416"/>
    <w:rsid w:val="00B87899"/>
    <w:rsid w:val="00B87AC8"/>
    <w:rsid w:val="00B87B08"/>
    <w:rsid w:val="00B87DF2"/>
    <w:rsid w:val="00B9003C"/>
    <w:rsid w:val="00B90100"/>
    <w:rsid w:val="00B903E2"/>
    <w:rsid w:val="00B906E7"/>
    <w:rsid w:val="00B90A85"/>
    <w:rsid w:val="00B90F11"/>
    <w:rsid w:val="00B90FE6"/>
    <w:rsid w:val="00B91813"/>
    <w:rsid w:val="00B91A66"/>
    <w:rsid w:val="00B91B3A"/>
    <w:rsid w:val="00B91DE2"/>
    <w:rsid w:val="00B921E0"/>
    <w:rsid w:val="00B92247"/>
    <w:rsid w:val="00B924FF"/>
    <w:rsid w:val="00B92698"/>
    <w:rsid w:val="00B92C88"/>
    <w:rsid w:val="00B92E49"/>
    <w:rsid w:val="00B932C3"/>
    <w:rsid w:val="00B932EE"/>
    <w:rsid w:val="00B934EE"/>
    <w:rsid w:val="00B93515"/>
    <w:rsid w:val="00B9388F"/>
    <w:rsid w:val="00B9390B"/>
    <w:rsid w:val="00B93B1E"/>
    <w:rsid w:val="00B93C8C"/>
    <w:rsid w:val="00B93CDF"/>
    <w:rsid w:val="00B93F8E"/>
    <w:rsid w:val="00B940E9"/>
    <w:rsid w:val="00B9452D"/>
    <w:rsid w:val="00B9463E"/>
    <w:rsid w:val="00B94AEE"/>
    <w:rsid w:val="00B9538B"/>
    <w:rsid w:val="00B95431"/>
    <w:rsid w:val="00B9566B"/>
    <w:rsid w:val="00B95AD3"/>
    <w:rsid w:val="00B962BA"/>
    <w:rsid w:val="00B9641F"/>
    <w:rsid w:val="00B9659D"/>
    <w:rsid w:val="00B966BD"/>
    <w:rsid w:val="00B9677E"/>
    <w:rsid w:val="00B968C7"/>
    <w:rsid w:val="00B96ADB"/>
    <w:rsid w:val="00B96AF8"/>
    <w:rsid w:val="00B96CA6"/>
    <w:rsid w:val="00B96EAB"/>
    <w:rsid w:val="00B96F99"/>
    <w:rsid w:val="00B97186"/>
    <w:rsid w:val="00B975A5"/>
    <w:rsid w:val="00B975BD"/>
    <w:rsid w:val="00B97722"/>
    <w:rsid w:val="00B97765"/>
    <w:rsid w:val="00B97A20"/>
    <w:rsid w:val="00B97D77"/>
    <w:rsid w:val="00BA0433"/>
    <w:rsid w:val="00BA0578"/>
    <w:rsid w:val="00BA0874"/>
    <w:rsid w:val="00BA0967"/>
    <w:rsid w:val="00BA0B5A"/>
    <w:rsid w:val="00BA0CC2"/>
    <w:rsid w:val="00BA0E0C"/>
    <w:rsid w:val="00BA1173"/>
    <w:rsid w:val="00BA1215"/>
    <w:rsid w:val="00BA12D6"/>
    <w:rsid w:val="00BA169A"/>
    <w:rsid w:val="00BA18D1"/>
    <w:rsid w:val="00BA1FB1"/>
    <w:rsid w:val="00BA25CB"/>
    <w:rsid w:val="00BA2632"/>
    <w:rsid w:val="00BA26A3"/>
    <w:rsid w:val="00BA26F0"/>
    <w:rsid w:val="00BA2737"/>
    <w:rsid w:val="00BA2F60"/>
    <w:rsid w:val="00BA3610"/>
    <w:rsid w:val="00BA37F5"/>
    <w:rsid w:val="00BA38E9"/>
    <w:rsid w:val="00BA3EB1"/>
    <w:rsid w:val="00BA41CB"/>
    <w:rsid w:val="00BA4333"/>
    <w:rsid w:val="00BA437E"/>
    <w:rsid w:val="00BA482D"/>
    <w:rsid w:val="00BA4BF7"/>
    <w:rsid w:val="00BA4CA9"/>
    <w:rsid w:val="00BA4D2A"/>
    <w:rsid w:val="00BA52A7"/>
    <w:rsid w:val="00BA539B"/>
    <w:rsid w:val="00BA5646"/>
    <w:rsid w:val="00BA5BDC"/>
    <w:rsid w:val="00BA5F51"/>
    <w:rsid w:val="00BA61FB"/>
    <w:rsid w:val="00BA66F3"/>
    <w:rsid w:val="00BA6782"/>
    <w:rsid w:val="00BA68E2"/>
    <w:rsid w:val="00BA6A50"/>
    <w:rsid w:val="00BA6A90"/>
    <w:rsid w:val="00BA6B53"/>
    <w:rsid w:val="00BA6DC8"/>
    <w:rsid w:val="00BA71E0"/>
    <w:rsid w:val="00BA7362"/>
    <w:rsid w:val="00BA7981"/>
    <w:rsid w:val="00BB026E"/>
    <w:rsid w:val="00BB03F0"/>
    <w:rsid w:val="00BB0689"/>
    <w:rsid w:val="00BB0AAA"/>
    <w:rsid w:val="00BB0BC4"/>
    <w:rsid w:val="00BB0D53"/>
    <w:rsid w:val="00BB0D71"/>
    <w:rsid w:val="00BB0E82"/>
    <w:rsid w:val="00BB0FFB"/>
    <w:rsid w:val="00BB15B7"/>
    <w:rsid w:val="00BB1698"/>
    <w:rsid w:val="00BB18EF"/>
    <w:rsid w:val="00BB1DCE"/>
    <w:rsid w:val="00BB1E1E"/>
    <w:rsid w:val="00BB1FAA"/>
    <w:rsid w:val="00BB2005"/>
    <w:rsid w:val="00BB22F3"/>
    <w:rsid w:val="00BB2541"/>
    <w:rsid w:val="00BB29E6"/>
    <w:rsid w:val="00BB2AFF"/>
    <w:rsid w:val="00BB2D28"/>
    <w:rsid w:val="00BB2E77"/>
    <w:rsid w:val="00BB2E89"/>
    <w:rsid w:val="00BB3085"/>
    <w:rsid w:val="00BB30A9"/>
    <w:rsid w:val="00BB30AC"/>
    <w:rsid w:val="00BB3187"/>
    <w:rsid w:val="00BB3207"/>
    <w:rsid w:val="00BB330A"/>
    <w:rsid w:val="00BB335D"/>
    <w:rsid w:val="00BB346A"/>
    <w:rsid w:val="00BB3A1D"/>
    <w:rsid w:val="00BB3D31"/>
    <w:rsid w:val="00BB407C"/>
    <w:rsid w:val="00BB4220"/>
    <w:rsid w:val="00BB43A1"/>
    <w:rsid w:val="00BB4668"/>
    <w:rsid w:val="00BB4711"/>
    <w:rsid w:val="00BB479B"/>
    <w:rsid w:val="00BB509B"/>
    <w:rsid w:val="00BB5B57"/>
    <w:rsid w:val="00BB5C11"/>
    <w:rsid w:val="00BB5D79"/>
    <w:rsid w:val="00BB6058"/>
    <w:rsid w:val="00BB60AA"/>
    <w:rsid w:val="00BB63DA"/>
    <w:rsid w:val="00BB64A2"/>
    <w:rsid w:val="00BB64AB"/>
    <w:rsid w:val="00BB69BD"/>
    <w:rsid w:val="00BB6A29"/>
    <w:rsid w:val="00BB6A9E"/>
    <w:rsid w:val="00BB6BF5"/>
    <w:rsid w:val="00BB7640"/>
    <w:rsid w:val="00BB7697"/>
    <w:rsid w:val="00BB77A0"/>
    <w:rsid w:val="00BB7A61"/>
    <w:rsid w:val="00BB7B64"/>
    <w:rsid w:val="00BC0099"/>
    <w:rsid w:val="00BC0360"/>
    <w:rsid w:val="00BC05C7"/>
    <w:rsid w:val="00BC0740"/>
    <w:rsid w:val="00BC077E"/>
    <w:rsid w:val="00BC07D2"/>
    <w:rsid w:val="00BC09B2"/>
    <w:rsid w:val="00BC0CD5"/>
    <w:rsid w:val="00BC0E1E"/>
    <w:rsid w:val="00BC0F64"/>
    <w:rsid w:val="00BC0FE3"/>
    <w:rsid w:val="00BC12CB"/>
    <w:rsid w:val="00BC12E5"/>
    <w:rsid w:val="00BC1624"/>
    <w:rsid w:val="00BC16C0"/>
    <w:rsid w:val="00BC1C70"/>
    <w:rsid w:val="00BC1D09"/>
    <w:rsid w:val="00BC1E5C"/>
    <w:rsid w:val="00BC1F82"/>
    <w:rsid w:val="00BC24CD"/>
    <w:rsid w:val="00BC2702"/>
    <w:rsid w:val="00BC2910"/>
    <w:rsid w:val="00BC2A35"/>
    <w:rsid w:val="00BC2C35"/>
    <w:rsid w:val="00BC2CE8"/>
    <w:rsid w:val="00BC2EC1"/>
    <w:rsid w:val="00BC35C1"/>
    <w:rsid w:val="00BC3812"/>
    <w:rsid w:val="00BC387A"/>
    <w:rsid w:val="00BC3B7D"/>
    <w:rsid w:val="00BC3FAD"/>
    <w:rsid w:val="00BC47D6"/>
    <w:rsid w:val="00BC4942"/>
    <w:rsid w:val="00BC49DD"/>
    <w:rsid w:val="00BC4A4E"/>
    <w:rsid w:val="00BC4AA3"/>
    <w:rsid w:val="00BC4F0C"/>
    <w:rsid w:val="00BC5005"/>
    <w:rsid w:val="00BC509A"/>
    <w:rsid w:val="00BC55EF"/>
    <w:rsid w:val="00BC5633"/>
    <w:rsid w:val="00BC565C"/>
    <w:rsid w:val="00BC5A73"/>
    <w:rsid w:val="00BC5DBA"/>
    <w:rsid w:val="00BC5DE9"/>
    <w:rsid w:val="00BC648C"/>
    <w:rsid w:val="00BC65B6"/>
    <w:rsid w:val="00BC69BB"/>
    <w:rsid w:val="00BC6BEF"/>
    <w:rsid w:val="00BC6D76"/>
    <w:rsid w:val="00BC6E4A"/>
    <w:rsid w:val="00BC6EA1"/>
    <w:rsid w:val="00BC6F18"/>
    <w:rsid w:val="00BC7448"/>
    <w:rsid w:val="00BC75EF"/>
    <w:rsid w:val="00BC78EF"/>
    <w:rsid w:val="00BC7D6C"/>
    <w:rsid w:val="00BC7DD4"/>
    <w:rsid w:val="00BD00BC"/>
    <w:rsid w:val="00BD02AE"/>
    <w:rsid w:val="00BD0968"/>
    <w:rsid w:val="00BD09BB"/>
    <w:rsid w:val="00BD09D1"/>
    <w:rsid w:val="00BD1226"/>
    <w:rsid w:val="00BD12A9"/>
    <w:rsid w:val="00BD14A4"/>
    <w:rsid w:val="00BD14AA"/>
    <w:rsid w:val="00BD1B4A"/>
    <w:rsid w:val="00BD1E0B"/>
    <w:rsid w:val="00BD2187"/>
    <w:rsid w:val="00BD2317"/>
    <w:rsid w:val="00BD2438"/>
    <w:rsid w:val="00BD282F"/>
    <w:rsid w:val="00BD2A15"/>
    <w:rsid w:val="00BD2A6A"/>
    <w:rsid w:val="00BD2BEB"/>
    <w:rsid w:val="00BD30E5"/>
    <w:rsid w:val="00BD387C"/>
    <w:rsid w:val="00BD3A24"/>
    <w:rsid w:val="00BD3D40"/>
    <w:rsid w:val="00BD3EC7"/>
    <w:rsid w:val="00BD486A"/>
    <w:rsid w:val="00BD4977"/>
    <w:rsid w:val="00BD4988"/>
    <w:rsid w:val="00BD4A32"/>
    <w:rsid w:val="00BD4AB7"/>
    <w:rsid w:val="00BD51CD"/>
    <w:rsid w:val="00BD553E"/>
    <w:rsid w:val="00BD5D52"/>
    <w:rsid w:val="00BD5D6E"/>
    <w:rsid w:val="00BD6285"/>
    <w:rsid w:val="00BD62A9"/>
    <w:rsid w:val="00BD647B"/>
    <w:rsid w:val="00BD6600"/>
    <w:rsid w:val="00BD66F4"/>
    <w:rsid w:val="00BD6AA8"/>
    <w:rsid w:val="00BD730E"/>
    <w:rsid w:val="00BD7531"/>
    <w:rsid w:val="00BD7534"/>
    <w:rsid w:val="00BD7844"/>
    <w:rsid w:val="00BD7A92"/>
    <w:rsid w:val="00BE0277"/>
    <w:rsid w:val="00BE0452"/>
    <w:rsid w:val="00BE0743"/>
    <w:rsid w:val="00BE09A7"/>
    <w:rsid w:val="00BE09C3"/>
    <w:rsid w:val="00BE0B11"/>
    <w:rsid w:val="00BE0B37"/>
    <w:rsid w:val="00BE10FB"/>
    <w:rsid w:val="00BE11FD"/>
    <w:rsid w:val="00BE14BD"/>
    <w:rsid w:val="00BE14CF"/>
    <w:rsid w:val="00BE174A"/>
    <w:rsid w:val="00BE1B00"/>
    <w:rsid w:val="00BE1EBD"/>
    <w:rsid w:val="00BE1F41"/>
    <w:rsid w:val="00BE210E"/>
    <w:rsid w:val="00BE21E0"/>
    <w:rsid w:val="00BE21F5"/>
    <w:rsid w:val="00BE259B"/>
    <w:rsid w:val="00BE279F"/>
    <w:rsid w:val="00BE2AAC"/>
    <w:rsid w:val="00BE2BE8"/>
    <w:rsid w:val="00BE2DE5"/>
    <w:rsid w:val="00BE30A3"/>
    <w:rsid w:val="00BE3157"/>
    <w:rsid w:val="00BE3335"/>
    <w:rsid w:val="00BE34DC"/>
    <w:rsid w:val="00BE34F1"/>
    <w:rsid w:val="00BE3538"/>
    <w:rsid w:val="00BE3A7D"/>
    <w:rsid w:val="00BE428B"/>
    <w:rsid w:val="00BE4D09"/>
    <w:rsid w:val="00BE4EB6"/>
    <w:rsid w:val="00BE5214"/>
    <w:rsid w:val="00BE5495"/>
    <w:rsid w:val="00BE585F"/>
    <w:rsid w:val="00BE5931"/>
    <w:rsid w:val="00BE598E"/>
    <w:rsid w:val="00BE5A5F"/>
    <w:rsid w:val="00BE5BDC"/>
    <w:rsid w:val="00BE5D21"/>
    <w:rsid w:val="00BE5F1C"/>
    <w:rsid w:val="00BE62B6"/>
    <w:rsid w:val="00BE63B7"/>
    <w:rsid w:val="00BE65D2"/>
    <w:rsid w:val="00BE6F34"/>
    <w:rsid w:val="00BE6F87"/>
    <w:rsid w:val="00BE6FBB"/>
    <w:rsid w:val="00BE7263"/>
    <w:rsid w:val="00BE755E"/>
    <w:rsid w:val="00BE7574"/>
    <w:rsid w:val="00BE7FD8"/>
    <w:rsid w:val="00BE7FEB"/>
    <w:rsid w:val="00BF0161"/>
    <w:rsid w:val="00BF0916"/>
    <w:rsid w:val="00BF09BB"/>
    <w:rsid w:val="00BF0A41"/>
    <w:rsid w:val="00BF0BA3"/>
    <w:rsid w:val="00BF0BF0"/>
    <w:rsid w:val="00BF0C25"/>
    <w:rsid w:val="00BF0D71"/>
    <w:rsid w:val="00BF0F8F"/>
    <w:rsid w:val="00BF1049"/>
    <w:rsid w:val="00BF104C"/>
    <w:rsid w:val="00BF109D"/>
    <w:rsid w:val="00BF1105"/>
    <w:rsid w:val="00BF1175"/>
    <w:rsid w:val="00BF19E8"/>
    <w:rsid w:val="00BF1C9E"/>
    <w:rsid w:val="00BF1CCA"/>
    <w:rsid w:val="00BF1FF9"/>
    <w:rsid w:val="00BF2132"/>
    <w:rsid w:val="00BF21FC"/>
    <w:rsid w:val="00BF24D2"/>
    <w:rsid w:val="00BF259E"/>
    <w:rsid w:val="00BF2993"/>
    <w:rsid w:val="00BF2A6F"/>
    <w:rsid w:val="00BF2DCD"/>
    <w:rsid w:val="00BF2FD3"/>
    <w:rsid w:val="00BF3281"/>
    <w:rsid w:val="00BF331D"/>
    <w:rsid w:val="00BF337B"/>
    <w:rsid w:val="00BF3A4E"/>
    <w:rsid w:val="00BF3B0B"/>
    <w:rsid w:val="00BF3BD2"/>
    <w:rsid w:val="00BF3D47"/>
    <w:rsid w:val="00BF3F93"/>
    <w:rsid w:val="00BF405B"/>
    <w:rsid w:val="00BF41BB"/>
    <w:rsid w:val="00BF47D0"/>
    <w:rsid w:val="00BF4C9F"/>
    <w:rsid w:val="00BF5061"/>
    <w:rsid w:val="00BF514D"/>
    <w:rsid w:val="00BF5176"/>
    <w:rsid w:val="00BF559A"/>
    <w:rsid w:val="00BF5819"/>
    <w:rsid w:val="00BF5DDD"/>
    <w:rsid w:val="00BF5F89"/>
    <w:rsid w:val="00BF60B2"/>
    <w:rsid w:val="00BF61FD"/>
    <w:rsid w:val="00BF63F6"/>
    <w:rsid w:val="00BF6480"/>
    <w:rsid w:val="00BF64FF"/>
    <w:rsid w:val="00BF6C91"/>
    <w:rsid w:val="00BF6F3A"/>
    <w:rsid w:val="00BF7409"/>
    <w:rsid w:val="00BF7457"/>
    <w:rsid w:val="00BF7749"/>
    <w:rsid w:val="00BF7795"/>
    <w:rsid w:val="00BF7916"/>
    <w:rsid w:val="00BF7BD6"/>
    <w:rsid w:val="00BF7F10"/>
    <w:rsid w:val="00BF7F47"/>
    <w:rsid w:val="00C00079"/>
    <w:rsid w:val="00C0036B"/>
    <w:rsid w:val="00C0040A"/>
    <w:rsid w:val="00C00521"/>
    <w:rsid w:val="00C008DF"/>
    <w:rsid w:val="00C01331"/>
    <w:rsid w:val="00C014A6"/>
    <w:rsid w:val="00C01538"/>
    <w:rsid w:val="00C01A76"/>
    <w:rsid w:val="00C01D6D"/>
    <w:rsid w:val="00C02490"/>
    <w:rsid w:val="00C02A75"/>
    <w:rsid w:val="00C02CB4"/>
    <w:rsid w:val="00C02CF5"/>
    <w:rsid w:val="00C02D56"/>
    <w:rsid w:val="00C02D67"/>
    <w:rsid w:val="00C02D8A"/>
    <w:rsid w:val="00C02FE2"/>
    <w:rsid w:val="00C030D4"/>
    <w:rsid w:val="00C03229"/>
    <w:rsid w:val="00C033A0"/>
    <w:rsid w:val="00C03452"/>
    <w:rsid w:val="00C037EE"/>
    <w:rsid w:val="00C0399D"/>
    <w:rsid w:val="00C03A98"/>
    <w:rsid w:val="00C03B07"/>
    <w:rsid w:val="00C044E8"/>
    <w:rsid w:val="00C04535"/>
    <w:rsid w:val="00C045B3"/>
    <w:rsid w:val="00C04727"/>
    <w:rsid w:val="00C04952"/>
    <w:rsid w:val="00C04AC6"/>
    <w:rsid w:val="00C04B29"/>
    <w:rsid w:val="00C04D94"/>
    <w:rsid w:val="00C050CD"/>
    <w:rsid w:val="00C052F4"/>
    <w:rsid w:val="00C05362"/>
    <w:rsid w:val="00C054B0"/>
    <w:rsid w:val="00C054CB"/>
    <w:rsid w:val="00C0575C"/>
    <w:rsid w:val="00C0579C"/>
    <w:rsid w:val="00C05C0C"/>
    <w:rsid w:val="00C05CF4"/>
    <w:rsid w:val="00C05D1F"/>
    <w:rsid w:val="00C05F66"/>
    <w:rsid w:val="00C0606C"/>
    <w:rsid w:val="00C0638E"/>
    <w:rsid w:val="00C06479"/>
    <w:rsid w:val="00C06591"/>
    <w:rsid w:val="00C065F5"/>
    <w:rsid w:val="00C0686F"/>
    <w:rsid w:val="00C068AE"/>
    <w:rsid w:val="00C06A40"/>
    <w:rsid w:val="00C06B18"/>
    <w:rsid w:val="00C07225"/>
    <w:rsid w:val="00C076DC"/>
    <w:rsid w:val="00C10123"/>
    <w:rsid w:val="00C1036A"/>
    <w:rsid w:val="00C10DFB"/>
    <w:rsid w:val="00C10DFD"/>
    <w:rsid w:val="00C10DFE"/>
    <w:rsid w:val="00C1124A"/>
    <w:rsid w:val="00C112DA"/>
    <w:rsid w:val="00C114C1"/>
    <w:rsid w:val="00C11AE2"/>
    <w:rsid w:val="00C11D10"/>
    <w:rsid w:val="00C11E91"/>
    <w:rsid w:val="00C1200D"/>
    <w:rsid w:val="00C12037"/>
    <w:rsid w:val="00C1219B"/>
    <w:rsid w:val="00C125EA"/>
    <w:rsid w:val="00C12653"/>
    <w:rsid w:val="00C1265B"/>
    <w:rsid w:val="00C12A22"/>
    <w:rsid w:val="00C12EF0"/>
    <w:rsid w:val="00C13448"/>
    <w:rsid w:val="00C13461"/>
    <w:rsid w:val="00C137D6"/>
    <w:rsid w:val="00C1381E"/>
    <w:rsid w:val="00C13A36"/>
    <w:rsid w:val="00C13C57"/>
    <w:rsid w:val="00C13C75"/>
    <w:rsid w:val="00C13EEE"/>
    <w:rsid w:val="00C14133"/>
    <w:rsid w:val="00C142CD"/>
    <w:rsid w:val="00C146CA"/>
    <w:rsid w:val="00C146DC"/>
    <w:rsid w:val="00C147E9"/>
    <w:rsid w:val="00C14A9A"/>
    <w:rsid w:val="00C14F48"/>
    <w:rsid w:val="00C14F83"/>
    <w:rsid w:val="00C15213"/>
    <w:rsid w:val="00C15799"/>
    <w:rsid w:val="00C15815"/>
    <w:rsid w:val="00C15989"/>
    <w:rsid w:val="00C15E78"/>
    <w:rsid w:val="00C16106"/>
    <w:rsid w:val="00C1636C"/>
    <w:rsid w:val="00C164E7"/>
    <w:rsid w:val="00C16511"/>
    <w:rsid w:val="00C166D8"/>
    <w:rsid w:val="00C167E3"/>
    <w:rsid w:val="00C16862"/>
    <w:rsid w:val="00C1690A"/>
    <w:rsid w:val="00C16A4D"/>
    <w:rsid w:val="00C16A87"/>
    <w:rsid w:val="00C16BDA"/>
    <w:rsid w:val="00C16E5B"/>
    <w:rsid w:val="00C16EEC"/>
    <w:rsid w:val="00C16F5C"/>
    <w:rsid w:val="00C16F5E"/>
    <w:rsid w:val="00C175B9"/>
    <w:rsid w:val="00C1770D"/>
    <w:rsid w:val="00C1779E"/>
    <w:rsid w:val="00C177F1"/>
    <w:rsid w:val="00C178FE"/>
    <w:rsid w:val="00C17909"/>
    <w:rsid w:val="00C17B42"/>
    <w:rsid w:val="00C17CED"/>
    <w:rsid w:val="00C20026"/>
    <w:rsid w:val="00C20066"/>
    <w:rsid w:val="00C203B9"/>
    <w:rsid w:val="00C2075B"/>
    <w:rsid w:val="00C20BEC"/>
    <w:rsid w:val="00C2144C"/>
    <w:rsid w:val="00C2154A"/>
    <w:rsid w:val="00C21796"/>
    <w:rsid w:val="00C21AF5"/>
    <w:rsid w:val="00C222BB"/>
    <w:rsid w:val="00C22356"/>
    <w:rsid w:val="00C2246C"/>
    <w:rsid w:val="00C225B7"/>
    <w:rsid w:val="00C22634"/>
    <w:rsid w:val="00C22650"/>
    <w:rsid w:val="00C22B03"/>
    <w:rsid w:val="00C22FC7"/>
    <w:rsid w:val="00C236D9"/>
    <w:rsid w:val="00C23759"/>
    <w:rsid w:val="00C23807"/>
    <w:rsid w:val="00C23A9C"/>
    <w:rsid w:val="00C23B4F"/>
    <w:rsid w:val="00C23C6A"/>
    <w:rsid w:val="00C23C90"/>
    <w:rsid w:val="00C245BE"/>
    <w:rsid w:val="00C24730"/>
    <w:rsid w:val="00C2498A"/>
    <w:rsid w:val="00C24A00"/>
    <w:rsid w:val="00C24A5B"/>
    <w:rsid w:val="00C2500F"/>
    <w:rsid w:val="00C25116"/>
    <w:rsid w:val="00C25192"/>
    <w:rsid w:val="00C25294"/>
    <w:rsid w:val="00C252C9"/>
    <w:rsid w:val="00C25596"/>
    <w:rsid w:val="00C25687"/>
    <w:rsid w:val="00C25B62"/>
    <w:rsid w:val="00C25CF4"/>
    <w:rsid w:val="00C26050"/>
    <w:rsid w:val="00C26338"/>
    <w:rsid w:val="00C2655D"/>
    <w:rsid w:val="00C26B49"/>
    <w:rsid w:val="00C26B56"/>
    <w:rsid w:val="00C27440"/>
    <w:rsid w:val="00C276DD"/>
    <w:rsid w:val="00C277F7"/>
    <w:rsid w:val="00C27859"/>
    <w:rsid w:val="00C27980"/>
    <w:rsid w:val="00C27C59"/>
    <w:rsid w:val="00C27E41"/>
    <w:rsid w:val="00C27E88"/>
    <w:rsid w:val="00C27EFC"/>
    <w:rsid w:val="00C3020C"/>
    <w:rsid w:val="00C30537"/>
    <w:rsid w:val="00C30565"/>
    <w:rsid w:val="00C3094B"/>
    <w:rsid w:val="00C309B6"/>
    <w:rsid w:val="00C31340"/>
    <w:rsid w:val="00C3157A"/>
    <w:rsid w:val="00C31671"/>
    <w:rsid w:val="00C316DE"/>
    <w:rsid w:val="00C31A68"/>
    <w:rsid w:val="00C31B73"/>
    <w:rsid w:val="00C320D4"/>
    <w:rsid w:val="00C322C0"/>
    <w:rsid w:val="00C32310"/>
    <w:rsid w:val="00C32562"/>
    <w:rsid w:val="00C32658"/>
    <w:rsid w:val="00C3265E"/>
    <w:rsid w:val="00C32872"/>
    <w:rsid w:val="00C32917"/>
    <w:rsid w:val="00C3296A"/>
    <w:rsid w:val="00C329CE"/>
    <w:rsid w:val="00C32DBC"/>
    <w:rsid w:val="00C32EAE"/>
    <w:rsid w:val="00C33035"/>
    <w:rsid w:val="00C330FC"/>
    <w:rsid w:val="00C33531"/>
    <w:rsid w:val="00C3355D"/>
    <w:rsid w:val="00C33772"/>
    <w:rsid w:val="00C3385C"/>
    <w:rsid w:val="00C338E6"/>
    <w:rsid w:val="00C33C51"/>
    <w:rsid w:val="00C33CC1"/>
    <w:rsid w:val="00C33E5E"/>
    <w:rsid w:val="00C33E77"/>
    <w:rsid w:val="00C33EB4"/>
    <w:rsid w:val="00C34196"/>
    <w:rsid w:val="00C344C5"/>
    <w:rsid w:val="00C34873"/>
    <w:rsid w:val="00C34D06"/>
    <w:rsid w:val="00C351EC"/>
    <w:rsid w:val="00C35358"/>
    <w:rsid w:val="00C35380"/>
    <w:rsid w:val="00C35500"/>
    <w:rsid w:val="00C35888"/>
    <w:rsid w:val="00C358E7"/>
    <w:rsid w:val="00C36010"/>
    <w:rsid w:val="00C36012"/>
    <w:rsid w:val="00C360CE"/>
    <w:rsid w:val="00C36167"/>
    <w:rsid w:val="00C361A8"/>
    <w:rsid w:val="00C36AF2"/>
    <w:rsid w:val="00C36E91"/>
    <w:rsid w:val="00C36EFE"/>
    <w:rsid w:val="00C372F8"/>
    <w:rsid w:val="00C373C8"/>
    <w:rsid w:val="00C37432"/>
    <w:rsid w:val="00C37520"/>
    <w:rsid w:val="00C375B7"/>
    <w:rsid w:val="00C375C5"/>
    <w:rsid w:val="00C375E6"/>
    <w:rsid w:val="00C37764"/>
    <w:rsid w:val="00C37B37"/>
    <w:rsid w:val="00C400DF"/>
    <w:rsid w:val="00C401FF"/>
    <w:rsid w:val="00C406EF"/>
    <w:rsid w:val="00C408E6"/>
    <w:rsid w:val="00C40C48"/>
    <w:rsid w:val="00C40CC4"/>
    <w:rsid w:val="00C40D22"/>
    <w:rsid w:val="00C40F1A"/>
    <w:rsid w:val="00C40F1F"/>
    <w:rsid w:val="00C4115A"/>
    <w:rsid w:val="00C41256"/>
    <w:rsid w:val="00C4126B"/>
    <w:rsid w:val="00C41392"/>
    <w:rsid w:val="00C41770"/>
    <w:rsid w:val="00C4191B"/>
    <w:rsid w:val="00C41A5C"/>
    <w:rsid w:val="00C41BBC"/>
    <w:rsid w:val="00C41F71"/>
    <w:rsid w:val="00C41FF0"/>
    <w:rsid w:val="00C422DD"/>
    <w:rsid w:val="00C423C1"/>
    <w:rsid w:val="00C424C8"/>
    <w:rsid w:val="00C429E2"/>
    <w:rsid w:val="00C42B59"/>
    <w:rsid w:val="00C42BBA"/>
    <w:rsid w:val="00C42E03"/>
    <w:rsid w:val="00C42E94"/>
    <w:rsid w:val="00C42E9A"/>
    <w:rsid w:val="00C42F9B"/>
    <w:rsid w:val="00C42FD4"/>
    <w:rsid w:val="00C4301D"/>
    <w:rsid w:val="00C435D4"/>
    <w:rsid w:val="00C4370F"/>
    <w:rsid w:val="00C439EE"/>
    <w:rsid w:val="00C43EAE"/>
    <w:rsid w:val="00C44139"/>
    <w:rsid w:val="00C4414A"/>
    <w:rsid w:val="00C444F8"/>
    <w:rsid w:val="00C445D3"/>
    <w:rsid w:val="00C447CC"/>
    <w:rsid w:val="00C44884"/>
    <w:rsid w:val="00C44A6D"/>
    <w:rsid w:val="00C44B5A"/>
    <w:rsid w:val="00C44CBB"/>
    <w:rsid w:val="00C44F0B"/>
    <w:rsid w:val="00C44F3D"/>
    <w:rsid w:val="00C450EE"/>
    <w:rsid w:val="00C452F8"/>
    <w:rsid w:val="00C45398"/>
    <w:rsid w:val="00C45540"/>
    <w:rsid w:val="00C45736"/>
    <w:rsid w:val="00C458D6"/>
    <w:rsid w:val="00C45D7D"/>
    <w:rsid w:val="00C45EB6"/>
    <w:rsid w:val="00C45F9B"/>
    <w:rsid w:val="00C46063"/>
    <w:rsid w:val="00C46079"/>
    <w:rsid w:val="00C463E3"/>
    <w:rsid w:val="00C466AE"/>
    <w:rsid w:val="00C46869"/>
    <w:rsid w:val="00C46934"/>
    <w:rsid w:val="00C46A2D"/>
    <w:rsid w:val="00C46C4B"/>
    <w:rsid w:val="00C47578"/>
    <w:rsid w:val="00C47A27"/>
    <w:rsid w:val="00C47BB5"/>
    <w:rsid w:val="00C47BB8"/>
    <w:rsid w:val="00C47BD5"/>
    <w:rsid w:val="00C50052"/>
    <w:rsid w:val="00C50077"/>
    <w:rsid w:val="00C501BC"/>
    <w:rsid w:val="00C502ED"/>
    <w:rsid w:val="00C5030A"/>
    <w:rsid w:val="00C50953"/>
    <w:rsid w:val="00C50F51"/>
    <w:rsid w:val="00C50FE5"/>
    <w:rsid w:val="00C517FF"/>
    <w:rsid w:val="00C51A94"/>
    <w:rsid w:val="00C51D8E"/>
    <w:rsid w:val="00C521EB"/>
    <w:rsid w:val="00C5230F"/>
    <w:rsid w:val="00C524B1"/>
    <w:rsid w:val="00C525A1"/>
    <w:rsid w:val="00C526BF"/>
    <w:rsid w:val="00C52777"/>
    <w:rsid w:val="00C5308B"/>
    <w:rsid w:val="00C531D1"/>
    <w:rsid w:val="00C5329A"/>
    <w:rsid w:val="00C5372E"/>
    <w:rsid w:val="00C539DA"/>
    <w:rsid w:val="00C53ACD"/>
    <w:rsid w:val="00C53C10"/>
    <w:rsid w:val="00C53F14"/>
    <w:rsid w:val="00C5413A"/>
    <w:rsid w:val="00C541B3"/>
    <w:rsid w:val="00C54349"/>
    <w:rsid w:val="00C54655"/>
    <w:rsid w:val="00C54A29"/>
    <w:rsid w:val="00C54CC3"/>
    <w:rsid w:val="00C55040"/>
    <w:rsid w:val="00C55059"/>
    <w:rsid w:val="00C5564E"/>
    <w:rsid w:val="00C5580A"/>
    <w:rsid w:val="00C55949"/>
    <w:rsid w:val="00C55B33"/>
    <w:rsid w:val="00C55C0F"/>
    <w:rsid w:val="00C55C62"/>
    <w:rsid w:val="00C55D90"/>
    <w:rsid w:val="00C55FE2"/>
    <w:rsid w:val="00C561A1"/>
    <w:rsid w:val="00C56280"/>
    <w:rsid w:val="00C56575"/>
    <w:rsid w:val="00C56907"/>
    <w:rsid w:val="00C56E59"/>
    <w:rsid w:val="00C57102"/>
    <w:rsid w:val="00C571A4"/>
    <w:rsid w:val="00C5728B"/>
    <w:rsid w:val="00C5747E"/>
    <w:rsid w:val="00C576F2"/>
    <w:rsid w:val="00C578C3"/>
    <w:rsid w:val="00C57992"/>
    <w:rsid w:val="00C57D38"/>
    <w:rsid w:val="00C57DFE"/>
    <w:rsid w:val="00C6015C"/>
    <w:rsid w:val="00C604CA"/>
    <w:rsid w:val="00C604E4"/>
    <w:rsid w:val="00C604E5"/>
    <w:rsid w:val="00C60672"/>
    <w:rsid w:val="00C6098E"/>
    <w:rsid w:val="00C61116"/>
    <w:rsid w:val="00C611F4"/>
    <w:rsid w:val="00C612AA"/>
    <w:rsid w:val="00C6157A"/>
    <w:rsid w:val="00C617BE"/>
    <w:rsid w:val="00C617D0"/>
    <w:rsid w:val="00C619B7"/>
    <w:rsid w:val="00C61C4B"/>
    <w:rsid w:val="00C61C8F"/>
    <w:rsid w:val="00C61D68"/>
    <w:rsid w:val="00C61DEC"/>
    <w:rsid w:val="00C62318"/>
    <w:rsid w:val="00C62319"/>
    <w:rsid w:val="00C62333"/>
    <w:rsid w:val="00C62396"/>
    <w:rsid w:val="00C62789"/>
    <w:rsid w:val="00C62824"/>
    <w:rsid w:val="00C628CE"/>
    <w:rsid w:val="00C62C2E"/>
    <w:rsid w:val="00C62C53"/>
    <w:rsid w:val="00C62CD8"/>
    <w:rsid w:val="00C62D7F"/>
    <w:rsid w:val="00C62F4F"/>
    <w:rsid w:val="00C63047"/>
    <w:rsid w:val="00C630C8"/>
    <w:rsid w:val="00C6353C"/>
    <w:rsid w:val="00C6355E"/>
    <w:rsid w:val="00C635D2"/>
    <w:rsid w:val="00C6374A"/>
    <w:rsid w:val="00C63754"/>
    <w:rsid w:val="00C63C20"/>
    <w:rsid w:val="00C641D7"/>
    <w:rsid w:val="00C64203"/>
    <w:rsid w:val="00C64764"/>
    <w:rsid w:val="00C64A71"/>
    <w:rsid w:val="00C64A7D"/>
    <w:rsid w:val="00C64FD9"/>
    <w:rsid w:val="00C65289"/>
    <w:rsid w:val="00C6573F"/>
    <w:rsid w:val="00C65A63"/>
    <w:rsid w:val="00C65F7F"/>
    <w:rsid w:val="00C6603E"/>
    <w:rsid w:val="00C6612F"/>
    <w:rsid w:val="00C661AF"/>
    <w:rsid w:val="00C66457"/>
    <w:rsid w:val="00C6685C"/>
    <w:rsid w:val="00C66C14"/>
    <w:rsid w:val="00C66CA7"/>
    <w:rsid w:val="00C66F59"/>
    <w:rsid w:val="00C671A8"/>
    <w:rsid w:val="00C6735A"/>
    <w:rsid w:val="00C675DF"/>
    <w:rsid w:val="00C67A92"/>
    <w:rsid w:val="00C67DCF"/>
    <w:rsid w:val="00C70AD9"/>
    <w:rsid w:val="00C70ADA"/>
    <w:rsid w:val="00C70BA4"/>
    <w:rsid w:val="00C70D41"/>
    <w:rsid w:val="00C70ED9"/>
    <w:rsid w:val="00C710B4"/>
    <w:rsid w:val="00C711EA"/>
    <w:rsid w:val="00C7145E"/>
    <w:rsid w:val="00C715FB"/>
    <w:rsid w:val="00C7160D"/>
    <w:rsid w:val="00C7172F"/>
    <w:rsid w:val="00C717EE"/>
    <w:rsid w:val="00C719D1"/>
    <w:rsid w:val="00C71B41"/>
    <w:rsid w:val="00C71CDD"/>
    <w:rsid w:val="00C71F64"/>
    <w:rsid w:val="00C71FCF"/>
    <w:rsid w:val="00C72028"/>
    <w:rsid w:val="00C723BB"/>
    <w:rsid w:val="00C7275F"/>
    <w:rsid w:val="00C72E1B"/>
    <w:rsid w:val="00C72F23"/>
    <w:rsid w:val="00C73009"/>
    <w:rsid w:val="00C73190"/>
    <w:rsid w:val="00C7322D"/>
    <w:rsid w:val="00C73339"/>
    <w:rsid w:val="00C7399D"/>
    <w:rsid w:val="00C739F3"/>
    <w:rsid w:val="00C73D63"/>
    <w:rsid w:val="00C73D80"/>
    <w:rsid w:val="00C73D85"/>
    <w:rsid w:val="00C73EA0"/>
    <w:rsid w:val="00C74382"/>
    <w:rsid w:val="00C745DC"/>
    <w:rsid w:val="00C74A28"/>
    <w:rsid w:val="00C74AF3"/>
    <w:rsid w:val="00C74D57"/>
    <w:rsid w:val="00C752A8"/>
    <w:rsid w:val="00C75B7D"/>
    <w:rsid w:val="00C75F1D"/>
    <w:rsid w:val="00C771CD"/>
    <w:rsid w:val="00C77546"/>
    <w:rsid w:val="00C778F3"/>
    <w:rsid w:val="00C779EA"/>
    <w:rsid w:val="00C77FDB"/>
    <w:rsid w:val="00C80222"/>
    <w:rsid w:val="00C80361"/>
    <w:rsid w:val="00C80651"/>
    <w:rsid w:val="00C806FC"/>
    <w:rsid w:val="00C8085B"/>
    <w:rsid w:val="00C80BBE"/>
    <w:rsid w:val="00C80FBC"/>
    <w:rsid w:val="00C80FC4"/>
    <w:rsid w:val="00C81219"/>
    <w:rsid w:val="00C813DC"/>
    <w:rsid w:val="00C81E3F"/>
    <w:rsid w:val="00C820F0"/>
    <w:rsid w:val="00C827B6"/>
    <w:rsid w:val="00C829D0"/>
    <w:rsid w:val="00C82C42"/>
    <w:rsid w:val="00C82D88"/>
    <w:rsid w:val="00C82DEF"/>
    <w:rsid w:val="00C82E68"/>
    <w:rsid w:val="00C82EBD"/>
    <w:rsid w:val="00C8323A"/>
    <w:rsid w:val="00C83610"/>
    <w:rsid w:val="00C836AD"/>
    <w:rsid w:val="00C8375B"/>
    <w:rsid w:val="00C837B9"/>
    <w:rsid w:val="00C83822"/>
    <w:rsid w:val="00C83F72"/>
    <w:rsid w:val="00C8409F"/>
    <w:rsid w:val="00C8426A"/>
    <w:rsid w:val="00C842E2"/>
    <w:rsid w:val="00C8446E"/>
    <w:rsid w:val="00C8461B"/>
    <w:rsid w:val="00C848B4"/>
    <w:rsid w:val="00C84C72"/>
    <w:rsid w:val="00C84E09"/>
    <w:rsid w:val="00C84E1A"/>
    <w:rsid w:val="00C84E33"/>
    <w:rsid w:val="00C84F12"/>
    <w:rsid w:val="00C851B1"/>
    <w:rsid w:val="00C856AC"/>
    <w:rsid w:val="00C856C4"/>
    <w:rsid w:val="00C856E8"/>
    <w:rsid w:val="00C8579D"/>
    <w:rsid w:val="00C8580A"/>
    <w:rsid w:val="00C85C0C"/>
    <w:rsid w:val="00C86087"/>
    <w:rsid w:val="00C866EA"/>
    <w:rsid w:val="00C86757"/>
    <w:rsid w:val="00C86762"/>
    <w:rsid w:val="00C8683A"/>
    <w:rsid w:val="00C86E9E"/>
    <w:rsid w:val="00C86EAC"/>
    <w:rsid w:val="00C86EC7"/>
    <w:rsid w:val="00C86F1A"/>
    <w:rsid w:val="00C87315"/>
    <w:rsid w:val="00C879D4"/>
    <w:rsid w:val="00C87F6A"/>
    <w:rsid w:val="00C9002F"/>
    <w:rsid w:val="00C9005D"/>
    <w:rsid w:val="00C90768"/>
    <w:rsid w:val="00C907E6"/>
    <w:rsid w:val="00C90A6F"/>
    <w:rsid w:val="00C90AE8"/>
    <w:rsid w:val="00C90F27"/>
    <w:rsid w:val="00C91135"/>
    <w:rsid w:val="00C91360"/>
    <w:rsid w:val="00C91367"/>
    <w:rsid w:val="00C914AA"/>
    <w:rsid w:val="00C914EB"/>
    <w:rsid w:val="00C91572"/>
    <w:rsid w:val="00C91799"/>
    <w:rsid w:val="00C91A49"/>
    <w:rsid w:val="00C91C5A"/>
    <w:rsid w:val="00C91D38"/>
    <w:rsid w:val="00C91F56"/>
    <w:rsid w:val="00C91FC7"/>
    <w:rsid w:val="00C924C7"/>
    <w:rsid w:val="00C928AD"/>
    <w:rsid w:val="00C93178"/>
    <w:rsid w:val="00C933AD"/>
    <w:rsid w:val="00C93443"/>
    <w:rsid w:val="00C934C2"/>
    <w:rsid w:val="00C934F9"/>
    <w:rsid w:val="00C936F2"/>
    <w:rsid w:val="00C93A28"/>
    <w:rsid w:val="00C93CF4"/>
    <w:rsid w:val="00C93E0C"/>
    <w:rsid w:val="00C93E1E"/>
    <w:rsid w:val="00C93E39"/>
    <w:rsid w:val="00C93E58"/>
    <w:rsid w:val="00C93EBE"/>
    <w:rsid w:val="00C9454E"/>
    <w:rsid w:val="00C946B0"/>
    <w:rsid w:val="00C9477B"/>
    <w:rsid w:val="00C950B8"/>
    <w:rsid w:val="00C95104"/>
    <w:rsid w:val="00C9522B"/>
    <w:rsid w:val="00C95393"/>
    <w:rsid w:val="00C95980"/>
    <w:rsid w:val="00C95E53"/>
    <w:rsid w:val="00C95EFE"/>
    <w:rsid w:val="00C96567"/>
    <w:rsid w:val="00C96B57"/>
    <w:rsid w:val="00C96E19"/>
    <w:rsid w:val="00C972BD"/>
    <w:rsid w:val="00C975BA"/>
    <w:rsid w:val="00C975ED"/>
    <w:rsid w:val="00C9771D"/>
    <w:rsid w:val="00C97BD2"/>
    <w:rsid w:val="00C97EB0"/>
    <w:rsid w:val="00CA012C"/>
    <w:rsid w:val="00CA0290"/>
    <w:rsid w:val="00CA0360"/>
    <w:rsid w:val="00CA0395"/>
    <w:rsid w:val="00CA043A"/>
    <w:rsid w:val="00CA04F3"/>
    <w:rsid w:val="00CA0B28"/>
    <w:rsid w:val="00CA1518"/>
    <w:rsid w:val="00CA159B"/>
    <w:rsid w:val="00CA160D"/>
    <w:rsid w:val="00CA1695"/>
    <w:rsid w:val="00CA187D"/>
    <w:rsid w:val="00CA1880"/>
    <w:rsid w:val="00CA18A3"/>
    <w:rsid w:val="00CA1B75"/>
    <w:rsid w:val="00CA1C9B"/>
    <w:rsid w:val="00CA2031"/>
    <w:rsid w:val="00CA29E9"/>
    <w:rsid w:val="00CA2A5D"/>
    <w:rsid w:val="00CA2A8F"/>
    <w:rsid w:val="00CA2B73"/>
    <w:rsid w:val="00CA30FA"/>
    <w:rsid w:val="00CA325B"/>
    <w:rsid w:val="00CA3291"/>
    <w:rsid w:val="00CA350D"/>
    <w:rsid w:val="00CA3DF0"/>
    <w:rsid w:val="00CA3E5E"/>
    <w:rsid w:val="00CA3ED1"/>
    <w:rsid w:val="00CA3FBC"/>
    <w:rsid w:val="00CA4037"/>
    <w:rsid w:val="00CA422D"/>
    <w:rsid w:val="00CA434A"/>
    <w:rsid w:val="00CA45B7"/>
    <w:rsid w:val="00CA489A"/>
    <w:rsid w:val="00CA49AF"/>
    <w:rsid w:val="00CA49DC"/>
    <w:rsid w:val="00CA4ABD"/>
    <w:rsid w:val="00CA4E45"/>
    <w:rsid w:val="00CA5566"/>
    <w:rsid w:val="00CA55C0"/>
    <w:rsid w:val="00CA57CC"/>
    <w:rsid w:val="00CA58C2"/>
    <w:rsid w:val="00CA5C96"/>
    <w:rsid w:val="00CA5D4F"/>
    <w:rsid w:val="00CA6038"/>
    <w:rsid w:val="00CA643E"/>
    <w:rsid w:val="00CA6570"/>
    <w:rsid w:val="00CA6B38"/>
    <w:rsid w:val="00CA6D3F"/>
    <w:rsid w:val="00CA6EB8"/>
    <w:rsid w:val="00CA709D"/>
    <w:rsid w:val="00CA7C70"/>
    <w:rsid w:val="00CA7F47"/>
    <w:rsid w:val="00CB00C4"/>
    <w:rsid w:val="00CB067E"/>
    <w:rsid w:val="00CB0F76"/>
    <w:rsid w:val="00CB1372"/>
    <w:rsid w:val="00CB1396"/>
    <w:rsid w:val="00CB147D"/>
    <w:rsid w:val="00CB1678"/>
    <w:rsid w:val="00CB1BBF"/>
    <w:rsid w:val="00CB1C3E"/>
    <w:rsid w:val="00CB1FC7"/>
    <w:rsid w:val="00CB20F4"/>
    <w:rsid w:val="00CB242B"/>
    <w:rsid w:val="00CB2694"/>
    <w:rsid w:val="00CB287F"/>
    <w:rsid w:val="00CB2B24"/>
    <w:rsid w:val="00CB317C"/>
    <w:rsid w:val="00CB321E"/>
    <w:rsid w:val="00CB324D"/>
    <w:rsid w:val="00CB352D"/>
    <w:rsid w:val="00CB353B"/>
    <w:rsid w:val="00CB384E"/>
    <w:rsid w:val="00CB4013"/>
    <w:rsid w:val="00CB42B3"/>
    <w:rsid w:val="00CB45D9"/>
    <w:rsid w:val="00CB499C"/>
    <w:rsid w:val="00CB4C80"/>
    <w:rsid w:val="00CB5414"/>
    <w:rsid w:val="00CB541A"/>
    <w:rsid w:val="00CB5AD6"/>
    <w:rsid w:val="00CB5AD9"/>
    <w:rsid w:val="00CB5DFD"/>
    <w:rsid w:val="00CB5F3C"/>
    <w:rsid w:val="00CB6439"/>
    <w:rsid w:val="00CB6491"/>
    <w:rsid w:val="00CB69CC"/>
    <w:rsid w:val="00CB6DB9"/>
    <w:rsid w:val="00CB6F8D"/>
    <w:rsid w:val="00CB72F5"/>
    <w:rsid w:val="00CB7505"/>
    <w:rsid w:val="00CC0B51"/>
    <w:rsid w:val="00CC0C19"/>
    <w:rsid w:val="00CC0E84"/>
    <w:rsid w:val="00CC12CF"/>
    <w:rsid w:val="00CC197A"/>
    <w:rsid w:val="00CC1A37"/>
    <w:rsid w:val="00CC1AA6"/>
    <w:rsid w:val="00CC1CD6"/>
    <w:rsid w:val="00CC1F1F"/>
    <w:rsid w:val="00CC1F55"/>
    <w:rsid w:val="00CC2109"/>
    <w:rsid w:val="00CC2407"/>
    <w:rsid w:val="00CC259E"/>
    <w:rsid w:val="00CC264A"/>
    <w:rsid w:val="00CC26D8"/>
    <w:rsid w:val="00CC2BE1"/>
    <w:rsid w:val="00CC3085"/>
    <w:rsid w:val="00CC35BB"/>
    <w:rsid w:val="00CC361D"/>
    <w:rsid w:val="00CC36B4"/>
    <w:rsid w:val="00CC36DD"/>
    <w:rsid w:val="00CC38AC"/>
    <w:rsid w:val="00CC3AF0"/>
    <w:rsid w:val="00CC3B67"/>
    <w:rsid w:val="00CC3BD5"/>
    <w:rsid w:val="00CC3C6F"/>
    <w:rsid w:val="00CC3CF0"/>
    <w:rsid w:val="00CC40EC"/>
    <w:rsid w:val="00CC4227"/>
    <w:rsid w:val="00CC44D4"/>
    <w:rsid w:val="00CC47B8"/>
    <w:rsid w:val="00CC4DD6"/>
    <w:rsid w:val="00CC4E7A"/>
    <w:rsid w:val="00CC4E8D"/>
    <w:rsid w:val="00CC4F96"/>
    <w:rsid w:val="00CC4FBC"/>
    <w:rsid w:val="00CC50E9"/>
    <w:rsid w:val="00CC563B"/>
    <w:rsid w:val="00CC568E"/>
    <w:rsid w:val="00CC59C1"/>
    <w:rsid w:val="00CC5C38"/>
    <w:rsid w:val="00CC5C8D"/>
    <w:rsid w:val="00CC5FC5"/>
    <w:rsid w:val="00CC6213"/>
    <w:rsid w:val="00CC62D8"/>
    <w:rsid w:val="00CC6693"/>
    <w:rsid w:val="00CC66CA"/>
    <w:rsid w:val="00CC69F2"/>
    <w:rsid w:val="00CC6BA2"/>
    <w:rsid w:val="00CC6BB3"/>
    <w:rsid w:val="00CC6D1A"/>
    <w:rsid w:val="00CC6D94"/>
    <w:rsid w:val="00CC725F"/>
    <w:rsid w:val="00CC73DE"/>
    <w:rsid w:val="00CC7894"/>
    <w:rsid w:val="00CC7945"/>
    <w:rsid w:val="00CC7EE3"/>
    <w:rsid w:val="00CD0192"/>
    <w:rsid w:val="00CD0564"/>
    <w:rsid w:val="00CD0EB7"/>
    <w:rsid w:val="00CD1257"/>
    <w:rsid w:val="00CD172C"/>
    <w:rsid w:val="00CD1965"/>
    <w:rsid w:val="00CD19C5"/>
    <w:rsid w:val="00CD1A8E"/>
    <w:rsid w:val="00CD1B80"/>
    <w:rsid w:val="00CD1C3C"/>
    <w:rsid w:val="00CD22B8"/>
    <w:rsid w:val="00CD267C"/>
    <w:rsid w:val="00CD26C3"/>
    <w:rsid w:val="00CD278A"/>
    <w:rsid w:val="00CD291E"/>
    <w:rsid w:val="00CD2B4A"/>
    <w:rsid w:val="00CD2C79"/>
    <w:rsid w:val="00CD2C9B"/>
    <w:rsid w:val="00CD2D9A"/>
    <w:rsid w:val="00CD3550"/>
    <w:rsid w:val="00CD3B76"/>
    <w:rsid w:val="00CD3BE2"/>
    <w:rsid w:val="00CD3C23"/>
    <w:rsid w:val="00CD3C79"/>
    <w:rsid w:val="00CD433C"/>
    <w:rsid w:val="00CD4756"/>
    <w:rsid w:val="00CD47B3"/>
    <w:rsid w:val="00CD48D1"/>
    <w:rsid w:val="00CD4CBA"/>
    <w:rsid w:val="00CD53F7"/>
    <w:rsid w:val="00CD548D"/>
    <w:rsid w:val="00CD566F"/>
    <w:rsid w:val="00CD572C"/>
    <w:rsid w:val="00CD5907"/>
    <w:rsid w:val="00CD5A4A"/>
    <w:rsid w:val="00CD5AAC"/>
    <w:rsid w:val="00CD5BBE"/>
    <w:rsid w:val="00CD5BF6"/>
    <w:rsid w:val="00CD5D95"/>
    <w:rsid w:val="00CD60CA"/>
    <w:rsid w:val="00CD611F"/>
    <w:rsid w:val="00CD6597"/>
    <w:rsid w:val="00CD67DD"/>
    <w:rsid w:val="00CD6DF5"/>
    <w:rsid w:val="00CD7392"/>
    <w:rsid w:val="00CD7B5D"/>
    <w:rsid w:val="00CD7CB0"/>
    <w:rsid w:val="00CE0467"/>
    <w:rsid w:val="00CE0545"/>
    <w:rsid w:val="00CE0F1A"/>
    <w:rsid w:val="00CE10AE"/>
    <w:rsid w:val="00CE13F8"/>
    <w:rsid w:val="00CE1637"/>
    <w:rsid w:val="00CE16AA"/>
    <w:rsid w:val="00CE199E"/>
    <w:rsid w:val="00CE1B13"/>
    <w:rsid w:val="00CE22F8"/>
    <w:rsid w:val="00CE2335"/>
    <w:rsid w:val="00CE26AE"/>
    <w:rsid w:val="00CE2752"/>
    <w:rsid w:val="00CE2969"/>
    <w:rsid w:val="00CE2CFB"/>
    <w:rsid w:val="00CE3124"/>
    <w:rsid w:val="00CE3335"/>
    <w:rsid w:val="00CE3A31"/>
    <w:rsid w:val="00CE3A39"/>
    <w:rsid w:val="00CE3BED"/>
    <w:rsid w:val="00CE3D10"/>
    <w:rsid w:val="00CE3E84"/>
    <w:rsid w:val="00CE42AE"/>
    <w:rsid w:val="00CE4496"/>
    <w:rsid w:val="00CE45B7"/>
    <w:rsid w:val="00CE4678"/>
    <w:rsid w:val="00CE46D4"/>
    <w:rsid w:val="00CE48B0"/>
    <w:rsid w:val="00CE490F"/>
    <w:rsid w:val="00CE4A97"/>
    <w:rsid w:val="00CE4C45"/>
    <w:rsid w:val="00CE583A"/>
    <w:rsid w:val="00CE5A6B"/>
    <w:rsid w:val="00CE5D41"/>
    <w:rsid w:val="00CE5DC6"/>
    <w:rsid w:val="00CE62A5"/>
    <w:rsid w:val="00CE634F"/>
    <w:rsid w:val="00CE654B"/>
    <w:rsid w:val="00CE6928"/>
    <w:rsid w:val="00CE708B"/>
    <w:rsid w:val="00CE7175"/>
    <w:rsid w:val="00CE7455"/>
    <w:rsid w:val="00CE776F"/>
    <w:rsid w:val="00CE7770"/>
    <w:rsid w:val="00CE783F"/>
    <w:rsid w:val="00CE7A73"/>
    <w:rsid w:val="00CE7D50"/>
    <w:rsid w:val="00CF0105"/>
    <w:rsid w:val="00CF01B2"/>
    <w:rsid w:val="00CF0310"/>
    <w:rsid w:val="00CF03EB"/>
    <w:rsid w:val="00CF078D"/>
    <w:rsid w:val="00CF0832"/>
    <w:rsid w:val="00CF08C1"/>
    <w:rsid w:val="00CF094D"/>
    <w:rsid w:val="00CF0BA8"/>
    <w:rsid w:val="00CF0BBE"/>
    <w:rsid w:val="00CF0CB0"/>
    <w:rsid w:val="00CF0DD9"/>
    <w:rsid w:val="00CF0E3F"/>
    <w:rsid w:val="00CF1494"/>
    <w:rsid w:val="00CF14A8"/>
    <w:rsid w:val="00CF193E"/>
    <w:rsid w:val="00CF1C28"/>
    <w:rsid w:val="00CF1DF5"/>
    <w:rsid w:val="00CF2131"/>
    <w:rsid w:val="00CF2291"/>
    <w:rsid w:val="00CF22A5"/>
    <w:rsid w:val="00CF2B8C"/>
    <w:rsid w:val="00CF2B92"/>
    <w:rsid w:val="00CF2C39"/>
    <w:rsid w:val="00CF3525"/>
    <w:rsid w:val="00CF38C1"/>
    <w:rsid w:val="00CF38D5"/>
    <w:rsid w:val="00CF39E5"/>
    <w:rsid w:val="00CF3B14"/>
    <w:rsid w:val="00CF3B72"/>
    <w:rsid w:val="00CF3C94"/>
    <w:rsid w:val="00CF3D9B"/>
    <w:rsid w:val="00CF42CF"/>
    <w:rsid w:val="00CF4727"/>
    <w:rsid w:val="00CF48A3"/>
    <w:rsid w:val="00CF4A31"/>
    <w:rsid w:val="00CF4D69"/>
    <w:rsid w:val="00CF4DB5"/>
    <w:rsid w:val="00CF51EC"/>
    <w:rsid w:val="00CF5627"/>
    <w:rsid w:val="00CF564E"/>
    <w:rsid w:val="00CF566F"/>
    <w:rsid w:val="00CF5CF3"/>
    <w:rsid w:val="00CF5DBF"/>
    <w:rsid w:val="00CF5EA0"/>
    <w:rsid w:val="00CF6058"/>
    <w:rsid w:val="00CF6443"/>
    <w:rsid w:val="00CF65CA"/>
    <w:rsid w:val="00CF65D7"/>
    <w:rsid w:val="00CF671C"/>
    <w:rsid w:val="00CF68E3"/>
    <w:rsid w:val="00CF6A09"/>
    <w:rsid w:val="00CF6AB3"/>
    <w:rsid w:val="00CF6F5B"/>
    <w:rsid w:val="00CF6FAD"/>
    <w:rsid w:val="00CF7137"/>
    <w:rsid w:val="00CF73CD"/>
    <w:rsid w:val="00CF7790"/>
    <w:rsid w:val="00CF77EC"/>
    <w:rsid w:val="00CF78B2"/>
    <w:rsid w:val="00CF7B1E"/>
    <w:rsid w:val="00CF7C99"/>
    <w:rsid w:val="00CF7E46"/>
    <w:rsid w:val="00CF7F18"/>
    <w:rsid w:val="00D00175"/>
    <w:rsid w:val="00D00347"/>
    <w:rsid w:val="00D00380"/>
    <w:rsid w:val="00D00465"/>
    <w:rsid w:val="00D0049C"/>
    <w:rsid w:val="00D00AFE"/>
    <w:rsid w:val="00D00BEC"/>
    <w:rsid w:val="00D01174"/>
    <w:rsid w:val="00D0133C"/>
    <w:rsid w:val="00D01557"/>
    <w:rsid w:val="00D018BC"/>
    <w:rsid w:val="00D01912"/>
    <w:rsid w:val="00D01941"/>
    <w:rsid w:val="00D01BB9"/>
    <w:rsid w:val="00D01E87"/>
    <w:rsid w:val="00D02011"/>
    <w:rsid w:val="00D02783"/>
    <w:rsid w:val="00D02914"/>
    <w:rsid w:val="00D030F5"/>
    <w:rsid w:val="00D032BE"/>
    <w:rsid w:val="00D0333A"/>
    <w:rsid w:val="00D0352C"/>
    <w:rsid w:val="00D0354C"/>
    <w:rsid w:val="00D03583"/>
    <w:rsid w:val="00D0372D"/>
    <w:rsid w:val="00D03766"/>
    <w:rsid w:val="00D038F1"/>
    <w:rsid w:val="00D039B4"/>
    <w:rsid w:val="00D03C44"/>
    <w:rsid w:val="00D04253"/>
    <w:rsid w:val="00D042BB"/>
    <w:rsid w:val="00D044D5"/>
    <w:rsid w:val="00D04581"/>
    <w:rsid w:val="00D0493E"/>
    <w:rsid w:val="00D049F7"/>
    <w:rsid w:val="00D04D15"/>
    <w:rsid w:val="00D04E21"/>
    <w:rsid w:val="00D04E27"/>
    <w:rsid w:val="00D05052"/>
    <w:rsid w:val="00D053C4"/>
    <w:rsid w:val="00D053F8"/>
    <w:rsid w:val="00D0562A"/>
    <w:rsid w:val="00D0562E"/>
    <w:rsid w:val="00D0577A"/>
    <w:rsid w:val="00D05788"/>
    <w:rsid w:val="00D05806"/>
    <w:rsid w:val="00D05EC9"/>
    <w:rsid w:val="00D062D3"/>
    <w:rsid w:val="00D063D9"/>
    <w:rsid w:val="00D06978"/>
    <w:rsid w:val="00D06AD1"/>
    <w:rsid w:val="00D06DBA"/>
    <w:rsid w:val="00D06E91"/>
    <w:rsid w:val="00D071C2"/>
    <w:rsid w:val="00D071DB"/>
    <w:rsid w:val="00D07311"/>
    <w:rsid w:val="00D0763B"/>
    <w:rsid w:val="00D07773"/>
    <w:rsid w:val="00D079F2"/>
    <w:rsid w:val="00D07AF1"/>
    <w:rsid w:val="00D07BA8"/>
    <w:rsid w:val="00D07DC6"/>
    <w:rsid w:val="00D1017D"/>
    <w:rsid w:val="00D103EA"/>
    <w:rsid w:val="00D105D4"/>
    <w:rsid w:val="00D10B93"/>
    <w:rsid w:val="00D111D9"/>
    <w:rsid w:val="00D116F1"/>
    <w:rsid w:val="00D11713"/>
    <w:rsid w:val="00D11983"/>
    <w:rsid w:val="00D1214C"/>
    <w:rsid w:val="00D1247F"/>
    <w:rsid w:val="00D125EC"/>
    <w:rsid w:val="00D12652"/>
    <w:rsid w:val="00D12728"/>
    <w:rsid w:val="00D12882"/>
    <w:rsid w:val="00D12F87"/>
    <w:rsid w:val="00D13213"/>
    <w:rsid w:val="00D132DB"/>
    <w:rsid w:val="00D133A6"/>
    <w:rsid w:val="00D133F2"/>
    <w:rsid w:val="00D13501"/>
    <w:rsid w:val="00D136FB"/>
    <w:rsid w:val="00D138E5"/>
    <w:rsid w:val="00D13C6B"/>
    <w:rsid w:val="00D14609"/>
    <w:rsid w:val="00D14769"/>
    <w:rsid w:val="00D149B6"/>
    <w:rsid w:val="00D14CDC"/>
    <w:rsid w:val="00D14CFE"/>
    <w:rsid w:val="00D15212"/>
    <w:rsid w:val="00D15B44"/>
    <w:rsid w:val="00D15C5F"/>
    <w:rsid w:val="00D15CC2"/>
    <w:rsid w:val="00D15D62"/>
    <w:rsid w:val="00D16016"/>
    <w:rsid w:val="00D16296"/>
    <w:rsid w:val="00D1662A"/>
    <w:rsid w:val="00D16639"/>
    <w:rsid w:val="00D16846"/>
    <w:rsid w:val="00D16CB6"/>
    <w:rsid w:val="00D16ECD"/>
    <w:rsid w:val="00D17094"/>
    <w:rsid w:val="00D17300"/>
    <w:rsid w:val="00D174C8"/>
    <w:rsid w:val="00D1760D"/>
    <w:rsid w:val="00D17AD4"/>
    <w:rsid w:val="00D17C0B"/>
    <w:rsid w:val="00D17C6A"/>
    <w:rsid w:val="00D17CAA"/>
    <w:rsid w:val="00D17CD5"/>
    <w:rsid w:val="00D20152"/>
    <w:rsid w:val="00D205D8"/>
    <w:rsid w:val="00D20669"/>
    <w:rsid w:val="00D20968"/>
    <w:rsid w:val="00D209D0"/>
    <w:rsid w:val="00D209D9"/>
    <w:rsid w:val="00D20A59"/>
    <w:rsid w:val="00D20BA6"/>
    <w:rsid w:val="00D20CDF"/>
    <w:rsid w:val="00D20E1A"/>
    <w:rsid w:val="00D20E70"/>
    <w:rsid w:val="00D20F0F"/>
    <w:rsid w:val="00D21042"/>
    <w:rsid w:val="00D2144B"/>
    <w:rsid w:val="00D215C0"/>
    <w:rsid w:val="00D21605"/>
    <w:rsid w:val="00D219EB"/>
    <w:rsid w:val="00D219F5"/>
    <w:rsid w:val="00D21A8D"/>
    <w:rsid w:val="00D21AE4"/>
    <w:rsid w:val="00D21B06"/>
    <w:rsid w:val="00D21BF8"/>
    <w:rsid w:val="00D21DC5"/>
    <w:rsid w:val="00D21E9E"/>
    <w:rsid w:val="00D220AB"/>
    <w:rsid w:val="00D2223B"/>
    <w:rsid w:val="00D22346"/>
    <w:rsid w:val="00D22479"/>
    <w:rsid w:val="00D22A42"/>
    <w:rsid w:val="00D22AE7"/>
    <w:rsid w:val="00D22D4B"/>
    <w:rsid w:val="00D23402"/>
    <w:rsid w:val="00D23421"/>
    <w:rsid w:val="00D234C5"/>
    <w:rsid w:val="00D235B4"/>
    <w:rsid w:val="00D236AD"/>
    <w:rsid w:val="00D23A97"/>
    <w:rsid w:val="00D23B5E"/>
    <w:rsid w:val="00D23F27"/>
    <w:rsid w:val="00D24276"/>
    <w:rsid w:val="00D24576"/>
    <w:rsid w:val="00D246C6"/>
    <w:rsid w:val="00D248BC"/>
    <w:rsid w:val="00D2492B"/>
    <w:rsid w:val="00D24C82"/>
    <w:rsid w:val="00D251E9"/>
    <w:rsid w:val="00D25658"/>
    <w:rsid w:val="00D259D1"/>
    <w:rsid w:val="00D25DF7"/>
    <w:rsid w:val="00D25E04"/>
    <w:rsid w:val="00D25E0E"/>
    <w:rsid w:val="00D25EAF"/>
    <w:rsid w:val="00D262A2"/>
    <w:rsid w:val="00D262B1"/>
    <w:rsid w:val="00D2670B"/>
    <w:rsid w:val="00D26769"/>
    <w:rsid w:val="00D2695C"/>
    <w:rsid w:val="00D26C82"/>
    <w:rsid w:val="00D26D1B"/>
    <w:rsid w:val="00D26E2B"/>
    <w:rsid w:val="00D27074"/>
    <w:rsid w:val="00D27091"/>
    <w:rsid w:val="00D27251"/>
    <w:rsid w:val="00D27440"/>
    <w:rsid w:val="00D27711"/>
    <w:rsid w:val="00D27989"/>
    <w:rsid w:val="00D27BE5"/>
    <w:rsid w:val="00D30051"/>
    <w:rsid w:val="00D3005E"/>
    <w:rsid w:val="00D301B1"/>
    <w:rsid w:val="00D301EF"/>
    <w:rsid w:val="00D30B41"/>
    <w:rsid w:val="00D31034"/>
    <w:rsid w:val="00D31047"/>
    <w:rsid w:val="00D310EC"/>
    <w:rsid w:val="00D3112D"/>
    <w:rsid w:val="00D3130C"/>
    <w:rsid w:val="00D31510"/>
    <w:rsid w:val="00D31599"/>
    <w:rsid w:val="00D3173B"/>
    <w:rsid w:val="00D31785"/>
    <w:rsid w:val="00D31791"/>
    <w:rsid w:val="00D31943"/>
    <w:rsid w:val="00D31DE4"/>
    <w:rsid w:val="00D31E3F"/>
    <w:rsid w:val="00D31EF2"/>
    <w:rsid w:val="00D31F2E"/>
    <w:rsid w:val="00D3206C"/>
    <w:rsid w:val="00D32252"/>
    <w:rsid w:val="00D32331"/>
    <w:rsid w:val="00D32726"/>
    <w:rsid w:val="00D32733"/>
    <w:rsid w:val="00D3277D"/>
    <w:rsid w:val="00D32D40"/>
    <w:rsid w:val="00D3317E"/>
    <w:rsid w:val="00D333D1"/>
    <w:rsid w:val="00D334AC"/>
    <w:rsid w:val="00D335F6"/>
    <w:rsid w:val="00D336DE"/>
    <w:rsid w:val="00D33700"/>
    <w:rsid w:val="00D33840"/>
    <w:rsid w:val="00D33944"/>
    <w:rsid w:val="00D33B1C"/>
    <w:rsid w:val="00D33D60"/>
    <w:rsid w:val="00D33DA6"/>
    <w:rsid w:val="00D343A2"/>
    <w:rsid w:val="00D343C2"/>
    <w:rsid w:val="00D3465E"/>
    <w:rsid w:val="00D34798"/>
    <w:rsid w:val="00D3529C"/>
    <w:rsid w:val="00D353ED"/>
    <w:rsid w:val="00D353FE"/>
    <w:rsid w:val="00D35499"/>
    <w:rsid w:val="00D3576A"/>
    <w:rsid w:val="00D357DA"/>
    <w:rsid w:val="00D35F40"/>
    <w:rsid w:val="00D362AB"/>
    <w:rsid w:val="00D364DB"/>
    <w:rsid w:val="00D3680A"/>
    <w:rsid w:val="00D3688B"/>
    <w:rsid w:val="00D36F3E"/>
    <w:rsid w:val="00D37403"/>
    <w:rsid w:val="00D37A3F"/>
    <w:rsid w:val="00D37AB7"/>
    <w:rsid w:val="00D37C65"/>
    <w:rsid w:val="00D37E4F"/>
    <w:rsid w:val="00D37E65"/>
    <w:rsid w:val="00D37EDF"/>
    <w:rsid w:val="00D40277"/>
    <w:rsid w:val="00D4039C"/>
    <w:rsid w:val="00D40631"/>
    <w:rsid w:val="00D407D7"/>
    <w:rsid w:val="00D4102B"/>
    <w:rsid w:val="00D410CD"/>
    <w:rsid w:val="00D41384"/>
    <w:rsid w:val="00D41792"/>
    <w:rsid w:val="00D41AFE"/>
    <w:rsid w:val="00D421B7"/>
    <w:rsid w:val="00D4288A"/>
    <w:rsid w:val="00D42B13"/>
    <w:rsid w:val="00D42CFC"/>
    <w:rsid w:val="00D42EC3"/>
    <w:rsid w:val="00D42FD7"/>
    <w:rsid w:val="00D43260"/>
    <w:rsid w:val="00D436B4"/>
    <w:rsid w:val="00D43DC9"/>
    <w:rsid w:val="00D43E34"/>
    <w:rsid w:val="00D44191"/>
    <w:rsid w:val="00D441CC"/>
    <w:rsid w:val="00D44443"/>
    <w:rsid w:val="00D44D04"/>
    <w:rsid w:val="00D4569A"/>
    <w:rsid w:val="00D4570F"/>
    <w:rsid w:val="00D45775"/>
    <w:rsid w:val="00D458CB"/>
    <w:rsid w:val="00D45AEA"/>
    <w:rsid w:val="00D45C18"/>
    <w:rsid w:val="00D45D94"/>
    <w:rsid w:val="00D45FA2"/>
    <w:rsid w:val="00D4643F"/>
    <w:rsid w:val="00D46607"/>
    <w:rsid w:val="00D4680A"/>
    <w:rsid w:val="00D46886"/>
    <w:rsid w:val="00D4706E"/>
    <w:rsid w:val="00D472F1"/>
    <w:rsid w:val="00D47388"/>
    <w:rsid w:val="00D4743A"/>
    <w:rsid w:val="00D476FE"/>
    <w:rsid w:val="00D47B32"/>
    <w:rsid w:val="00D47C9C"/>
    <w:rsid w:val="00D47ECD"/>
    <w:rsid w:val="00D47F16"/>
    <w:rsid w:val="00D502AC"/>
    <w:rsid w:val="00D50313"/>
    <w:rsid w:val="00D50865"/>
    <w:rsid w:val="00D5098C"/>
    <w:rsid w:val="00D50A86"/>
    <w:rsid w:val="00D50E1A"/>
    <w:rsid w:val="00D51049"/>
    <w:rsid w:val="00D51477"/>
    <w:rsid w:val="00D51AD7"/>
    <w:rsid w:val="00D51BED"/>
    <w:rsid w:val="00D51C77"/>
    <w:rsid w:val="00D51E3F"/>
    <w:rsid w:val="00D52266"/>
    <w:rsid w:val="00D522D4"/>
    <w:rsid w:val="00D525CD"/>
    <w:rsid w:val="00D52956"/>
    <w:rsid w:val="00D52966"/>
    <w:rsid w:val="00D52B4A"/>
    <w:rsid w:val="00D52CAB"/>
    <w:rsid w:val="00D52F4B"/>
    <w:rsid w:val="00D53072"/>
    <w:rsid w:val="00D53254"/>
    <w:rsid w:val="00D534DA"/>
    <w:rsid w:val="00D5422D"/>
    <w:rsid w:val="00D5464C"/>
    <w:rsid w:val="00D5499F"/>
    <w:rsid w:val="00D549D8"/>
    <w:rsid w:val="00D54EE8"/>
    <w:rsid w:val="00D551D2"/>
    <w:rsid w:val="00D556BB"/>
    <w:rsid w:val="00D55D0B"/>
    <w:rsid w:val="00D55F81"/>
    <w:rsid w:val="00D5636D"/>
    <w:rsid w:val="00D5674E"/>
    <w:rsid w:val="00D56918"/>
    <w:rsid w:val="00D56A82"/>
    <w:rsid w:val="00D57302"/>
    <w:rsid w:val="00D57683"/>
    <w:rsid w:val="00D578CF"/>
    <w:rsid w:val="00D57C7E"/>
    <w:rsid w:val="00D60382"/>
    <w:rsid w:val="00D603D7"/>
    <w:rsid w:val="00D606EA"/>
    <w:rsid w:val="00D60A89"/>
    <w:rsid w:val="00D60B32"/>
    <w:rsid w:val="00D60C81"/>
    <w:rsid w:val="00D60E48"/>
    <w:rsid w:val="00D60E49"/>
    <w:rsid w:val="00D60FD3"/>
    <w:rsid w:val="00D619AF"/>
    <w:rsid w:val="00D619DA"/>
    <w:rsid w:val="00D61B0D"/>
    <w:rsid w:val="00D61D79"/>
    <w:rsid w:val="00D61D9B"/>
    <w:rsid w:val="00D620EA"/>
    <w:rsid w:val="00D620F5"/>
    <w:rsid w:val="00D6267A"/>
    <w:rsid w:val="00D628C8"/>
    <w:rsid w:val="00D62C4A"/>
    <w:rsid w:val="00D62DA8"/>
    <w:rsid w:val="00D62DB6"/>
    <w:rsid w:val="00D63209"/>
    <w:rsid w:val="00D633FD"/>
    <w:rsid w:val="00D63477"/>
    <w:rsid w:val="00D63880"/>
    <w:rsid w:val="00D6398B"/>
    <w:rsid w:val="00D63C4B"/>
    <w:rsid w:val="00D63CA7"/>
    <w:rsid w:val="00D63EDD"/>
    <w:rsid w:val="00D63F6B"/>
    <w:rsid w:val="00D6407C"/>
    <w:rsid w:val="00D64142"/>
    <w:rsid w:val="00D64934"/>
    <w:rsid w:val="00D64A7A"/>
    <w:rsid w:val="00D64CA9"/>
    <w:rsid w:val="00D64DED"/>
    <w:rsid w:val="00D64F91"/>
    <w:rsid w:val="00D64FFD"/>
    <w:rsid w:val="00D6522A"/>
    <w:rsid w:val="00D654CF"/>
    <w:rsid w:val="00D655EF"/>
    <w:rsid w:val="00D65612"/>
    <w:rsid w:val="00D65856"/>
    <w:rsid w:val="00D659BE"/>
    <w:rsid w:val="00D659CB"/>
    <w:rsid w:val="00D65BD9"/>
    <w:rsid w:val="00D65C6D"/>
    <w:rsid w:val="00D65CBF"/>
    <w:rsid w:val="00D65EB1"/>
    <w:rsid w:val="00D65F7D"/>
    <w:rsid w:val="00D66004"/>
    <w:rsid w:val="00D664F0"/>
    <w:rsid w:val="00D66644"/>
    <w:rsid w:val="00D66659"/>
    <w:rsid w:val="00D666D8"/>
    <w:rsid w:val="00D667A9"/>
    <w:rsid w:val="00D669EA"/>
    <w:rsid w:val="00D66ED7"/>
    <w:rsid w:val="00D66F04"/>
    <w:rsid w:val="00D670E2"/>
    <w:rsid w:val="00D67440"/>
    <w:rsid w:val="00D67506"/>
    <w:rsid w:val="00D67521"/>
    <w:rsid w:val="00D677CE"/>
    <w:rsid w:val="00D67A75"/>
    <w:rsid w:val="00D67D0C"/>
    <w:rsid w:val="00D67FD6"/>
    <w:rsid w:val="00D7023F"/>
    <w:rsid w:val="00D70261"/>
    <w:rsid w:val="00D7057C"/>
    <w:rsid w:val="00D70E3E"/>
    <w:rsid w:val="00D70E97"/>
    <w:rsid w:val="00D70F42"/>
    <w:rsid w:val="00D70FB5"/>
    <w:rsid w:val="00D7124F"/>
    <w:rsid w:val="00D71286"/>
    <w:rsid w:val="00D712D2"/>
    <w:rsid w:val="00D712F7"/>
    <w:rsid w:val="00D71468"/>
    <w:rsid w:val="00D715C3"/>
    <w:rsid w:val="00D716B0"/>
    <w:rsid w:val="00D71A78"/>
    <w:rsid w:val="00D71C34"/>
    <w:rsid w:val="00D71E2B"/>
    <w:rsid w:val="00D71FDB"/>
    <w:rsid w:val="00D72031"/>
    <w:rsid w:val="00D7256A"/>
    <w:rsid w:val="00D7286D"/>
    <w:rsid w:val="00D73332"/>
    <w:rsid w:val="00D73884"/>
    <w:rsid w:val="00D73E35"/>
    <w:rsid w:val="00D7408A"/>
    <w:rsid w:val="00D741C0"/>
    <w:rsid w:val="00D747DA"/>
    <w:rsid w:val="00D74905"/>
    <w:rsid w:val="00D74F16"/>
    <w:rsid w:val="00D75203"/>
    <w:rsid w:val="00D752F7"/>
    <w:rsid w:val="00D753A8"/>
    <w:rsid w:val="00D75400"/>
    <w:rsid w:val="00D7547D"/>
    <w:rsid w:val="00D759D4"/>
    <w:rsid w:val="00D75C8A"/>
    <w:rsid w:val="00D75EA2"/>
    <w:rsid w:val="00D761C5"/>
    <w:rsid w:val="00D76324"/>
    <w:rsid w:val="00D76444"/>
    <w:rsid w:val="00D766C3"/>
    <w:rsid w:val="00D768AC"/>
    <w:rsid w:val="00D76BDE"/>
    <w:rsid w:val="00D7709F"/>
    <w:rsid w:val="00D77149"/>
    <w:rsid w:val="00D772DE"/>
    <w:rsid w:val="00D773D2"/>
    <w:rsid w:val="00D773D5"/>
    <w:rsid w:val="00D775C7"/>
    <w:rsid w:val="00D77628"/>
    <w:rsid w:val="00D7777C"/>
    <w:rsid w:val="00D77A02"/>
    <w:rsid w:val="00D77A1D"/>
    <w:rsid w:val="00D77A32"/>
    <w:rsid w:val="00D77A40"/>
    <w:rsid w:val="00D77A80"/>
    <w:rsid w:val="00D77D65"/>
    <w:rsid w:val="00D8031B"/>
    <w:rsid w:val="00D80385"/>
    <w:rsid w:val="00D8055A"/>
    <w:rsid w:val="00D8086B"/>
    <w:rsid w:val="00D80ACC"/>
    <w:rsid w:val="00D80C2F"/>
    <w:rsid w:val="00D80C93"/>
    <w:rsid w:val="00D814E5"/>
    <w:rsid w:val="00D816C3"/>
    <w:rsid w:val="00D816EC"/>
    <w:rsid w:val="00D8179E"/>
    <w:rsid w:val="00D8185B"/>
    <w:rsid w:val="00D81BD7"/>
    <w:rsid w:val="00D81C40"/>
    <w:rsid w:val="00D81E12"/>
    <w:rsid w:val="00D81ED9"/>
    <w:rsid w:val="00D81EE2"/>
    <w:rsid w:val="00D81F39"/>
    <w:rsid w:val="00D82148"/>
    <w:rsid w:val="00D82512"/>
    <w:rsid w:val="00D82764"/>
    <w:rsid w:val="00D829EF"/>
    <w:rsid w:val="00D82A5C"/>
    <w:rsid w:val="00D82A99"/>
    <w:rsid w:val="00D82D71"/>
    <w:rsid w:val="00D82E12"/>
    <w:rsid w:val="00D83062"/>
    <w:rsid w:val="00D83265"/>
    <w:rsid w:val="00D833BF"/>
    <w:rsid w:val="00D834BB"/>
    <w:rsid w:val="00D83B68"/>
    <w:rsid w:val="00D83C81"/>
    <w:rsid w:val="00D83F13"/>
    <w:rsid w:val="00D8411F"/>
    <w:rsid w:val="00D84148"/>
    <w:rsid w:val="00D84651"/>
    <w:rsid w:val="00D848C9"/>
    <w:rsid w:val="00D84AB3"/>
    <w:rsid w:val="00D84AB9"/>
    <w:rsid w:val="00D84C0E"/>
    <w:rsid w:val="00D84E12"/>
    <w:rsid w:val="00D84E77"/>
    <w:rsid w:val="00D85150"/>
    <w:rsid w:val="00D8523F"/>
    <w:rsid w:val="00D8572B"/>
    <w:rsid w:val="00D85734"/>
    <w:rsid w:val="00D8583C"/>
    <w:rsid w:val="00D858AE"/>
    <w:rsid w:val="00D85A89"/>
    <w:rsid w:val="00D85B34"/>
    <w:rsid w:val="00D86248"/>
    <w:rsid w:val="00D86649"/>
    <w:rsid w:val="00D867D5"/>
    <w:rsid w:val="00D86AF9"/>
    <w:rsid w:val="00D86D54"/>
    <w:rsid w:val="00D86F4A"/>
    <w:rsid w:val="00D8705C"/>
    <w:rsid w:val="00D872C2"/>
    <w:rsid w:val="00D874DF"/>
    <w:rsid w:val="00D87658"/>
    <w:rsid w:val="00D87D3C"/>
    <w:rsid w:val="00D87D4C"/>
    <w:rsid w:val="00D90042"/>
    <w:rsid w:val="00D90057"/>
    <w:rsid w:val="00D90063"/>
    <w:rsid w:val="00D90135"/>
    <w:rsid w:val="00D9020C"/>
    <w:rsid w:val="00D902F2"/>
    <w:rsid w:val="00D903BA"/>
    <w:rsid w:val="00D9099D"/>
    <w:rsid w:val="00D91129"/>
    <w:rsid w:val="00D912A5"/>
    <w:rsid w:val="00D916F8"/>
    <w:rsid w:val="00D9180F"/>
    <w:rsid w:val="00D91AC9"/>
    <w:rsid w:val="00D91FDC"/>
    <w:rsid w:val="00D923BF"/>
    <w:rsid w:val="00D924DB"/>
    <w:rsid w:val="00D9275F"/>
    <w:rsid w:val="00D92881"/>
    <w:rsid w:val="00D92D09"/>
    <w:rsid w:val="00D92DCD"/>
    <w:rsid w:val="00D9308E"/>
    <w:rsid w:val="00D93127"/>
    <w:rsid w:val="00D9337F"/>
    <w:rsid w:val="00D93479"/>
    <w:rsid w:val="00D93573"/>
    <w:rsid w:val="00D935FA"/>
    <w:rsid w:val="00D9373D"/>
    <w:rsid w:val="00D93902"/>
    <w:rsid w:val="00D93B69"/>
    <w:rsid w:val="00D93BA4"/>
    <w:rsid w:val="00D93DF3"/>
    <w:rsid w:val="00D93E31"/>
    <w:rsid w:val="00D9432B"/>
    <w:rsid w:val="00D94436"/>
    <w:rsid w:val="00D9474A"/>
    <w:rsid w:val="00D94B24"/>
    <w:rsid w:val="00D94EF5"/>
    <w:rsid w:val="00D94F09"/>
    <w:rsid w:val="00D94F6E"/>
    <w:rsid w:val="00D9531A"/>
    <w:rsid w:val="00D9556E"/>
    <w:rsid w:val="00D95599"/>
    <w:rsid w:val="00D9566D"/>
    <w:rsid w:val="00D95807"/>
    <w:rsid w:val="00D959DE"/>
    <w:rsid w:val="00D95A9A"/>
    <w:rsid w:val="00D95B86"/>
    <w:rsid w:val="00D9621C"/>
    <w:rsid w:val="00D96A4B"/>
    <w:rsid w:val="00D96AE7"/>
    <w:rsid w:val="00D96C19"/>
    <w:rsid w:val="00D96DFF"/>
    <w:rsid w:val="00D97008"/>
    <w:rsid w:val="00D970E7"/>
    <w:rsid w:val="00D97429"/>
    <w:rsid w:val="00D97438"/>
    <w:rsid w:val="00D977EA"/>
    <w:rsid w:val="00D9786A"/>
    <w:rsid w:val="00D97F0A"/>
    <w:rsid w:val="00DA0174"/>
    <w:rsid w:val="00DA0603"/>
    <w:rsid w:val="00DA0B23"/>
    <w:rsid w:val="00DA0C05"/>
    <w:rsid w:val="00DA10BB"/>
    <w:rsid w:val="00DA1177"/>
    <w:rsid w:val="00DA13DB"/>
    <w:rsid w:val="00DA18AD"/>
    <w:rsid w:val="00DA18C7"/>
    <w:rsid w:val="00DA197A"/>
    <w:rsid w:val="00DA1CC2"/>
    <w:rsid w:val="00DA215A"/>
    <w:rsid w:val="00DA21B5"/>
    <w:rsid w:val="00DA24C6"/>
    <w:rsid w:val="00DA2639"/>
    <w:rsid w:val="00DA2A04"/>
    <w:rsid w:val="00DA2A7C"/>
    <w:rsid w:val="00DA2DA6"/>
    <w:rsid w:val="00DA305C"/>
    <w:rsid w:val="00DA3C5D"/>
    <w:rsid w:val="00DA3E12"/>
    <w:rsid w:val="00DA4448"/>
    <w:rsid w:val="00DA4538"/>
    <w:rsid w:val="00DA4885"/>
    <w:rsid w:val="00DA4BD2"/>
    <w:rsid w:val="00DA4E1D"/>
    <w:rsid w:val="00DA4FCF"/>
    <w:rsid w:val="00DA53E2"/>
    <w:rsid w:val="00DA5449"/>
    <w:rsid w:val="00DA5746"/>
    <w:rsid w:val="00DA5853"/>
    <w:rsid w:val="00DA5CB3"/>
    <w:rsid w:val="00DA5EE5"/>
    <w:rsid w:val="00DA6320"/>
    <w:rsid w:val="00DA6495"/>
    <w:rsid w:val="00DA695B"/>
    <w:rsid w:val="00DA6B4E"/>
    <w:rsid w:val="00DA6CA3"/>
    <w:rsid w:val="00DA6D8F"/>
    <w:rsid w:val="00DA71E6"/>
    <w:rsid w:val="00DA76BA"/>
    <w:rsid w:val="00DA7A6C"/>
    <w:rsid w:val="00DA7DAA"/>
    <w:rsid w:val="00DB023D"/>
    <w:rsid w:val="00DB0727"/>
    <w:rsid w:val="00DB0A30"/>
    <w:rsid w:val="00DB12A1"/>
    <w:rsid w:val="00DB1CB6"/>
    <w:rsid w:val="00DB1D0A"/>
    <w:rsid w:val="00DB1EBA"/>
    <w:rsid w:val="00DB1ED1"/>
    <w:rsid w:val="00DB1F06"/>
    <w:rsid w:val="00DB20F4"/>
    <w:rsid w:val="00DB2460"/>
    <w:rsid w:val="00DB26CB"/>
    <w:rsid w:val="00DB26FC"/>
    <w:rsid w:val="00DB28C7"/>
    <w:rsid w:val="00DB2D57"/>
    <w:rsid w:val="00DB31B6"/>
    <w:rsid w:val="00DB331C"/>
    <w:rsid w:val="00DB33A5"/>
    <w:rsid w:val="00DB35BD"/>
    <w:rsid w:val="00DB36CC"/>
    <w:rsid w:val="00DB3840"/>
    <w:rsid w:val="00DB3945"/>
    <w:rsid w:val="00DB3D9D"/>
    <w:rsid w:val="00DB4028"/>
    <w:rsid w:val="00DB426B"/>
    <w:rsid w:val="00DB4A30"/>
    <w:rsid w:val="00DB4AB0"/>
    <w:rsid w:val="00DB4B48"/>
    <w:rsid w:val="00DB4C10"/>
    <w:rsid w:val="00DB4CA9"/>
    <w:rsid w:val="00DB4E76"/>
    <w:rsid w:val="00DB501C"/>
    <w:rsid w:val="00DB507C"/>
    <w:rsid w:val="00DB51A0"/>
    <w:rsid w:val="00DB5330"/>
    <w:rsid w:val="00DB57D1"/>
    <w:rsid w:val="00DB5896"/>
    <w:rsid w:val="00DB5C01"/>
    <w:rsid w:val="00DB5DCE"/>
    <w:rsid w:val="00DB5E41"/>
    <w:rsid w:val="00DB5E45"/>
    <w:rsid w:val="00DB5EC7"/>
    <w:rsid w:val="00DB62D4"/>
    <w:rsid w:val="00DB65C0"/>
    <w:rsid w:val="00DB65C7"/>
    <w:rsid w:val="00DB67EC"/>
    <w:rsid w:val="00DB6C6C"/>
    <w:rsid w:val="00DB6FAD"/>
    <w:rsid w:val="00DB7187"/>
    <w:rsid w:val="00DB742E"/>
    <w:rsid w:val="00DB753E"/>
    <w:rsid w:val="00DB7558"/>
    <w:rsid w:val="00DB789A"/>
    <w:rsid w:val="00DB7C70"/>
    <w:rsid w:val="00DB7DBC"/>
    <w:rsid w:val="00DC010F"/>
    <w:rsid w:val="00DC0951"/>
    <w:rsid w:val="00DC0D12"/>
    <w:rsid w:val="00DC152D"/>
    <w:rsid w:val="00DC155A"/>
    <w:rsid w:val="00DC1889"/>
    <w:rsid w:val="00DC1A0C"/>
    <w:rsid w:val="00DC1BEC"/>
    <w:rsid w:val="00DC1D15"/>
    <w:rsid w:val="00DC1E61"/>
    <w:rsid w:val="00DC200D"/>
    <w:rsid w:val="00DC2080"/>
    <w:rsid w:val="00DC2260"/>
    <w:rsid w:val="00DC234C"/>
    <w:rsid w:val="00DC27C3"/>
    <w:rsid w:val="00DC2FE1"/>
    <w:rsid w:val="00DC3562"/>
    <w:rsid w:val="00DC3582"/>
    <w:rsid w:val="00DC3670"/>
    <w:rsid w:val="00DC3888"/>
    <w:rsid w:val="00DC38E7"/>
    <w:rsid w:val="00DC3C76"/>
    <w:rsid w:val="00DC4031"/>
    <w:rsid w:val="00DC4260"/>
    <w:rsid w:val="00DC4524"/>
    <w:rsid w:val="00DC460A"/>
    <w:rsid w:val="00DC48A4"/>
    <w:rsid w:val="00DC4A8C"/>
    <w:rsid w:val="00DC4B9D"/>
    <w:rsid w:val="00DC4E6C"/>
    <w:rsid w:val="00DC545C"/>
    <w:rsid w:val="00DC561E"/>
    <w:rsid w:val="00DC565D"/>
    <w:rsid w:val="00DC5B3F"/>
    <w:rsid w:val="00DC6081"/>
    <w:rsid w:val="00DC614D"/>
    <w:rsid w:val="00DC616A"/>
    <w:rsid w:val="00DC638B"/>
    <w:rsid w:val="00DC642E"/>
    <w:rsid w:val="00DC6EBD"/>
    <w:rsid w:val="00DC6F2C"/>
    <w:rsid w:val="00DC70A1"/>
    <w:rsid w:val="00DC71DA"/>
    <w:rsid w:val="00DC726B"/>
    <w:rsid w:val="00DC73EA"/>
    <w:rsid w:val="00DC742A"/>
    <w:rsid w:val="00DC75CB"/>
    <w:rsid w:val="00DC78B0"/>
    <w:rsid w:val="00DC793E"/>
    <w:rsid w:val="00DC7E27"/>
    <w:rsid w:val="00DC7F2E"/>
    <w:rsid w:val="00DD01B4"/>
    <w:rsid w:val="00DD03A2"/>
    <w:rsid w:val="00DD050D"/>
    <w:rsid w:val="00DD0576"/>
    <w:rsid w:val="00DD0AEF"/>
    <w:rsid w:val="00DD0B14"/>
    <w:rsid w:val="00DD10F3"/>
    <w:rsid w:val="00DD1261"/>
    <w:rsid w:val="00DD142C"/>
    <w:rsid w:val="00DD17EF"/>
    <w:rsid w:val="00DD18FA"/>
    <w:rsid w:val="00DD1AC9"/>
    <w:rsid w:val="00DD1CCD"/>
    <w:rsid w:val="00DD2380"/>
    <w:rsid w:val="00DD24A8"/>
    <w:rsid w:val="00DD28A4"/>
    <w:rsid w:val="00DD28EC"/>
    <w:rsid w:val="00DD2918"/>
    <w:rsid w:val="00DD2A46"/>
    <w:rsid w:val="00DD2B27"/>
    <w:rsid w:val="00DD2E8A"/>
    <w:rsid w:val="00DD2F2E"/>
    <w:rsid w:val="00DD37E4"/>
    <w:rsid w:val="00DD39ED"/>
    <w:rsid w:val="00DD3B06"/>
    <w:rsid w:val="00DD3BC6"/>
    <w:rsid w:val="00DD3D9F"/>
    <w:rsid w:val="00DD40BB"/>
    <w:rsid w:val="00DD42B4"/>
    <w:rsid w:val="00DD453B"/>
    <w:rsid w:val="00DD4619"/>
    <w:rsid w:val="00DD474B"/>
    <w:rsid w:val="00DD484E"/>
    <w:rsid w:val="00DD4AB5"/>
    <w:rsid w:val="00DD4B61"/>
    <w:rsid w:val="00DD4C19"/>
    <w:rsid w:val="00DD52A3"/>
    <w:rsid w:val="00DD543F"/>
    <w:rsid w:val="00DD57CA"/>
    <w:rsid w:val="00DD57EC"/>
    <w:rsid w:val="00DD58DB"/>
    <w:rsid w:val="00DD5939"/>
    <w:rsid w:val="00DD5E2B"/>
    <w:rsid w:val="00DD62D3"/>
    <w:rsid w:val="00DD63F6"/>
    <w:rsid w:val="00DD6420"/>
    <w:rsid w:val="00DD6B54"/>
    <w:rsid w:val="00DD7671"/>
    <w:rsid w:val="00DD7822"/>
    <w:rsid w:val="00DD7BB5"/>
    <w:rsid w:val="00DD7D0D"/>
    <w:rsid w:val="00DE02C6"/>
    <w:rsid w:val="00DE0665"/>
    <w:rsid w:val="00DE06DC"/>
    <w:rsid w:val="00DE0983"/>
    <w:rsid w:val="00DE1085"/>
    <w:rsid w:val="00DE163C"/>
    <w:rsid w:val="00DE17F5"/>
    <w:rsid w:val="00DE1A96"/>
    <w:rsid w:val="00DE2074"/>
    <w:rsid w:val="00DE212C"/>
    <w:rsid w:val="00DE21D1"/>
    <w:rsid w:val="00DE2248"/>
    <w:rsid w:val="00DE2497"/>
    <w:rsid w:val="00DE28B8"/>
    <w:rsid w:val="00DE2D49"/>
    <w:rsid w:val="00DE304C"/>
    <w:rsid w:val="00DE3232"/>
    <w:rsid w:val="00DE33DC"/>
    <w:rsid w:val="00DE36BA"/>
    <w:rsid w:val="00DE38B1"/>
    <w:rsid w:val="00DE406B"/>
    <w:rsid w:val="00DE40BC"/>
    <w:rsid w:val="00DE415E"/>
    <w:rsid w:val="00DE428A"/>
    <w:rsid w:val="00DE44C0"/>
    <w:rsid w:val="00DE48DC"/>
    <w:rsid w:val="00DE48E6"/>
    <w:rsid w:val="00DE4B0C"/>
    <w:rsid w:val="00DE4C7F"/>
    <w:rsid w:val="00DE4FBE"/>
    <w:rsid w:val="00DE5322"/>
    <w:rsid w:val="00DE5742"/>
    <w:rsid w:val="00DE5843"/>
    <w:rsid w:val="00DE5987"/>
    <w:rsid w:val="00DE5B1C"/>
    <w:rsid w:val="00DE5EC7"/>
    <w:rsid w:val="00DE5F4F"/>
    <w:rsid w:val="00DE61EA"/>
    <w:rsid w:val="00DE6288"/>
    <w:rsid w:val="00DE6B98"/>
    <w:rsid w:val="00DE72B5"/>
    <w:rsid w:val="00DE747C"/>
    <w:rsid w:val="00DE74E8"/>
    <w:rsid w:val="00DE7579"/>
    <w:rsid w:val="00DE762F"/>
    <w:rsid w:val="00DE7769"/>
    <w:rsid w:val="00DE777B"/>
    <w:rsid w:val="00DE7D23"/>
    <w:rsid w:val="00DE7D41"/>
    <w:rsid w:val="00DE7D6C"/>
    <w:rsid w:val="00DE7DAB"/>
    <w:rsid w:val="00DF01C8"/>
    <w:rsid w:val="00DF0269"/>
    <w:rsid w:val="00DF030D"/>
    <w:rsid w:val="00DF06EB"/>
    <w:rsid w:val="00DF0778"/>
    <w:rsid w:val="00DF0F6A"/>
    <w:rsid w:val="00DF1101"/>
    <w:rsid w:val="00DF12DA"/>
    <w:rsid w:val="00DF14EE"/>
    <w:rsid w:val="00DF17FA"/>
    <w:rsid w:val="00DF1824"/>
    <w:rsid w:val="00DF18AE"/>
    <w:rsid w:val="00DF1DB3"/>
    <w:rsid w:val="00DF22DE"/>
    <w:rsid w:val="00DF2C5E"/>
    <w:rsid w:val="00DF2DA7"/>
    <w:rsid w:val="00DF2EAC"/>
    <w:rsid w:val="00DF30CC"/>
    <w:rsid w:val="00DF3ADA"/>
    <w:rsid w:val="00DF4016"/>
    <w:rsid w:val="00DF4040"/>
    <w:rsid w:val="00DF4672"/>
    <w:rsid w:val="00DF495A"/>
    <w:rsid w:val="00DF4BB0"/>
    <w:rsid w:val="00DF4E0F"/>
    <w:rsid w:val="00DF4FC5"/>
    <w:rsid w:val="00DF52E8"/>
    <w:rsid w:val="00DF5551"/>
    <w:rsid w:val="00DF5EC7"/>
    <w:rsid w:val="00DF5ED1"/>
    <w:rsid w:val="00DF5FCC"/>
    <w:rsid w:val="00DF621A"/>
    <w:rsid w:val="00DF6248"/>
    <w:rsid w:val="00DF6571"/>
    <w:rsid w:val="00DF6AB7"/>
    <w:rsid w:val="00DF6DE4"/>
    <w:rsid w:val="00DF6EC3"/>
    <w:rsid w:val="00DF7664"/>
    <w:rsid w:val="00E001AD"/>
    <w:rsid w:val="00E0021F"/>
    <w:rsid w:val="00E00282"/>
    <w:rsid w:val="00E006C1"/>
    <w:rsid w:val="00E00925"/>
    <w:rsid w:val="00E00D1F"/>
    <w:rsid w:val="00E00F90"/>
    <w:rsid w:val="00E01005"/>
    <w:rsid w:val="00E01349"/>
    <w:rsid w:val="00E016B2"/>
    <w:rsid w:val="00E0170C"/>
    <w:rsid w:val="00E01994"/>
    <w:rsid w:val="00E019D7"/>
    <w:rsid w:val="00E01A4C"/>
    <w:rsid w:val="00E01C02"/>
    <w:rsid w:val="00E02144"/>
    <w:rsid w:val="00E02322"/>
    <w:rsid w:val="00E02660"/>
    <w:rsid w:val="00E02930"/>
    <w:rsid w:val="00E02C4F"/>
    <w:rsid w:val="00E03083"/>
    <w:rsid w:val="00E03875"/>
    <w:rsid w:val="00E03878"/>
    <w:rsid w:val="00E03982"/>
    <w:rsid w:val="00E039A3"/>
    <w:rsid w:val="00E03AA1"/>
    <w:rsid w:val="00E04385"/>
    <w:rsid w:val="00E04569"/>
    <w:rsid w:val="00E0462C"/>
    <w:rsid w:val="00E04661"/>
    <w:rsid w:val="00E04A1A"/>
    <w:rsid w:val="00E04B1E"/>
    <w:rsid w:val="00E04F23"/>
    <w:rsid w:val="00E04FE3"/>
    <w:rsid w:val="00E05128"/>
    <w:rsid w:val="00E0525C"/>
    <w:rsid w:val="00E05369"/>
    <w:rsid w:val="00E0536C"/>
    <w:rsid w:val="00E054B4"/>
    <w:rsid w:val="00E056E0"/>
    <w:rsid w:val="00E05857"/>
    <w:rsid w:val="00E05F1C"/>
    <w:rsid w:val="00E0600B"/>
    <w:rsid w:val="00E06076"/>
    <w:rsid w:val="00E061DC"/>
    <w:rsid w:val="00E0625F"/>
    <w:rsid w:val="00E06361"/>
    <w:rsid w:val="00E063BE"/>
    <w:rsid w:val="00E065D1"/>
    <w:rsid w:val="00E06862"/>
    <w:rsid w:val="00E06D08"/>
    <w:rsid w:val="00E06E0B"/>
    <w:rsid w:val="00E074D2"/>
    <w:rsid w:val="00E0762E"/>
    <w:rsid w:val="00E07794"/>
    <w:rsid w:val="00E078EE"/>
    <w:rsid w:val="00E07B9E"/>
    <w:rsid w:val="00E10427"/>
    <w:rsid w:val="00E1045D"/>
    <w:rsid w:val="00E107A4"/>
    <w:rsid w:val="00E109D6"/>
    <w:rsid w:val="00E10EE0"/>
    <w:rsid w:val="00E1142D"/>
    <w:rsid w:val="00E114D6"/>
    <w:rsid w:val="00E114E6"/>
    <w:rsid w:val="00E116F3"/>
    <w:rsid w:val="00E1196B"/>
    <w:rsid w:val="00E11B66"/>
    <w:rsid w:val="00E11C7F"/>
    <w:rsid w:val="00E11D37"/>
    <w:rsid w:val="00E11F93"/>
    <w:rsid w:val="00E12498"/>
    <w:rsid w:val="00E1291B"/>
    <w:rsid w:val="00E130DE"/>
    <w:rsid w:val="00E1364B"/>
    <w:rsid w:val="00E136C3"/>
    <w:rsid w:val="00E13A35"/>
    <w:rsid w:val="00E13B43"/>
    <w:rsid w:val="00E13D2B"/>
    <w:rsid w:val="00E13D36"/>
    <w:rsid w:val="00E14348"/>
    <w:rsid w:val="00E145C3"/>
    <w:rsid w:val="00E1470D"/>
    <w:rsid w:val="00E14966"/>
    <w:rsid w:val="00E14A63"/>
    <w:rsid w:val="00E14D51"/>
    <w:rsid w:val="00E14E31"/>
    <w:rsid w:val="00E15239"/>
    <w:rsid w:val="00E152C4"/>
    <w:rsid w:val="00E15410"/>
    <w:rsid w:val="00E1546E"/>
    <w:rsid w:val="00E154B8"/>
    <w:rsid w:val="00E15ED7"/>
    <w:rsid w:val="00E15F09"/>
    <w:rsid w:val="00E15FBD"/>
    <w:rsid w:val="00E16358"/>
    <w:rsid w:val="00E163FB"/>
    <w:rsid w:val="00E1640D"/>
    <w:rsid w:val="00E16483"/>
    <w:rsid w:val="00E1685D"/>
    <w:rsid w:val="00E16A4F"/>
    <w:rsid w:val="00E16BFC"/>
    <w:rsid w:val="00E16E36"/>
    <w:rsid w:val="00E1726A"/>
    <w:rsid w:val="00E175B4"/>
    <w:rsid w:val="00E175D8"/>
    <w:rsid w:val="00E17E18"/>
    <w:rsid w:val="00E200C1"/>
    <w:rsid w:val="00E20127"/>
    <w:rsid w:val="00E207CF"/>
    <w:rsid w:val="00E207E6"/>
    <w:rsid w:val="00E208B9"/>
    <w:rsid w:val="00E2125B"/>
    <w:rsid w:val="00E21311"/>
    <w:rsid w:val="00E21358"/>
    <w:rsid w:val="00E21363"/>
    <w:rsid w:val="00E2172B"/>
    <w:rsid w:val="00E21EE9"/>
    <w:rsid w:val="00E21F44"/>
    <w:rsid w:val="00E22221"/>
    <w:rsid w:val="00E2227F"/>
    <w:rsid w:val="00E2275E"/>
    <w:rsid w:val="00E2296E"/>
    <w:rsid w:val="00E22BDA"/>
    <w:rsid w:val="00E22F24"/>
    <w:rsid w:val="00E22F3C"/>
    <w:rsid w:val="00E236B1"/>
    <w:rsid w:val="00E23A91"/>
    <w:rsid w:val="00E23BA9"/>
    <w:rsid w:val="00E23C2C"/>
    <w:rsid w:val="00E23E67"/>
    <w:rsid w:val="00E23FCF"/>
    <w:rsid w:val="00E24141"/>
    <w:rsid w:val="00E241D7"/>
    <w:rsid w:val="00E24248"/>
    <w:rsid w:val="00E24411"/>
    <w:rsid w:val="00E2458F"/>
    <w:rsid w:val="00E24F2D"/>
    <w:rsid w:val="00E2520F"/>
    <w:rsid w:val="00E25693"/>
    <w:rsid w:val="00E25695"/>
    <w:rsid w:val="00E256BC"/>
    <w:rsid w:val="00E25E41"/>
    <w:rsid w:val="00E25F8E"/>
    <w:rsid w:val="00E25FF4"/>
    <w:rsid w:val="00E26034"/>
    <w:rsid w:val="00E2621E"/>
    <w:rsid w:val="00E2634E"/>
    <w:rsid w:val="00E264C0"/>
    <w:rsid w:val="00E265E0"/>
    <w:rsid w:val="00E265FC"/>
    <w:rsid w:val="00E2670E"/>
    <w:rsid w:val="00E269C6"/>
    <w:rsid w:val="00E26AFD"/>
    <w:rsid w:val="00E26B15"/>
    <w:rsid w:val="00E26DBC"/>
    <w:rsid w:val="00E2754F"/>
    <w:rsid w:val="00E27788"/>
    <w:rsid w:val="00E2793A"/>
    <w:rsid w:val="00E27A43"/>
    <w:rsid w:val="00E27C10"/>
    <w:rsid w:val="00E27E36"/>
    <w:rsid w:val="00E30210"/>
    <w:rsid w:val="00E302EA"/>
    <w:rsid w:val="00E30490"/>
    <w:rsid w:val="00E305D1"/>
    <w:rsid w:val="00E30707"/>
    <w:rsid w:val="00E308A4"/>
    <w:rsid w:val="00E308C4"/>
    <w:rsid w:val="00E30A7A"/>
    <w:rsid w:val="00E30C42"/>
    <w:rsid w:val="00E310D9"/>
    <w:rsid w:val="00E3152C"/>
    <w:rsid w:val="00E3179B"/>
    <w:rsid w:val="00E31F46"/>
    <w:rsid w:val="00E32364"/>
    <w:rsid w:val="00E32465"/>
    <w:rsid w:val="00E3252B"/>
    <w:rsid w:val="00E327B5"/>
    <w:rsid w:val="00E330EA"/>
    <w:rsid w:val="00E33946"/>
    <w:rsid w:val="00E33970"/>
    <w:rsid w:val="00E33C74"/>
    <w:rsid w:val="00E33EEB"/>
    <w:rsid w:val="00E3457F"/>
    <w:rsid w:val="00E3471C"/>
    <w:rsid w:val="00E3483B"/>
    <w:rsid w:val="00E34C40"/>
    <w:rsid w:val="00E351D3"/>
    <w:rsid w:val="00E35354"/>
    <w:rsid w:val="00E35710"/>
    <w:rsid w:val="00E35934"/>
    <w:rsid w:val="00E359F1"/>
    <w:rsid w:val="00E35BFD"/>
    <w:rsid w:val="00E35CC8"/>
    <w:rsid w:val="00E35D65"/>
    <w:rsid w:val="00E35E52"/>
    <w:rsid w:val="00E35F97"/>
    <w:rsid w:val="00E360C6"/>
    <w:rsid w:val="00E3647B"/>
    <w:rsid w:val="00E366F1"/>
    <w:rsid w:val="00E368A8"/>
    <w:rsid w:val="00E36943"/>
    <w:rsid w:val="00E369F6"/>
    <w:rsid w:val="00E36A10"/>
    <w:rsid w:val="00E36E4D"/>
    <w:rsid w:val="00E36EB5"/>
    <w:rsid w:val="00E3726B"/>
    <w:rsid w:val="00E374E8"/>
    <w:rsid w:val="00E37655"/>
    <w:rsid w:val="00E37C34"/>
    <w:rsid w:val="00E40096"/>
    <w:rsid w:val="00E40099"/>
    <w:rsid w:val="00E401D6"/>
    <w:rsid w:val="00E4034E"/>
    <w:rsid w:val="00E40919"/>
    <w:rsid w:val="00E40A90"/>
    <w:rsid w:val="00E414E3"/>
    <w:rsid w:val="00E41676"/>
    <w:rsid w:val="00E4179E"/>
    <w:rsid w:val="00E419A0"/>
    <w:rsid w:val="00E41D44"/>
    <w:rsid w:val="00E41DCD"/>
    <w:rsid w:val="00E41EC9"/>
    <w:rsid w:val="00E41F79"/>
    <w:rsid w:val="00E420C9"/>
    <w:rsid w:val="00E42385"/>
    <w:rsid w:val="00E42942"/>
    <w:rsid w:val="00E42C9F"/>
    <w:rsid w:val="00E42DC1"/>
    <w:rsid w:val="00E43166"/>
    <w:rsid w:val="00E4368F"/>
    <w:rsid w:val="00E43AB6"/>
    <w:rsid w:val="00E43BB2"/>
    <w:rsid w:val="00E44206"/>
    <w:rsid w:val="00E443D0"/>
    <w:rsid w:val="00E44480"/>
    <w:rsid w:val="00E44AD9"/>
    <w:rsid w:val="00E44C7E"/>
    <w:rsid w:val="00E44DE8"/>
    <w:rsid w:val="00E44E4B"/>
    <w:rsid w:val="00E451AD"/>
    <w:rsid w:val="00E45251"/>
    <w:rsid w:val="00E4544E"/>
    <w:rsid w:val="00E454A2"/>
    <w:rsid w:val="00E454D6"/>
    <w:rsid w:val="00E45514"/>
    <w:rsid w:val="00E45655"/>
    <w:rsid w:val="00E45785"/>
    <w:rsid w:val="00E4595C"/>
    <w:rsid w:val="00E45B0A"/>
    <w:rsid w:val="00E45B7F"/>
    <w:rsid w:val="00E45C83"/>
    <w:rsid w:val="00E45E3C"/>
    <w:rsid w:val="00E45EB7"/>
    <w:rsid w:val="00E45F6C"/>
    <w:rsid w:val="00E46214"/>
    <w:rsid w:val="00E46CD5"/>
    <w:rsid w:val="00E46CDA"/>
    <w:rsid w:val="00E46DDA"/>
    <w:rsid w:val="00E470B0"/>
    <w:rsid w:val="00E470D5"/>
    <w:rsid w:val="00E47100"/>
    <w:rsid w:val="00E47249"/>
    <w:rsid w:val="00E473A1"/>
    <w:rsid w:val="00E4741D"/>
    <w:rsid w:val="00E47434"/>
    <w:rsid w:val="00E47B75"/>
    <w:rsid w:val="00E47E3D"/>
    <w:rsid w:val="00E47EFE"/>
    <w:rsid w:val="00E502CE"/>
    <w:rsid w:val="00E50368"/>
    <w:rsid w:val="00E50391"/>
    <w:rsid w:val="00E503BA"/>
    <w:rsid w:val="00E507B7"/>
    <w:rsid w:val="00E507EC"/>
    <w:rsid w:val="00E507F1"/>
    <w:rsid w:val="00E50A33"/>
    <w:rsid w:val="00E50AE0"/>
    <w:rsid w:val="00E50E33"/>
    <w:rsid w:val="00E510A0"/>
    <w:rsid w:val="00E51301"/>
    <w:rsid w:val="00E514A3"/>
    <w:rsid w:val="00E515A2"/>
    <w:rsid w:val="00E51C11"/>
    <w:rsid w:val="00E51CBE"/>
    <w:rsid w:val="00E51D4F"/>
    <w:rsid w:val="00E51DAE"/>
    <w:rsid w:val="00E51FF9"/>
    <w:rsid w:val="00E5216D"/>
    <w:rsid w:val="00E52522"/>
    <w:rsid w:val="00E52730"/>
    <w:rsid w:val="00E527C9"/>
    <w:rsid w:val="00E528A1"/>
    <w:rsid w:val="00E52ACB"/>
    <w:rsid w:val="00E52AF3"/>
    <w:rsid w:val="00E52DD0"/>
    <w:rsid w:val="00E52FFC"/>
    <w:rsid w:val="00E53292"/>
    <w:rsid w:val="00E53629"/>
    <w:rsid w:val="00E53682"/>
    <w:rsid w:val="00E538C4"/>
    <w:rsid w:val="00E53C0D"/>
    <w:rsid w:val="00E53CA9"/>
    <w:rsid w:val="00E53DB1"/>
    <w:rsid w:val="00E53EBB"/>
    <w:rsid w:val="00E53F91"/>
    <w:rsid w:val="00E541CD"/>
    <w:rsid w:val="00E54218"/>
    <w:rsid w:val="00E54468"/>
    <w:rsid w:val="00E54BFE"/>
    <w:rsid w:val="00E54C62"/>
    <w:rsid w:val="00E5518B"/>
    <w:rsid w:val="00E55414"/>
    <w:rsid w:val="00E55848"/>
    <w:rsid w:val="00E55A65"/>
    <w:rsid w:val="00E56514"/>
    <w:rsid w:val="00E56584"/>
    <w:rsid w:val="00E56735"/>
    <w:rsid w:val="00E567C2"/>
    <w:rsid w:val="00E5688B"/>
    <w:rsid w:val="00E56A51"/>
    <w:rsid w:val="00E56CAB"/>
    <w:rsid w:val="00E570E2"/>
    <w:rsid w:val="00E5715D"/>
    <w:rsid w:val="00E57182"/>
    <w:rsid w:val="00E5783A"/>
    <w:rsid w:val="00E57C81"/>
    <w:rsid w:val="00E57CF2"/>
    <w:rsid w:val="00E57E77"/>
    <w:rsid w:val="00E57FA0"/>
    <w:rsid w:val="00E60093"/>
    <w:rsid w:val="00E6015B"/>
    <w:rsid w:val="00E607F3"/>
    <w:rsid w:val="00E60A08"/>
    <w:rsid w:val="00E60AEB"/>
    <w:rsid w:val="00E60D25"/>
    <w:rsid w:val="00E61329"/>
    <w:rsid w:val="00E613B0"/>
    <w:rsid w:val="00E6160B"/>
    <w:rsid w:val="00E6163E"/>
    <w:rsid w:val="00E61D70"/>
    <w:rsid w:val="00E621BB"/>
    <w:rsid w:val="00E6230D"/>
    <w:rsid w:val="00E62467"/>
    <w:rsid w:val="00E628B5"/>
    <w:rsid w:val="00E629AA"/>
    <w:rsid w:val="00E62ACC"/>
    <w:rsid w:val="00E62B3D"/>
    <w:rsid w:val="00E62CE2"/>
    <w:rsid w:val="00E62F95"/>
    <w:rsid w:val="00E62FA4"/>
    <w:rsid w:val="00E63085"/>
    <w:rsid w:val="00E630C7"/>
    <w:rsid w:val="00E6323B"/>
    <w:rsid w:val="00E63491"/>
    <w:rsid w:val="00E63A69"/>
    <w:rsid w:val="00E64684"/>
    <w:rsid w:val="00E64AFD"/>
    <w:rsid w:val="00E64B60"/>
    <w:rsid w:val="00E64B82"/>
    <w:rsid w:val="00E6501B"/>
    <w:rsid w:val="00E65236"/>
    <w:rsid w:val="00E6526D"/>
    <w:rsid w:val="00E654FD"/>
    <w:rsid w:val="00E6561C"/>
    <w:rsid w:val="00E659A6"/>
    <w:rsid w:val="00E65A99"/>
    <w:rsid w:val="00E663ED"/>
    <w:rsid w:val="00E66651"/>
    <w:rsid w:val="00E667D2"/>
    <w:rsid w:val="00E66967"/>
    <w:rsid w:val="00E66CAC"/>
    <w:rsid w:val="00E66D6E"/>
    <w:rsid w:val="00E66F16"/>
    <w:rsid w:val="00E67086"/>
    <w:rsid w:val="00E672DC"/>
    <w:rsid w:val="00E6734D"/>
    <w:rsid w:val="00E67566"/>
    <w:rsid w:val="00E704C4"/>
    <w:rsid w:val="00E70553"/>
    <w:rsid w:val="00E705AC"/>
    <w:rsid w:val="00E70619"/>
    <w:rsid w:val="00E70656"/>
    <w:rsid w:val="00E706A6"/>
    <w:rsid w:val="00E706C6"/>
    <w:rsid w:val="00E70931"/>
    <w:rsid w:val="00E70C2F"/>
    <w:rsid w:val="00E70C5D"/>
    <w:rsid w:val="00E70FC3"/>
    <w:rsid w:val="00E7106B"/>
    <w:rsid w:val="00E71166"/>
    <w:rsid w:val="00E7122C"/>
    <w:rsid w:val="00E71275"/>
    <w:rsid w:val="00E7146F"/>
    <w:rsid w:val="00E715F7"/>
    <w:rsid w:val="00E71689"/>
    <w:rsid w:val="00E717FC"/>
    <w:rsid w:val="00E71A91"/>
    <w:rsid w:val="00E71BF0"/>
    <w:rsid w:val="00E71EC8"/>
    <w:rsid w:val="00E7236F"/>
    <w:rsid w:val="00E72F87"/>
    <w:rsid w:val="00E733BD"/>
    <w:rsid w:val="00E73610"/>
    <w:rsid w:val="00E73753"/>
    <w:rsid w:val="00E73B3E"/>
    <w:rsid w:val="00E73BB5"/>
    <w:rsid w:val="00E73D2D"/>
    <w:rsid w:val="00E73E11"/>
    <w:rsid w:val="00E73E75"/>
    <w:rsid w:val="00E74064"/>
    <w:rsid w:val="00E7473E"/>
    <w:rsid w:val="00E74E69"/>
    <w:rsid w:val="00E75209"/>
    <w:rsid w:val="00E7525A"/>
    <w:rsid w:val="00E75263"/>
    <w:rsid w:val="00E75305"/>
    <w:rsid w:val="00E755A9"/>
    <w:rsid w:val="00E7586E"/>
    <w:rsid w:val="00E75CD4"/>
    <w:rsid w:val="00E760C2"/>
    <w:rsid w:val="00E761B2"/>
    <w:rsid w:val="00E76278"/>
    <w:rsid w:val="00E762C7"/>
    <w:rsid w:val="00E7634D"/>
    <w:rsid w:val="00E769F5"/>
    <w:rsid w:val="00E76BBB"/>
    <w:rsid w:val="00E76C21"/>
    <w:rsid w:val="00E76E83"/>
    <w:rsid w:val="00E76EF4"/>
    <w:rsid w:val="00E773CB"/>
    <w:rsid w:val="00E7749C"/>
    <w:rsid w:val="00E774D1"/>
    <w:rsid w:val="00E776EF"/>
    <w:rsid w:val="00E77853"/>
    <w:rsid w:val="00E77886"/>
    <w:rsid w:val="00E77A05"/>
    <w:rsid w:val="00E77B57"/>
    <w:rsid w:val="00E77BA6"/>
    <w:rsid w:val="00E77F6F"/>
    <w:rsid w:val="00E8029D"/>
    <w:rsid w:val="00E80719"/>
    <w:rsid w:val="00E809F0"/>
    <w:rsid w:val="00E80A12"/>
    <w:rsid w:val="00E80C9B"/>
    <w:rsid w:val="00E80DC1"/>
    <w:rsid w:val="00E81070"/>
    <w:rsid w:val="00E81386"/>
    <w:rsid w:val="00E814EA"/>
    <w:rsid w:val="00E81B24"/>
    <w:rsid w:val="00E81B49"/>
    <w:rsid w:val="00E81C23"/>
    <w:rsid w:val="00E81CD7"/>
    <w:rsid w:val="00E81D05"/>
    <w:rsid w:val="00E820FC"/>
    <w:rsid w:val="00E82552"/>
    <w:rsid w:val="00E82755"/>
    <w:rsid w:val="00E827A5"/>
    <w:rsid w:val="00E82D47"/>
    <w:rsid w:val="00E82D54"/>
    <w:rsid w:val="00E83032"/>
    <w:rsid w:val="00E83038"/>
    <w:rsid w:val="00E831DA"/>
    <w:rsid w:val="00E8320B"/>
    <w:rsid w:val="00E83765"/>
    <w:rsid w:val="00E83B5A"/>
    <w:rsid w:val="00E83BB2"/>
    <w:rsid w:val="00E83D76"/>
    <w:rsid w:val="00E83DAA"/>
    <w:rsid w:val="00E83EEB"/>
    <w:rsid w:val="00E8425D"/>
    <w:rsid w:val="00E847EF"/>
    <w:rsid w:val="00E849C4"/>
    <w:rsid w:val="00E84AC8"/>
    <w:rsid w:val="00E84C94"/>
    <w:rsid w:val="00E84D14"/>
    <w:rsid w:val="00E8588D"/>
    <w:rsid w:val="00E8589B"/>
    <w:rsid w:val="00E8593E"/>
    <w:rsid w:val="00E85BBE"/>
    <w:rsid w:val="00E86180"/>
    <w:rsid w:val="00E861C7"/>
    <w:rsid w:val="00E86538"/>
    <w:rsid w:val="00E868DA"/>
    <w:rsid w:val="00E86D05"/>
    <w:rsid w:val="00E86EA8"/>
    <w:rsid w:val="00E871B0"/>
    <w:rsid w:val="00E872D1"/>
    <w:rsid w:val="00E87371"/>
    <w:rsid w:val="00E87D83"/>
    <w:rsid w:val="00E87EFA"/>
    <w:rsid w:val="00E9006E"/>
    <w:rsid w:val="00E90544"/>
    <w:rsid w:val="00E90F93"/>
    <w:rsid w:val="00E91177"/>
    <w:rsid w:val="00E91266"/>
    <w:rsid w:val="00E912A1"/>
    <w:rsid w:val="00E9150D"/>
    <w:rsid w:val="00E91782"/>
    <w:rsid w:val="00E9183B"/>
    <w:rsid w:val="00E9203A"/>
    <w:rsid w:val="00E92120"/>
    <w:rsid w:val="00E9215A"/>
    <w:rsid w:val="00E922AC"/>
    <w:rsid w:val="00E922AD"/>
    <w:rsid w:val="00E92405"/>
    <w:rsid w:val="00E924A7"/>
    <w:rsid w:val="00E92633"/>
    <w:rsid w:val="00E927F5"/>
    <w:rsid w:val="00E92BA0"/>
    <w:rsid w:val="00E92BBD"/>
    <w:rsid w:val="00E92D25"/>
    <w:rsid w:val="00E931CF"/>
    <w:rsid w:val="00E933B0"/>
    <w:rsid w:val="00E93749"/>
    <w:rsid w:val="00E938F4"/>
    <w:rsid w:val="00E93BF0"/>
    <w:rsid w:val="00E93C72"/>
    <w:rsid w:val="00E93F3B"/>
    <w:rsid w:val="00E940FF"/>
    <w:rsid w:val="00E94142"/>
    <w:rsid w:val="00E9496C"/>
    <w:rsid w:val="00E94A09"/>
    <w:rsid w:val="00E94AB7"/>
    <w:rsid w:val="00E94EE3"/>
    <w:rsid w:val="00E95317"/>
    <w:rsid w:val="00E953C5"/>
    <w:rsid w:val="00E95758"/>
    <w:rsid w:val="00E958AF"/>
    <w:rsid w:val="00E95B47"/>
    <w:rsid w:val="00E963DF"/>
    <w:rsid w:val="00E9646D"/>
    <w:rsid w:val="00E967DB"/>
    <w:rsid w:val="00E96B30"/>
    <w:rsid w:val="00E96CE1"/>
    <w:rsid w:val="00E96F90"/>
    <w:rsid w:val="00E9701F"/>
    <w:rsid w:val="00E97241"/>
    <w:rsid w:val="00E97D60"/>
    <w:rsid w:val="00E97D66"/>
    <w:rsid w:val="00EA001E"/>
    <w:rsid w:val="00EA03FF"/>
    <w:rsid w:val="00EA04CF"/>
    <w:rsid w:val="00EA0B87"/>
    <w:rsid w:val="00EA0BC1"/>
    <w:rsid w:val="00EA1230"/>
    <w:rsid w:val="00EA13E4"/>
    <w:rsid w:val="00EA14E8"/>
    <w:rsid w:val="00EA1850"/>
    <w:rsid w:val="00EA19F4"/>
    <w:rsid w:val="00EA1A13"/>
    <w:rsid w:val="00EA1ABC"/>
    <w:rsid w:val="00EA2098"/>
    <w:rsid w:val="00EA2104"/>
    <w:rsid w:val="00EA251B"/>
    <w:rsid w:val="00EA2568"/>
    <w:rsid w:val="00EA2D05"/>
    <w:rsid w:val="00EA2EBB"/>
    <w:rsid w:val="00EA31FB"/>
    <w:rsid w:val="00EA38B6"/>
    <w:rsid w:val="00EA3932"/>
    <w:rsid w:val="00EA399A"/>
    <w:rsid w:val="00EA39FC"/>
    <w:rsid w:val="00EA3A8B"/>
    <w:rsid w:val="00EA3BB7"/>
    <w:rsid w:val="00EA429E"/>
    <w:rsid w:val="00EA4472"/>
    <w:rsid w:val="00EA4486"/>
    <w:rsid w:val="00EA44D6"/>
    <w:rsid w:val="00EA45E7"/>
    <w:rsid w:val="00EA469C"/>
    <w:rsid w:val="00EA46DC"/>
    <w:rsid w:val="00EA4B6C"/>
    <w:rsid w:val="00EA4F48"/>
    <w:rsid w:val="00EA4FCC"/>
    <w:rsid w:val="00EA5207"/>
    <w:rsid w:val="00EA5339"/>
    <w:rsid w:val="00EA55A2"/>
    <w:rsid w:val="00EA5A49"/>
    <w:rsid w:val="00EA5B48"/>
    <w:rsid w:val="00EA5EEF"/>
    <w:rsid w:val="00EA6074"/>
    <w:rsid w:val="00EA60B3"/>
    <w:rsid w:val="00EA6176"/>
    <w:rsid w:val="00EA6710"/>
    <w:rsid w:val="00EA6ACF"/>
    <w:rsid w:val="00EA6C4C"/>
    <w:rsid w:val="00EA7147"/>
    <w:rsid w:val="00EA7322"/>
    <w:rsid w:val="00EA75BD"/>
    <w:rsid w:val="00EA7676"/>
    <w:rsid w:val="00EA76A6"/>
    <w:rsid w:val="00EA7A27"/>
    <w:rsid w:val="00EA7D23"/>
    <w:rsid w:val="00EB019E"/>
    <w:rsid w:val="00EB050E"/>
    <w:rsid w:val="00EB0614"/>
    <w:rsid w:val="00EB06B7"/>
    <w:rsid w:val="00EB0759"/>
    <w:rsid w:val="00EB08BC"/>
    <w:rsid w:val="00EB0A02"/>
    <w:rsid w:val="00EB0A85"/>
    <w:rsid w:val="00EB0B6B"/>
    <w:rsid w:val="00EB0BD3"/>
    <w:rsid w:val="00EB102E"/>
    <w:rsid w:val="00EB1220"/>
    <w:rsid w:val="00EB125F"/>
    <w:rsid w:val="00EB17A2"/>
    <w:rsid w:val="00EB18B5"/>
    <w:rsid w:val="00EB18FF"/>
    <w:rsid w:val="00EB1911"/>
    <w:rsid w:val="00EB1E15"/>
    <w:rsid w:val="00EB226B"/>
    <w:rsid w:val="00EB2384"/>
    <w:rsid w:val="00EB2473"/>
    <w:rsid w:val="00EB2594"/>
    <w:rsid w:val="00EB290E"/>
    <w:rsid w:val="00EB2A43"/>
    <w:rsid w:val="00EB2B14"/>
    <w:rsid w:val="00EB2C28"/>
    <w:rsid w:val="00EB2D76"/>
    <w:rsid w:val="00EB2E22"/>
    <w:rsid w:val="00EB323F"/>
    <w:rsid w:val="00EB3278"/>
    <w:rsid w:val="00EB38BE"/>
    <w:rsid w:val="00EB3B0E"/>
    <w:rsid w:val="00EB3D5C"/>
    <w:rsid w:val="00EB3DCB"/>
    <w:rsid w:val="00EB3F1A"/>
    <w:rsid w:val="00EB4098"/>
    <w:rsid w:val="00EB4286"/>
    <w:rsid w:val="00EB429A"/>
    <w:rsid w:val="00EB460C"/>
    <w:rsid w:val="00EB465F"/>
    <w:rsid w:val="00EB467A"/>
    <w:rsid w:val="00EB49DA"/>
    <w:rsid w:val="00EB5173"/>
    <w:rsid w:val="00EB54DE"/>
    <w:rsid w:val="00EB580B"/>
    <w:rsid w:val="00EB5AD1"/>
    <w:rsid w:val="00EB5E02"/>
    <w:rsid w:val="00EB63C7"/>
    <w:rsid w:val="00EB64CF"/>
    <w:rsid w:val="00EB68F9"/>
    <w:rsid w:val="00EB69D6"/>
    <w:rsid w:val="00EB6F87"/>
    <w:rsid w:val="00EB7103"/>
    <w:rsid w:val="00EB72A7"/>
    <w:rsid w:val="00EB72AB"/>
    <w:rsid w:val="00EB763E"/>
    <w:rsid w:val="00EB76ED"/>
    <w:rsid w:val="00EB7B3F"/>
    <w:rsid w:val="00EB7C80"/>
    <w:rsid w:val="00EB7D14"/>
    <w:rsid w:val="00EB7D4D"/>
    <w:rsid w:val="00EC001C"/>
    <w:rsid w:val="00EC033A"/>
    <w:rsid w:val="00EC03B8"/>
    <w:rsid w:val="00EC06BB"/>
    <w:rsid w:val="00EC0B8B"/>
    <w:rsid w:val="00EC0EDC"/>
    <w:rsid w:val="00EC12AB"/>
    <w:rsid w:val="00EC1998"/>
    <w:rsid w:val="00EC1AEA"/>
    <w:rsid w:val="00EC1B15"/>
    <w:rsid w:val="00EC1B26"/>
    <w:rsid w:val="00EC1DD2"/>
    <w:rsid w:val="00EC1F7F"/>
    <w:rsid w:val="00EC2639"/>
    <w:rsid w:val="00EC2773"/>
    <w:rsid w:val="00EC27F1"/>
    <w:rsid w:val="00EC2B1B"/>
    <w:rsid w:val="00EC2B85"/>
    <w:rsid w:val="00EC2DF0"/>
    <w:rsid w:val="00EC3089"/>
    <w:rsid w:val="00EC3185"/>
    <w:rsid w:val="00EC3198"/>
    <w:rsid w:val="00EC31FB"/>
    <w:rsid w:val="00EC32A6"/>
    <w:rsid w:val="00EC34C6"/>
    <w:rsid w:val="00EC3740"/>
    <w:rsid w:val="00EC3FD6"/>
    <w:rsid w:val="00EC4539"/>
    <w:rsid w:val="00EC4662"/>
    <w:rsid w:val="00EC46E8"/>
    <w:rsid w:val="00EC47DA"/>
    <w:rsid w:val="00EC4A4F"/>
    <w:rsid w:val="00EC4D62"/>
    <w:rsid w:val="00EC4F43"/>
    <w:rsid w:val="00EC523D"/>
    <w:rsid w:val="00EC5916"/>
    <w:rsid w:val="00EC5ED7"/>
    <w:rsid w:val="00EC5EF4"/>
    <w:rsid w:val="00EC600F"/>
    <w:rsid w:val="00EC605F"/>
    <w:rsid w:val="00EC6131"/>
    <w:rsid w:val="00EC64D9"/>
    <w:rsid w:val="00EC6530"/>
    <w:rsid w:val="00EC6A77"/>
    <w:rsid w:val="00EC6D36"/>
    <w:rsid w:val="00EC6E52"/>
    <w:rsid w:val="00EC6F2A"/>
    <w:rsid w:val="00EC71FB"/>
    <w:rsid w:val="00EC759D"/>
    <w:rsid w:val="00EC76FB"/>
    <w:rsid w:val="00EC7732"/>
    <w:rsid w:val="00EC7848"/>
    <w:rsid w:val="00EC79A3"/>
    <w:rsid w:val="00EC7A13"/>
    <w:rsid w:val="00EC7ACD"/>
    <w:rsid w:val="00EC7B03"/>
    <w:rsid w:val="00EC7CFF"/>
    <w:rsid w:val="00EC7DD6"/>
    <w:rsid w:val="00EC7FA3"/>
    <w:rsid w:val="00ED004A"/>
    <w:rsid w:val="00ED044B"/>
    <w:rsid w:val="00ED0709"/>
    <w:rsid w:val="00ED0751"/>
    <w:rsid w:val="00ED0A17"/>
    <w:rsid w:val="00ED0EF5"/>
    <w:rsid w:val="00ED1348"/>
    <w:rsid w:val="00ED14D1"/>
    <w:rsid w:val="00ED1691"/>
    <w:rsid w:val="00ED19AC"/>
    <w:rsid w:val="00ED215A"/>
    <w:rsid w:val="00ED21F9"/>
    <w:rsid w:val="00ED232E"/>
    <w:rsid w:val="00ED24F2"/>
    <w:rsid w:val="00ED288E"/>
    <w:rsid w:val="00ED28EB"/>
    <w:rsid w:val="00ED2A41"/>
    <w:rsid w:val="00ED2AF4"/>
    <w:rsid w:val="00ED2B85"/>
    <w:rsid w:val="00ED2BD3"/>
    <w:rsid w:val="00ED31D5"/>
    <w:rsid w:val="00ED3257"/>
    <w:rsid w:val="00ED34C5"/>
    <w:rsid w:val="00ED3E8A"/>
    <w:rsid w:val="00ED3EF8"/>
    <w:rsid w:val="00ED46A1"/>
    <w:rsid w:val="00ED4754"/>
    <w:rsid w:val="00ED5159"/>
    <w:rsid w:val="00ED518F"/>
    <w:rsid w:val="00ED53B8"/>
    <w:rsid w:val="00ED5B5C"/>
    <w:rsid w:val="00ED5C9B"/>
    <w:rsid w:val="00ED5E1F"/>
    <w:rsid w:val="00ED6897"/>
    <w:rsid w:val="00ED6ACB"/>
    <w:rsid w:val="00ED6B61"/>
    <w:rsid w:val="00ED6DB0"/>
    <w:rsid w:val="00ED6E42"/>
    <w:rsid w:val="00ED7246"/>
    <w:rsid w:val="00ED73C4"/>
    <w:rsid w:val="00ED74ED"/>
    <w:rsid w:val="00ED758D"/>
    <w:rsid w:val="00ED7695"/>
    <w:rsid w:val="00ED769E"/>
    <w:rsid w:val="00ED789B"/>
    <w:rsid w:val="00ED7969"/>
    <w:rsid w:val="00ED7D7F"/>
    <w:rsid w:val="00ED7F1C"/>
    <w:rsid w:val="00EE0238"/>
    <w:rsid w:val="00EE040C"/>
    <w:rsid w:val="00EE05C8"/>
    <w:rsid w:val="00EE0743"/>
    <w:rsid w:val="00EE0756"/>
    <w:rsid w:val="00EE08AD"/>
    <w:rsid w:val="00EE0C22"/>
    <w:rsid w:val="00EE0D7A"/>
    <w:rsid w:val="00EE1261"/>
    <w:rsid w:val="00EE12DA"/>
    <w:rsid w:val="00EE1AE1"/>
    <w:rsid w:val="00EE1D6E"/>
    <w:rsid w:val="00EE20F7"/>
    <w:rsid w:val="00EE21A9"/>
    <w:rsid w:val="00EE23C8"/>
    <w:rsid w:val="00EE2B80"/>
    <w:rsid w:val="00EE2BCE"/>
    <w:rsid w:val="00EE2BF4"/>
    <w:rsid w:val="00EE2C10"/>
    <w:rsid w:val="00EE32D2"/>
    <w:rsid w:val="00EE3653"/>
    <w:rsid w:val="00EE3826"/>
    <w:rsid w:val="00EE3860"/>
    <w:rsid w:val="00EE391E"/>
    <w:rsid w:val="00EE3D0A"/>
    <w:rsid w:val="00EE4584"/>
    <w:rsid w:val="00EE45E9"/>
    <w:rsid w:val="00EE4670"/>
    <w:rsid w:val="00EE4775"/>
    <w:rsid w:val="00EE47AC"/>
    <w:rsid w:val="00EE48DC"/>
    <w:rsid w:val="00EE48F9"/>
    <w:rsid w:val="00EE4B4E"/>
    <w:rsid w:val="00EE5055"/>
    <w:rsid w:val="00EE52CA"/>
    <w:rsid w:val="00EE5304"/>
    <w:rsid w:val="00EE563B"/>
    <w:rsid w:val="00EE589C"/>
    <w:rsid w:val="00EE5963"/>
    <w:rsid w:val="00EE5B0B"/>
    <w:rsid w:val="00EE5DF0"/>
    <w:rsid w:val="00EE5DFF"/>
    <w:rsid w:val="00EE6024"/>
    <w:rsid w:val="00EE66F8"/>
    <w:rsid w:val="00EE6C21"/>
    <w:rsid w:val="00EE6F20"/>
    <w:rsid w:val="00EE7315"/>
    <w:rsid w:val="00EE74BC"/>
    <w:rsid w:val="00EE785F"/>
    <w:rsid w:val="00EF0068"/>
    <w:rsid w:val="00EF02E0"/>
    <w:rsid w:val="00EF0528"/>
    <w:rsid w:val="00EF054C"/>
    <w:rsid w:val="00EF0B82"/>
    <w:rsid w:val="00EF0F65"/>
    <w:rsid w:val="00EF105B"/>
    <w:rsid w:val="00EF10EB"/>
    <w:rsid w:val="00EF1495"/>
    <w:rsid w:val="00EF15AA"/>
    <w:rsid w:val="00EF1DDE"/>
    <w:rsid w:val="00EF1DE3"/>
    <w:rsid w:val="00EF1FCA"/>
    <w:rsid w:val="00EF208E"/>
    <w:rsid w:val="00EF28C4"/>
    <w:rsid w:val="00EF2BBF"/>
    <w:rsid w:val="00EF2D8D"/>
    <w:rsid w:val="00EF2FEA"/>
    <w:rsid w:val="00EF314C"/>
    <w:rsid w:val="00EF330E"/>
    <w:rsid w:val="00EF3360"/>
    <w:rsid w:val="00EF340D"/>
    <w:rsid w:val="00EF3501"/>
    <w:rsid w:val="00EF3B43"/>
    <w:rsid w:val="00EF3C45"/>
    <w:rsid w:val="00EF3D0A"/>
    <w:rsid w:val="00EF4162"/>
    <w:rsid w:val="00EF4307"/>
    <w:rsid w:val="00EF45F0"/>
    <w:rsid w:val="00EF4646"/>
    <w:rsid w:val="00EF4D58"/>
    <w:rsid w:val="00EF4F31"/>
    <w:rsid w:val="00EF50D2"/>
    <w:rsid w:val="00EF51B6"/>
    <w:rsid w:val="00EF5349"/>
    <w:rsid w:val="00EF53F2"/>
    <w:rsid w:val="00EF5483"/>
    <w:rsid w:val="00EF5B84"/>
    <w:rsid w:val="00EF6278"/>
    <w:rsid w:val="00EF67A8"/>
    <w:rsid w:val="00EF6974"/>
    <w:rsid w:val="00EF699C"/>
    <w:rsid w:val="00EF6AE1"/>
    <w:rsid w:val="00EF6E03"/>
    <w:rsid w:val="00EF6F92"/>
    <w:rsid w:val="00EF723E"/>
    <w:rsid w:val="00EF770F"/>
    <w:rsid w:val="00F000E4"/>
    <w:rsid w:val="00F001CC"/>
    <w:rsid w:val="00F0023E"/>
    <w:rsid w:val="00F00395"/>
    <w:rsid w:val="00F003C5"/>
    <w:rsid w:val="00F003C7"/>
    <w:rsid w:val="00F004F7"/>
    <w:rsid w:val="00F013B0"/>
    <w:rsid w:val="00F01429"/>
    <w:rsid w:val="00F015EA"/>
    <w:rsid w:val="00F01654"/>
    <w:rsid w:val="00F0199F"/>
    <w:rsid w:val="00F02B90"/>
    <w:rsid w:val="00F02CEE"/>
    <w:rsid w:val="00F02D25"/>
    <w:rsid w:val="00F02EE2"/>
    <w:rsid w:val="00F034A5"/>
    <w:rsid w:val="00F0353D"/>
    <w:rsid w:val="00F03580"/>
    <w:rsid w:val="00F0387A"/>
    <w:rsid w:val="00F03921"/>
    <w:rsid w:val="00F039C7"/>
    <w:rsid w:val="00F03C86"/>
    <w:rsid w:val="00F04522"/>
    <w:rsid w:val="00F0455B"/>
    <w:rsid w:val="00F04671"/>
    <w:rsid w:val="00F04A39"/>
    <w:rsid w:val="00F04B25"/>
    <w:rsid w:val="00F04C31"/>
    <w:rsid w:val="00F04C79"/>
    <w:rsid w:val="00F04E23"/>
    <w:rsid w:val="00F04EC2"/>
    <w:rsid w:val="00F04EF5"/>
    <w:rsid w:val="00F05079"/>
    <w:rsid w:val="00F05088"/>
    <w:rsid w:val="00F0508C"/>
    <w:rsid w:val="00F05178"/>
    <w:rsid w:val="00F05218"/>
    <w:rsid w:val="00F0522E"/>
    <w:rsid w:val="00F052B3"/>
    <w:rsid w:val="00F05A8A"/>
    <w:rsid w:val="00F05C9D"/>
    <w:rsid w:val="00F05E8D"/>
    <w:rsid w:val="00F06988"/>
    <w:rsid w:val="00F06A2D"/>
    <w:rsid w:val="00F07085"/>
    <w:rsid w:val="00F071A4"/>
    <w:rsid w:val="00F07570"/>
    <w:rsid w:val="00F075E0"/>
    <w:rsid w:val="00F07E89"/>
    <w:rsid w:val="00F10020"/>
    <w:rsid w:val="00F100F4"/>
    <w:rsid w:val="00F1012D"/>
    <w:rsid w:val="00F10F1F"/>
    <w:rsid w:val="00F10F20"/>
    <w:rsid w:val="00F1133A"/>
    <w:rsid w:val="00F1163D"/>
    <w:rsid w:val="00F1170D"/>
    <w:rsid w:val="00F11A6F"/>
    <w:rsid w:val="00F11CF3"/>
    <w:rsid w:val="00F11E00"/>
    <w:rsid w:val="00F1213A"/>
    <w:rsid w:val="00F12538"/>
    <w:rsid w:val="00F126CA"/>
    <w:rsid w:val="00F12B27"/>
    <w:rsid w:val="00F12D00"/>
    <w:rsid w:val="00F12E7D"/>
    <w:rsid w:val="00F13061"/>
    <w:rsid w:val="00F132BD"/>
    <w:rsid w:val="00F136D2"/>
    <w:rsid w:val="00F136FA"/>
    <w:rsid w:val="00F137CA"/>
    <w:rsid w:val="00F138C6"/>
    <w:rsid w:val="00F13912"/>
    <w:rsid w:val="00F13949"/>
    <w:rsid w:val="00F13D9E"/>
    <w:rsid w:val="00F13E4E"/>
    <w:rsid w:val="00F13E60"/>
    <w:rsid w:val="00F14305"/>
    <w:rsid w:val="00F148EA"/>
    <w:rsid w:val="00F14FF6"/>
    <w:rsid w:val="00F15340"/>
    <w:rsid w:val="00F15D78"/>
    <w:rsid w:val="00F1612B"/>
    <w:rsid w:val="00F164D3"/>
    <w:rsid w:val="00F168A2"/>
    <w:rsid w:val="00F168D1"/>
    <w:rsid w:val="00F16AD9"/>
    <w:rsid w:val="00F16D15"/>
    <w:rsid w:val="00F1700D"/>
    <w:rsid w:val="00F17526"/>
    <w:rsid w:val="00F1758B"/>
    <w:rsid w:val="00F17715"/>
    <w:rsid w:val="00F17738"/>
    <w:rsid w:val="00F17A54"/>
    <w:rsid w:val="00F17B7B"/>
    <w:rsid w:val="00F17C43"/>
    <w:rsid w:val="00F20502"/>
    <w:rsid w:val="00F2073A"/>
    <w:rsid w:val="00F20951"/>
    <w:rsid w:val="00F209BD"/>
    <w:rsid w:val="00F20E8A"/>
    <w:rsid w:val="00F2138E"/>
    <w:rsid w:val="00F214F9"/>
    <w:rsid w:val="00F214FD"/>
    <w:rsid w:val="00F21896"/>
    <w:rsid w:val="00F2199C"/>
    <w:rsid w:val="00F21B71"/>
    <w:rsid w:val="00F21BB1"/>
    <w:rsid w:val="00F21DA8"/>
    <w:rsid w:val="00F220D9"/>
    <w:rsid w:val="00F22434"/>
    <w:rsid w:val="00F22592"/>
    <w:rsid w:val="00F22A28"/>
    <w:rsid w:val="00F22FB1"/>
    <w:rsid w:val="00F22FDD"/>
    <w:rsid w:val="00F23018"/>
    <w:rsid w:val="00F23383"/>
    <w:rsid w:val="00F233C6"/>
    <w:rsid w:val="00F23955"/>
    <w:rsid w:val="00F23A18"/>
    <w:rsid w:val="00F23B0E"/>
    <w:rsid w:val="00F2450C"/>
    <w:rsid w:val="00F24531"/>
    <w:rsid w:val="00F24A59"/>
    <w:rsid w:val="00F24C3D"/>
    <w:rsid w:val="00F24CDB"/>
    <w:rsid w:val="00F24F72"/>
    <w:rsid w:val="00F24FCF"/>
    <w:rsid w:val="00F25484"/>
    <w:rsid w:val="00F25651"/>
    <w:rsid w:val="00F256CC"/>
    <w:rsid w:val="00F2574E"/>
    <w:rsid w:val="00F25C3A"/>
    <w:rsid w:val="00F25E06"/>
    <w:rsid w:val="00F25F35"/>
    <w:rsid w:val="00F26151"/>
    <w:rsid w:val="00F26181"/>
    <w:rsid w:val="00F261A1"/>
    <w:rsid w:val="00F2620B"/>
    <w:rsid w:val="00F2631F"/>
    <w:rsid w:val="00F26370"/>
    <w:rsid w:val="00F264FA"/>
    <w:rsid w:val="00F26733"/>
    <w:rsid w:val="00F26B12"/>
    <w:rsid w:val="00F26EF7"/>
    <w:rsid w:val="00F2711B"/>
    <w:rsid w:val="00F278C1"/>
    <w:rsid w:val="00F27910"/>
    <w:rsid w:val="00F3029A"/>
    <w:rsid w:val="00F3030E"/>
    <w:rsid w:val="00F30336"/>
    <w:rsid w:val="00F306D5"/>
    <w:rsid w:val="00F3096F"/>
    <w:rsid w:val="00F30DD7"/>
    <w:rsid w:val="00F31209"/>
    <w:rsid w:val="00F312BE"/>
    <w:rsid w:val="00F313B9"/>
    <w:rsid w:val="00F3145F"/>
    <w:rsid w:val="00F31855"/>
    <w:rsid w:val="00F31E08"/>
    <w:rsid w:val="00F31FB6"/>
    <w:rsid w:val="00F32378"/>
    <w:rsid w:val="00F3247C"/>
    <w:rsid w:val="00F32761"/>
    <w:rsid w:val="00F32BB9"/>
    <w:rsid w:val="00F32DDD"/>
    <w:rsid w:val="00F32EB2"/>
    <w:rsid w:val="00F332FB"/>
    <w:rsid w:val="00F3337D"/>
    <w:rsid w:val="00F333DC"/>
    <w:rsid w:val="00F333E4"/>
    <w:rsid w:val="00F33462"/>
    <w:rsid w:val="00F3354B"/>
    <w:rsid w:val="00F33D85"/>
    <w:rsid w:val="00F343C9"/>
    <w:rsid w:val="00F3443F"/>
    <w:rsid w:val="00F34614"/>
    <w:rsid w:val="00F34992"/>
    <w:rsid w:val="00F34D18"/>
    <w:rsid w:val="00F34F0B"/>
    <w:rsid w:val="00F34FE0"/>
    <w:rsid w:val="00F351CD"/>
    <w:rsid w:val="00F35241"/>
    <w:rsid w:val="00F352EB"/>
    <w:rsid w:val="00F355C1"/>
    <w:rsid w:val="00F35695"/>
    <w:rsid w:val="00F35815"/>
    <w:rsid w:val="00F35828"/>
    <w:rsid w:val="00F35B8A"/>
    <w:rsid w:val="00F35D19"/>
    <w:rsid w:val="00F35DD2"/>
    <w:rsid w:val="00F35E2D"/>
    <w:rsid w:val="00F36346"/>
    <w:rsid w:val="00F363F9"/>
    <w:rsid w:val="00F3659C"/>
    <w:rsid w:val="00F3676C"/>
    <w:rsid w:val="00F368F7"/>
    <w:rsid w:val="00F36DAC"/>
    <w:rsid w:val="00F37102"/>
    <w:rsid w:val="00F372A6"/>
    <w:rsid w:val="00F373DA"/>
    <w:rsid w:val="00F374D0"/>
    <w:rsid w:val="00F37800"/>
    <w:rsid w:val="00F37A29"/>
    <w:rsid w:val="00F37CB9"/>
    <w:rsid w:val="00F4015C"/>
    <w:rsid w:val="00F404E7"/>
    <w:rsid w:val="00F40CD4"/>
    <w:rsid w:val="00F40D67"/>
    <w:rsid w:val="00F40D8B"/>
    <w:rsid w:val="00F41046"/>
    <w:rsid w:val="00F41102"/>
    <w:rsid w:val="00F41603"/>
    <w:rsid w:val="00F41EA1"/>
    <w:rsid w:val="00F41F5B"/>
    <w:rsid w:val="00F422CE"/>
    <w:rsid w:val="00F42811"/>
    <w:rsid w:val="00F42A02"/>
    <w:rsid w:val="00F42C14"/>
    <w:rsid w:val="00F42D79"/>
    <w:rsid w:val="00F43221"/>
    <w:rsid w:val="00F4349B"/>
    <w:rsid w:val="00F436A3"/>
    <w:rsid w:val="00F43770"/>
    <w:rsid w:val="00F43938"/>
    <w:rsid w:val="00F44171"/>
    <w:rsid w:val="00F444F8"/>
    <w:rsid w:val="00F44A1F"/>
    <w:rsid w:val="00F45E56"/>
    <w:rsid w:val="00F46452"/>
    <w:rsid w:val="00F46667"/>
    <w:rsid w:val="00F46925"/>
    <w:rsid w:val="00F469EF"/>
    <w:rsid w:val="00F4735C"/>
    <w:rsid w:val="00F47C08"/>
    <w:rsid w:val="00F47CBA"/>
    <w:rsid w:val="00F47F9D"/>
    <w:rsid w:val="00F500AF"/>
    <w:rsid w:val="00F5017D"/>
    <w:rsid w:val="00F501E9"/>
    <w:rsid w:val="00F5098A"/>
    <w:rsid w:val="00F50DD2"/>
    <w:rsid w:val="00F50E5F"/>
    <w:rsid w:val="00F50EFB"/>
    <w:rsid w:val="00F51295"/>
    <w:rsid w:val="00F5175D"/>
    <w:rsid w:val="00F517A5"/>
    <w:rsid w:val="00F51970"/>
    <w:rsid w:val="00F51BA8"/>
    <w:rsid w:val="00F522E4"/>
    <w:rsid w:val="00F52347"/>
    <w:rsid w:val="00F52353"/>
    <w:rsid w:val="00F523FE"/>
    <w:rsid w:val="00F5263B"/>
    <w:rsid w:val="00F529E4"/>
    <w:rsid w:val="00F52E17"/>
    <w:rsid w:val="00F52E48"/>
    <w:rsid w:val="00F52FEC"/>
    <w:rsid w:val="00F53023"/>
    <w:rsid w:val="00F530FC"/>
    <w:rsid w:val="00F53625"/>
    <w:rsid w:val="00F536DF"/>
    <w:rsid w:val="00F5370B"/>
    <w:rsid w:val="00F538D4"/>
    <w:rsid w:val="00F53DD1"/>
    <w:rsid w:val="00F53EC2"/>
    <w:rsid w:val="00F546B2"/>
    <w:rsid w:val="00F5490F"/>
    <w:rsid w:val="00F54954"/>
    <w:rsid w:val="00F54A0B"/>
    <w:rsid w:val="00F54DEA"/>
    <w:rsid w:val="00F54E61"/>
    <w:rsid w:val="00F54E9B"/>
    <w:rsid w:val="00F54F13"/>
    <w:rsid w:val="00F55255"/>
    <w:rsid w:val="00F5546F"/>
    <w:rsid w:val="00F555C7"/>
    <w:rsid w:val="00F558C5"/>
    <w:rsid w:val="00F559D0"/>
    <w:rsid w:val="00F55A3C"/>
    <w:rsid w:val="00F55C17"/>
    <w:rsid w:val="00F55CE5"/>
    <w:rsid w:val="00F55E57"/>
    <w:rsid w:val="00F56379"/>
    <w:rsid w:val="00F56682"/>
    <w:rsid w:val="00F56C1C"/>
    <w:rsid w:val="00F56D66"/>
    <w:rsid w:val="00F56E87"/>
    <w:rsid w:val="00F570CF"/>
    <w:rsid w:val="00F575CB"/>
    <w:rsid w:val="00F579A5"/>
    <w:rsid w:val="00F57A38"/>
    <w:rsid w:val="00F57C58"/>
    <w:rsid w:val="00F6011B"/>
    <w:rsid w:val="00F60151"/>
    <w:rsid w:val="00F6037A"/>
    <w:rsid w:val="00F60861"/>
    <w:rsid w:val="00F608B8"/>
    <w:rsid w:val="00F60EB0"/>
    <w:rsid w:val="00F60F93"/>
    <w:rsid w:val="00F618B6"/>
    <w:rsid w:val="00F61EC7"/>
    <w:rsid w:val="00F62074"/>
    <w:rsid w:val="00F6223D"/>
    <w:rsid w:val="00F62386"/>
    <w:rsid w:val="00F62469"/>
    <w:rsid w:val="00F62526"/>
    <w:rsid w:val="00F625D6"/>
    <w:rsid w:val="00F626C8"/>
    <w:rsid w:val="00F62923"/>
    <w:rsid w:val="00F62999"/>
    <w:rsid w:val="00F62C9E"/>
    <w:rsid w:val="00F631DA"/>
    <w:rsid w:val="00F632FC"/>
    <w:rsid w:val="00F63511"/>
    <w:rsid w:val="00F63539"/>
    <w:rsid w:val="00F635C6"/>
    <w:rsid w:val="00F6374E"/>
    <w:rsid w:val="00F6377C"/>
    <w:rsid w:val="00F63BA1"/>
    <w:rsid w:val="00F63D62"/>
    <w:rsid w:val="00F644F2"/>
    <w:rsid w:val="00F6458D"/>
    <w:rsid w:val="00F649E4"/>
    <w:rsid w:val="00F64BCE"/>
    <w:rsid w:val="00F6508D"/>
    <w:rsid w:val="00F6539B"/>
    <w:rsid w:val="00F6599A"/>
    <w:rsid w:val="00F65B75"/>
    <w:rsid w:val="00F65C7A"/>
    <w:rsid w:val="00F65F77"/>
    <w:rsid w:val="00F65FD4"/>
    <w:rsid w:val="00F660E8"/>
    <w:rsid w:val="00F66450"/>
    <w:rsid w:val="00F66E83"/>
    <w:rsid w:val="00F670B1"/>
    <w:rsid w:val="00F67490"/>
    <w:rsid w:val="00F674A0"/>
    <w:rsid w:val="00F67526"/>
    <w:rsid w:val="00F676B0"/>
    <w:rsid w:val="00F677BF"/>
    <w:rsid w:val="00F6787A"/>
    <w:rsid w:val="00F67979"/>
    <w:rsid w:val="00F67BAE"/>
    <w:rsid w:val="00F70082"/>
    <w:rsid w:val="00F700B1"/>
    <w:rsid w:val="00F700CE"/>
    <w:rsid w:val="00F70257"/>
    <w:rsid w:val="00F7040F"/>
    <w:rsid w:val="00F704A0"/>
    <w:rsid w:val="00F70808"/>
    <w:rsid w:val="00F70BC3"/>
    <w:rsid w:val="00F70E37"/>
    <w:rsid w:val="00F70EC4"/>
    <w:rsid w:val="00F7155F"/>
    <w:rsid w:val="00F715B5"/>
    <w:rsid w:val="00F7190C"/>
    <w:rsid w:val="00F7194C"/>
    <w:rsid w:val="00F71C54"/>
    <w:rsid w:val="00F71C75"/>
    <w:rsid w:val="00F71E99"/>
    <w:rsid w:val="00F72A58"/>
    <w:rsid w:val="00F72F8F"/>
    <w:rsid w:val="00F73446"/>
    <w:rsid w:val="00F736C4"/>
    <w:rsid w:val="00F73986"/>
    <w:rsid w:val="00F739CE"/>
    <w:rsid w:val="00F73CA1"/>
    <w:rsid w:val="00F73D44"/>
    <w:rsid w:val="00F73DCA"/>
    <w:rsid w:val="00F73F09"/>
    <w:rsid w:val="00F74003"/>
    <w:rsid w:val="00F74430"/>
    <w:rsid w:val="00F74DCE"/>
    <w:rsid w:val="00F74DDF"/>
    <w:rsid w:val="00F75439"/>
    <w:rsid w:val="00F7545B"/>
    <w:rsid w:val="00F7566C"/>
    <w:rsid w:val="00F758AD"/>
    <w:rsid w:val="00F75BC7"/>
    <w:rsid w:val="00F76020"/>
    <w:rsid w:val="00F7619E"/>
    <w:rsid w:val="00F762C1"/>
    <w:rsid w:val="00F768E4"/>
    <w:rsid w:val="00F76916"/>
    <w:rsid w:val="00F76AC9"/>
    <w:rsid w:val="00F76F75"/>
    <w:rsid w:val="00F76F92"/>
    <w:rsid w:val="00F77220"/>
    <w:rsid w:val="00F7742B"/>
    <w:rsid w:val="00F77575"/>
    <w:rsid w:val="00F7770B"/>
    <w:rsid w:val="00F77A51"/>
    <w:rsid w:val="00F77DDE"/>
    <w:rsid w:val="00F77E95"/>
    <w:rsid w:val="00F8004E"/>
    <w:rsid w:val="00F80079"/>
    <w:rsid w:val="00F802F7"/>
    <w:rsid w:val="00F8058B"/>
    <w:rsid w:val="00F80B9B"/>
    <w:rsid w:val="00F80CBC"/>
    <w:rsid w:val="00F81169"/>
    <w:rsid w:val="00F81538"/>
    <w:rsid w:val="00F815AA"/>
    <w:rsid w:val="00F818D3"/>
    <w:rsid w:val="00F81926"/>
    <w:rsid w:val="00F81D30"/>
    <w:rsid w:val="00F81DE3"/>
    <w:rsid w:val="00F8295E"/>
    <w:rsid w:val="00F82A1B"/>
    <w:rsid w:val="00F82A3C"/>
    <w:rsid w:val="00F82C0F"/>
    <w:rsid w:val="00F82E8B"/>
    <w:rsid w:val="00F830F3"/>
    <w:rsid w:val="00F83413"/>
    <w:rsid w:val="00F83429"/>
    <w:rsid w:val="00F835D9"/>
    <w:rsid w:val="00F835E4"/>
    <w:rsid w:val="00F836CA"/>
    <w:rsid w:val="00F83712"/>
    <w:rsid w:val="00F8391D"/>
    <w:rsid w:val="00F83B8D"/>
    <w:rsid w:val="00F83D40"/>
    <w:rsid w:val="00F83F67"/>
    <w:rsid w:val="00F84216"/>
    <w:rsid w:val="00F8449B"/>
    <w:rsid w:val="00F848B1"/>
    <w:rsid w:val="00F848E3"/>
    <w:rsid w:val="00F84D47"/>
    <w:rsid w:val="00F84D80"/>
    <w:rsid w:val="00F85547"/>
    <w:rsid w:val="00F85E42"/>
    <w:rsid w:val="00F8606B"/>
    <w:rsid w:val="00F860B2"/>
    <w:rsid w:val="00F862FB"/>
    <w:rsid w:val="00F864D3"/>
    <w:rsid w:val="00F864DC"/>
    <w:rsid w:val="00F8658C"/>
    <w:rsid w:val="00F86943"/>
    <w:rsid w:val="00F86D77"/>
    <w:rsid w:val="00F86DA9"/>
    <w:rsid w:val="00F86F35"/>
    <w:rsid w:val="00F8719D"/>
    <w:rsid w:val="00F871BB"/>
    <w:rsid w:val="00F87560"/>
    <w:rsid w:val="00F87630"/>
    <w:rsid w:val="00F87B57"/>
    <w:rsid w:val="00F87BC8"/>
    <w:rsid w:val="00F87C3E"/>
    <w:rsid w:val="00F87D24"/>
    <w:rsid w:val="00F87D4D"/>
    <w:rsid w:val="00F87D8B"/>
    <w:rsid w:val="00F87E4F"/>
    <w:rsid w:val="00F87FB7"/>
    <w:rsid w:val="00F9001A"/>
    <w:rsid w:val="00F90221"/>
    <w:rsid w:val="00F902A7"/>
    <w:rsid w:val="00F904D7"/>
    <w:rsid w:val="00F90642"/>
    <w:rsid w:val="00F90660"/>
    <w:rsid w:val="00F90A0B"/>
    <w:rsid w:val="00F90A89"/>
    <w:rsid w:val="00F90C29"/>
    <w:rsid w:val="00F911C4"/>
    <w:rsid w:val="00F911DE"/>
    <w:rsid w:val="00F912DC"/>
    <w:rsid w:val="00F913B1"/>
    <w:rsid w:val="00F9191A"/>
    <w:rsid w:val="00F919E5"/>
    <w:rsid w:val="00F91BD9"/>
    <w:rsid w:val="00F91C4D"/>
    <w:rsid w:val="00F91C79"/>
    <w:rsid w:val="00F9211A"/>
    <w:rsid w:val="00F92480"/>
    <w:rsid w:val="00F92DA7"/>
    <w:rsid w:val="00F93176"/>
    <w:rsid w:val="00F93356"/>
    <w:rsid w:val="00F936AA"/>
    <w:rsid w:val="00F939CF"/>
    <w:rsid w:val="00F93C2B"/>
    <w:rsid w:val="00F93DCA"/>
    <w:rsid w:val="00F93E96"/>
    <w:rsid w:val="00F93EAA"/>
    <w:rsid w:val="00F94042"/>
    <w:rsid w:val="00F94375"/>
    <w:rsid w:val="00F948EA"/>
    <w:rsid w:val="00F949A1"/>
    <w:rsid w:val="00F94A59"/>
    <w:rsid w:val="00F951F9"/>
    <w:rsid w:val="00F9528C"/>
    <w:rsid w:val="00F952FA"/>
    <w:rsid w:val="00F957ED"/>
    <w:rsid w:val="00F95CA0"/>
    <w:rsid w:val="00F966C0"/>
    <w:rsid w:val="00F96C1A"/>
    <w:rsid w:val="00F96D85"/>
    <w:rsid w:val="00F96DC9"/>
    <w:rsid w:val="00F974FF"/>
    <w:rsid w:val="00F97530"/>
    <w:rsid w:val="00F977B2"/>
    <w:rsid w:val="00F977F6"/>
    <w:rsid w:val="00F97B8C"/>
    <w:rsid w:val="00F97EDD"/>
    <w:rsid w:val="00F97F89"/>
    <w:rsid w:val="00F97FF1"/>
    <w:rsid w:val="00FA02CA"/>
    <w:rsid w:val="00FA0430"/>
    <w:rsid w:val="00FA07D7"/>
    <w:rsid w:val="00FA09A0"/>
    <w:rsid w:val="00FA0D33"/>
    <w:rsid w:val="00FA0F64"/>
    <w:rsid w:val="00FA114D"/>
    <w:rsid w:val="00FA114E"/>
    <w:rsid w:val="00FA132F"/>
    <w:rsid w:val="00FA13A7"/>
    <w:rsid w:val="00FA168C"/>
    <w:rsid w:val="00FA1855"/>
    <w:rsid w:val="00FA1922"/>
    <w:rsid w:val="00FA1972"/>
    <w:rsid w:val="00FA1E21"/>
    <w:rsid w:val="00FA1EB0"/>
    <w:rsid w:val="00FA28CB"/>
    <w:rsid w:val="00FA2F6A"/>
    <w:rsid w:val="00FA2F94"/>
    <w:rsid w:val="00FA3397"/>
    <w:rsid w:val="00FA351A"/>
    <w:rsid w:val="00FA398E"/>
    <w:rsid w:val="00FA3AF7"/>
    <w:rsid w:val="00FA3C8D"/>
    <w:rsid w:val="00FA3F8A"/>
    <w:rsid w:val="00FA409C"/>
    <w:rsid w:val="00FA4359"/>
    <w:rsid w:val="00FA4640"/>
    <w:rsid w:val="00FA48C9"/>
    <w:rsid w:val="00FA4B0C"/>
    <w:rsid w:val="00FA4DF7"/>
    <w:rsid w:val="00FA5136"/>
    <w:rsid w:val="00FA5203"/>
    <w:rsid w:val="00FA53E4"/>
    <w:rsid w:val="00FA543A"/>
    <w:rsid w:val="00FA56B9"/>
    <w:rsid w:val="00FA5B30"/>
    <w:rsid w:val="00FA5BD8"/>
    <w:rsid w:val="00FA5D16"/>
    <w:rsid w:val="00FA60B5"/>
    <w:rsid w:val="00FA622E"/>
    <w:rsid w:val="00FA63EF"/>
    <w:rsid w:val="00FA64C8"/>
    <w:rsid w:val="00FA66CA"/>
    <w:rsid w:val="00FA66D0"/>
    <w:rsid w:val="00FA67FB"/>
    <w:rsid w:val="00FA69F9"/>
    <w:rsid w:val="00FA6E4E"/>
    <w:rsid w:val="00FA702D"/>
    <w:rsid w:val="00FA716D"/>
    <w:rsid w:val="00FA779E"/>
    <w:rsid w:val="00FA7983"/>
    <w:rsid w:val="00FA79A8"/>
    <w:rsid w:val="00FA7BD2"/>
    <w:rsid w:val="00FA7DBB"/>
    <w:rsid w:val="00FA7DE4"/>
    <w:rsid w:val="00FB0319"/>
    <w:rsid w:val="00FB0436"/>
    <w:rsid w:val="00FB09FA"/>
    <w:rsid w:val="00FB0EC2"/>
    <w:rsid w:val="00FB1786"/>
    <w:rsid w:val="00FB1F51"/>
    <w:rsid w:val="00FB2366"/>
    <w:rsid w:val="00FB2421"/>
    <w:rsid w:val="00FB2816"/>
    <w:rsid w:val="00FB282F"/>
    <w:rsid w:val="00FB291D"/>
    <w:rsid w:val="00FB2A13"/>
    <w:rsid w:val="00FB2C9D"/>
    <w:rsid w:val="00FB2D2E"/>
    <w:rsid w:val="00FB2DEE"/>
    <w:rsid w:val="00FB2E5B"/>
    <w:rsid w:val="00FB3124"/>
    <w:rsid w:val="00FB373A"/>
    <w:rsid w:val="00FB3880"/>
    <w:rsid w:val="00FB3960"/>
    <w:rsid w:val="00FB3B48"/>
    <w:rsid w:val="00FB401A"/>
    <w:rsid w:val="00FB4225"/>
    <w:rsid w:val="00FB4421"/>
    <w:rsid w:val="00FB45C2"/>
    <w:rsid w:val="00FB469C"/>
    <w:rsid w:val="00FB4723"/>
    <w:rsid w:val="00FB48C3"/>
    <w:rsid w:val="00FB4913"/>
    <w:rsid w:val="00FB4A98"/>
    <w:rsid w:val="00FB4BC8"/>
    <w:rsid w:val="00FB4E6A"/>
    <w:rsid w:val="00FB4EA2"/>
    <w:rsid w:val="00FB4F85"/>
    <w:rsid w:val="00FB50E5"/>
    <w:rsid w:val="00FB53EE"/>
    <w:rsid w:val="00FB540C"/>
    <w:rsid w:val="00FB545D"/>
    <w:rsid w:val="00FB5822"/>
    <w:rsid w:val="00FB584E"/>
    <w:rsid w:val="00FB5AC0"/>
    <w:rsid w:val="00FB5FD1"/>
    <w:rsid w:val="00FB619F"/>
    <w:rsid w:val="00FB637A"/>
    <w:rsid w:val="00FB644E"/>
    <w:rsid w:val="00FB68CA"/>
    <w:rsid w:val="00FB6CAE"/>
    <w:rsid w:val="00FB6E07"/>
    <w:rsid w:val="00FB6EA8"/>
    <w:rsid w:val="00FB7097"/>
    <w:rsid w:val="00FB71A7"/>
    <w:rsid w:val="00FB7662"/>
    <w:rsid w:val="00FB76A9"/>
    <w:rsid w:val="00FB777C"/>
    <w:rsid w:val="00FB7AAB"/>
    <w:rsid w:val="00FB7B23"/>
    <w:rsid w:val="00FB7D46"/>
    <w:rsid w:val="00FB7FCD"/>
    <w:rsid w:val="00FC0117"/>
    <w:rsid w:val="00FC01A1"/>
    <w:rsid w:val="00FC0283"/>
    <w:rsid w:val="00FC0343"/>
    <w:rsid w:val="00FC0663"/>
    <w:rsid w:val="00FC07C7"/>
    <w:rsid w:val="00FC1384"/>
    <w:rsid w:val="00FC14E7"/>
    <w:rsid w:val="00FC179F"/>
    <w:rsid w:val="00FC1B35"/>
    <w:rsid w:val="00FC2915"/>
    <w:rsid w:val="00FC2AA3"/>
    <w:rsid w:val="00FC2E8F"/>
    <w:rsid w:val="00FC2F4B"/>
    <w:rsid w:val="00FC30B3"/>
    <w:rsid w:val="00FC3437"/>
    <w:rsid w:val="00FC39DB"/>
    <w:rsid w:val="00FC3CF0"/>
    <w:rsid w:val="00FC3FC5"/>
    <w:rsid w:val="00FC4232"/>
    <w:rsid w:val="00FC44F9"/>
    <w:rsid w:val="00FC4518"/>
    <w:rsid w:val="00FC481C"/>
    <w:rsid w:val="00FC4A4E"/>
    <w:rsid w:val="00FC4A4F"/>
    <w:rsid w:val="00FC4B9D"/>
    <w:rsid w:val="00FC4CF3"/>
    <w:rsid w:val="00FC50E3"/>
    <w:rsid w:val="00FC5103"/>
    <w:rsid w:val="00FC5283"/>
    <w:rsid w:val="00FC530B"/>
    <w:rsid w:val="00FC5459"/>
    <w:rsid w:val="00FC5623"/>
    <w:rsid w:val="00FC5697"/>
    <w:rsid w:val="00FC574F"/>
    <w:rsid w:val="00FC5807"/>
    <w:rsid w:val="00FC5C09"/>
    <w:rsid w:val="00FC5C87"/>
    <w:rsid w:val="00FC5D65"/>
    <w:rsid w:val="00FC63B2"/>
    <w:rsid w:val="00FC67D0"/>
    <w:rsid w:val="00FC69BF"/>
    <w:rsid w:val="00FC69E2"/>
    <w:rsid w:val="00FC6BE7"/>
    <w:rsid w:val="00FC6EA1"/>
    <w:rsid w:val="00FC70E0"/>
    <w:rsid w:val="00FC732A"/>
    <w:rsid w:val="00FC7AC3"/>
    <w:rsid w:val="00FC7F35"/>
    <w:rsid w:val="00FD0030"/>
    <w:rsid w:val="00FD02CD"/>
    <w:rsid w:val="00FD070C"/>
    <w:rsid w:val="00FD07B4"/>
    <w:rsid w:val="00FD0AC4"/>
    <w:rsid w:val="00FD0C51"/>
    <w:rsid w:val="00FD0E99"/>
    <w:rsid w:val="00FD0FF9"/>
    <w:rsid w:val="00FD12E2"/>
    <w:rsid w:val="00FD1369"/>
    <w:rsid w:val="00FD167B"/>
    <w:rsid w:val="00FD1716"/>
    <w:rsid w:val="00FD17D5"/>
    <w:rsid w:val="00FD1B37"/>
    <w:rsid w:val="00FD1D5A"/>
    <w:rsid w:val="00FD1E30"/>
    <w:rsid w:val="00FD2002"/>
    <w:rsid w:val="00FD23DF"/>
    <w:rsid w:val="00FD243E"/>
    <w:rsid w:val="00FD2579"/>
    <w:rsid w:val="00FD2674"/>
    <w:rsid w:val="00FD2E4C"/>
    <w:rsid w:val="00FD3062"/>
    <w:rsid w:val="00FD32EA"/>
    <w:rsid w:val="00FD3BA3"/>
    <w:rsid w:val="00FD3E80"/>
    <w:rsid w:val="00FD3FC7"/>
    <w:rsid w:val="00FD433F"/>
    <w:rsid w:val="00FD459E"/>
    <w:rsid w:val="00FD466C"/>
    <w:rsid w:val="00FD4678"/>
    <w:rsid w:val="00FD475F"/>
    <w:rsid w:val="00FD4B43"/>
    <w:rsid w:val="00FD4C65"/>
    <w:rsid w:val="00FD4E33"/>
    <w:rsid w:val="00FD4EFE"/>
    <w:rsid w:val="00FD50A5"/>
    <w:rsid w:val="00FD5BE2"/>
    <w:rsid w:val="00FD5E85"/>
    <w:rsid w:val="00FD62B9"/>
    <w:rsid w:val="00FD6832"/>
    <w:rsid w:val="00FD69BE"/>
    <w:rsid w:val="00FD6E1E"/>
    <w:rsid w:val="00FD70EE"/>
    <w:rsid w:val="00FD7120"/>
    <w:rsid w:val="00FD73CB"/>
    <w:rsid w:val="00FD762A"/>
    <w:rsid w:val="00FD77D6"/>
    <w:rsid w:val="00FD786C"/>
    <w:rsid w:val="00FD7981"/>
    <w:rsid w:val="00FD7A26"/>
    <w:rsid w:val="00FE016C"/>
    <w:rsid w:val="00FE0195"/>
    <w:rsid w:val="00FE0392"/>
    <w:rsid w:val="00FE04A0"/>
    <w:rsid w:val="00FE0656"/>
    <w:rsid w:val="00FE0A44"/>
    <w:rsid w:val="00FE0DD7"/>
    <w:rsid w:val="00FE0E3B"/>
    <w:rsid w:val="00FE135F"/>
    <w:rsid w:val="00FE13D0"/>
    <w:rsid w:val="00FE1484"/>
    <w:rsid w:val="00FE148B"/>
    <w:rsid w:val="00FE1718"/>
    <w:rsid w:val="00FE18D9"/>
    <w:rsid w:val="00FE1A07"/>
    <w:rsid w:val="00FE1AD0"/>
    <w:rsid w:val="00FE1AD2"/>
    <w:rsid w:val="00FE20B3"/>
    <w:rsid w:val="00FE2409"/>
    <w:rsid w:val="00FE24E8"/>
    <w:rsid w:val="00FE250D"/>
    <w:rsid w:val="00FE2804"/>
    <w:rsid w:val="00FE2A5F"/>
    <w:rsid w:val="00FE2A76"/>
    <w:rsid w:val="00FE2B9A"/>
    <w:rsid w:val="00FE2CB8"/>
    <w:rsid w:val="00FE30CD"/>
    <w:rsid w:val="00FE32D1"/>
    <w:rsid w:val="00FE3463"/>
    <w:rsid w:val="00FE3C4F"/>
    <w:rsid w:val="00FE3D60"/>
    <w:rsid w:val="00FE3D94"/>
    <w:rsid w:val="00FE421C"/>
    <w:rsid w:val="00FE4252"/>
    <w:rsid w:val="00FE42E1"/>
    <w:rsid w:val="00FE42F8"/>
    <w:rsid w:val="00FE43F0"/>
    <w:rsid w:val="00FE450D"/>
    <w:rsid w:val="00FE45D1"/>
    <w:rsid w:val="00FE479F"/>
    <w:rsid w:val="00FE4820"/>
    <w:rsid w:val="00FE4A13"/>
    <w:rsid w:val="00FE4A8A"/>
    <w:rsid w:val="00FE4C88"/>
    <w:rsid w:val="00FE4F15"/>
    <w:rsid w:val="00FE509A"/>
    <w:rsid w:val="00FE5395"/>
    <w:rsid w:val="00FE5831"/>
    <w:rsid w:val="00FE5F15"/>
    <w:rsid w:val="00FE672F"/>
    <w:rsid w:val="00FE6828"/>
    <w:rsid w:val="00FE6E18"/>
    <w:rsid w:val="00FE6E65"/>
    <w:rsid w:val="00FE707C"/>
    <w:rsid w:val="00FE711D"/>
    <w:rsid w:val="00FE72B4"/>
    <w:rsid w:val="00FE767D"/>
    <w:rsid w:val="00FE7A53"/>
    <w:rsid w:val="00FE7CED"/>
    <w:rsid w:val="00FF0291"/>
    <w:rsid w:val="00FF045C"/>
    <w:rsid w:val="00FF06F9"/>
    <w:rsid w:val="00FF099F"/>
    <w:rsid w:val="00FF0A82"/>
    <w:rsid w:val="00FF0C5D"/>
    <w:rsid w:val="00FF0D1E"/>
    <w:rsid w:val="00FF0EFA"/>
    <w:rsid w:val="00FF130B"/>
    <w:rsid w:val="00FF154B"/>
    <w:rsid w:val="00FF1588"/>
    <w:rsid w:val="00FF199B"/>
    <w:rsid w:val="00FF1A0A"/>
    <w:rsid w:val="00FF1AAF"/>
    <w:rsid w:val="00FF1D60"/>
    <w:rsid w:val="00FF1F90"/>
    <w:rsid w:val="00FF200F"/>
    <w:rsid w:val="00FF2310"/>
    <w:rsid w:val="00FF2AC7"/>
    <w:rsid w:val="00FF2D59"/>
    <w:rsid w:val="00FF2DF7"/>
    <w:rsid w:val="00FF2F50"/>
    <w:rsid w:val="00FF2FFC"/>
    <w:rsid w:val="00FF357F"/>
    <w:rsid w:val="00FF36A3"/>
    <w:rsid w:val="00FF3A0F"/>
    <w:rsid w:val="00FF41EC"/>
    <w:rsid w:val="00FF4793"/>
    <w:rsid w:val="00FF58B7"/>
    <w:rsid w:val="00FF5ADD"/>
    <w:rsid w:val="00FF5B0F"/>
    <w:rsid w:val="00FF5DEC"/>
    <w:rsid w:val="00FF5E8F"/>
    <w:rsid w:val="00FF64A9"/>
    <w:rsid w:val="00FF65F1"/>
    <w:rsid w:val="00FF6942"/>
    <w:rsid w:val="00FF6BFD"/>
    <w:rsid w:val="00FF6EBA"/>
    <w:rsid w:val="00FF6F20"/>
    <w:rsid w:val="00FF7429"/>
    <w:rsid w:val="00FF7458"/>
    <w:rsid w:val="00FF748D"/>
    <w:rsid w:val="00FF7536"/>
    <w:rsid w:val="00FF79E1"/>
    <w:rsid w:val="00FF79F7"/>
    <w:rsid w:val="00FF7DB4"/>
    <w:rsid w:val="0103DA35"/>
    <w:rsid w:val="02021C0E"/>
    <w:rsid w:val="0300F144"/>
    <w:rsid w:val="03910908"/>
    <w:rsid w:val="051E0C8B"/>
    <w:rsid w:val="0555C367"/>
    <w:rsid w:val="08328884"/>
    <w:rsid w:val="08837C0F"/>
    <w:rsid w:val="08BEBC98"/>
    <w:rsid w:val="0970B293"/>
    <w:rsid w:val="09F6C2AC"/>
    <w:rsid w:val="0A0D2DF3"/>
    <w:rsid w:val="0BC28F20"/>
    <w:rsid w:val="0CE979CF"/>
    <w:rsid w:val="0D4CBC3B"/>
    <w:rsid w:val="0DEB70C7"/>
    <w:rsid w:val="0E3891A8"/>
    <w:rsid w:val="0EDD6614"/>
    <w:rsid w:val="0EE09F16"/>
    <w:rsid w:val="1261B628"/>
    <w:rsid w:val="13EFDD88"/>
    <w:rsid w:val="142DCC2B"/>
    <w:rsid w:val="14A57C9D"/>
    <w:rsid w:val="14C6B26D"/>
    <w:rsid w:val="180E877C"/>
    <w:rsid w:val="18939429"/>
    <w:rsid w:val="18C46468"/>
    <w:rsid w:val="1A2B3F43"/>
    <w:rsid w:val="1A47C133"/>
    <w:rsid w:val="1AF108EC"/>
    <w:rsid w:val="1C0B2024"/>
    <w:rsid w:val="1CB3F3A6"/>
    <w:rsid w:val="1D48D013"/>
    <w:rsid w:val="1D62E005"/>
    <w:rsid w:val="1E439E6A"/>
    <w:rsid w:val="209A80C7"/>
    <w:rsid w:val="2263BABA"/>
    <w:rsid w:val="239DBB1F"/>
    <w:rsid w:val="23A49A3F"/>
    <w:rsid w:val="23F10BB5"/>
    <w:rsid w:val="244A4075"/>
    <w:rsid w:val="26A54609"/>
    <w:rsid w:val="26D97D6E"/>
    <w:rsid w:val="26EB0899"/>
    <w:rsid w:val="27F04D23"/>
    <w:rsid w:val="28E7EAFC"/>
    <w:rsid w:val="28E95AAB"/>
    <w:rsid w:val="298E99A6"/>
    <w:rsid w:val="29A13E36"/>
    <w:rsid w:val="2B1BFDA3"/>
    <w:rsid w:val="2CB00077"/>
    <w:rsid w:val="2CFD4454"/>
    <w:rsid w:val="2E50C628"/>
    <w:rsid w:val="2F0DA970"/>
    <w:rsid w:val="30692783"/>
    <w:rsid w:val="3072967D"/>
    <w:rsid w:val="318B3F27"/>
    <w:rsid w:val="330DE72B"/>
    <w:rsid w:val="3334FEA2"/>
    <w:rsid w:val="33AEE283"/>
    <w:rsid w:val="349C27B1"/>
    <w:rsid w:val="34C2DFE9"/>
    <w:rsid w:val="34C9E481"/>
    <w:rsid w:val="3559D618"/>
    <w:rsid w:val="37C96EDD"/>
    <w:rsid w:val="381F81B1"/>
    <w:rsid w:val="39DFCDD3"/>
    <w:rsid w:val="3D6B2ADB"/>
    <w:rsid w:val="3D819B17"/>
    <w:rsid w:val="3E972D99"/>
    <w:rsid w:val="3EE5B922"/>
    <w:rsid w:val="3FD74B98"/>
    <w:rsid w:val="3FE1872D"/>
    <w:rsid w:val="40D3C4C0"/>
    <w:rsid w:val="41B304CA"/>
    <w:rsid w:val="41C049D0"/>
    <w:rsid w:val="42AD996A"/>
    <w:rsid w:val="43671A38"/>
    <w:rsid w:val="43D27D77"/>
    <w:rsid w:val="463C0AAD"/>
    <w:rsid w:val="463CD4F7"/>
    <w:rsid w:val="46E49C3D"/>
    <w:rsid w:val="47B5D3B7"/>
    <w:rsid w:val="49A8B965"/>
    <w:rsid w:val="4AA2AA8D"/>
    <w:rsid w:val="4BA1C5F2"/>
    <w:rsid w:val="4C07CF10"/>
    <w:rsid w:val="4D159621"/>
    <w:rsid w:val="4E799436"/>
    <w:rsid w:val="4EB0C8D4"/>
    <w:rsid w:val="50E6BEB6"/>
    <w:rsid w:val="50F4ED0B"/>
    <w:rsid w:val="5197EE95"/>
    <w:rsid w:val="51CA0EFD"/>
    <w:rsid w:val="555048FF"/>
    <w:rsid w:val="555AAF05"/>
    <w:rsid w:val="561314D2"/>
    <w:rsid w:val="566A57D2"/>
    <w:rsid w:val="56AA3210"/>
    <w:rsid w:val="574A0BCF"/>
    <w:rsid w:val="576C3BD5"/>
    <w:rsid w:val="57A22CFD"/>
    <w:rsid w:val="587A0C9B"/>
    <w:rsid w:val="59C34C77"/>
    <w:rsid w:val="5A33FF29"/>
    <w:rsid w:val="5A629610"/>
    <w:rsid w:val="5AB31E67"/>
    <w:rsid w:val="5B7B5360"/>
    <w:rsid w:val="5BD03BC8"/>
    <w:rsid w:val="5C2DE538"/>
    <w:rsid w:val="5C76CEBB"/>
    <w:rsid w:val="5C88639F"/>
    <w:rsid w:val="5CC1E3AF"/>
    <w:rsid w:val="5D91F9B2"/>
    <w:rsid w:val="5E1C0CE7"/>
    <w:rsid w:val="5E4659AC"/>
    <w:rsid w:val="5EC66F11"/>
    <w:rsid w:val="5F960EBA"/>
    <w:rsid w:val="5FFD8822"/>
    <w:rsid w:val="60009B8A"/>
    <w:rsid w:val="612ABC90"/>
    <w:rsid w:val="61613E81"/>
    <w:rsid w:val="6189A0F4"/>
    <w:rsid w:val="62165510"/>
    <w:rsid w:val="628F6C62"/>
    <w:rsid w:val="62970A44"/>
    <w:rsid w:val="633C0B96"/>
    <w:rsid w:val="644EAF6D"/>
    <w:rsid w:val="6716E752"/>
    <w:rsid w:val="681E6832"/>
    <w:rsid w:val="68462367"/>
    <w:rsid w:val="688C620F"/>
    <w:rsid w:val="69DE11D9"/>
    <w:rsid w:val="6A8DC7E8"/>
    <w:rsid w:val="6B5E1D1E"/>
    <w:rsid w:val="6BA2EC1E"/>
    <w:rsid w:val="6BAB235C"/>
    <w:rsid w:val="6D499DC3"/>
    <w:rsid w:val="6E937BD0"/>
    <w:rsid w:val="6FAD0A23"/>
    <w:rsid w:val="7091EC2E"/>
    <w:rsid w:val="73A0F101"/>
    <w:rsid w:val="7410FA69"/>
    <w:rsid w:val="775637AC"/>
    <w:rsid w:val="77C307B6"/>
    <w:rsid w:val="78DCFEF4"/>
    <w:rsid w:val="7A8BA854"/>
    <w:rsid w:val="7A9F44E4"/>
    <w:rsid w:val="7AA01DC5"/>
    <w:rsid w:val="7BDA2E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435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8C"/>
    <w:pPr>
      <w:spacing w:after="200" w:line="276" w:lineRule="auto"/>
    </w:pPr>
    <w:rPr>
      <w:rFonts w:ascii="Calibri" w:eastAsia="Calibri" w:hAnsi="Calibri" w:cs="Times New Roman"/>
    </w:rPr>
  </w:style>
  <w:style w:type="paragraph" w:styleId="Heading1">
    <w:name w:val="heading 1"/>
    <w:basedOn w:val="Heading10"/>
    <w:next w:val="Normal"/>
    <w:link w:val="Heading1Char"/>
    <w:uiPriority w:val="9"/>
    <w:qFormat/>
    <w:rsid w:val="008C4B3C"/>
    <w:pPr>
      <w:spacing w:before="1000"/>
      <w:jc w:val="center"/>
      <w:outlineLvl w:val="0"/>
    </w:pPr>
    <w:rPr>
      <w:sz w:val="72"/>
      <w:szCs w:val="72"/>
    </w:rPr>
  </w:style>
  <w:style w:type="paragraph" w:styleId="Heading2">
    <w:name w:val="heading 2"/>
    <w:basedOn w:val="Normal"/>
    <w:next w:val="Normal"/>
    <w:link w:val="Heading2Char"/>
    <w:uiPriority w:val="9"/>
    <w:unhideWhenUsed/>
    <w:qFormat/>
    <w:rsid w:val="004C7458"/>
    <w:pPr>
      <w:keepNext/>
      <w:keepLines/>
      <w:tabs>
        <w:tab w:val="left" w:pos="1701"/>
      </w:tabs>
      <w:spacing w:before="360" w:after="120" w:line="240" w:lineRule="auto"/>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Heading2"/>
    <w:next w:val="Normal"/>
    <w:link w:val="Heading3Char"/>
    <w:uiPriority w:val="9"/>
    <w:unhideWhenUsed/>
    <w:qFormat/>
    <w:rsid w:val="00713728"/>
    <w:pPr>
      <w:tabs>
        <w:tab w:val="clear" w:pos="1701"/>
      </w:tabs>
      <w:spacing w:line="276" w:lineRule="auto"/>
      <w:outlineLvl w:val="2"/>
    </w:pPr>
    <w:rPr>
      <w:rFonts w:ascii="Calibri" w:eastAsia="MS Gothic" w:hAnsi="Calibri" w:cs="Times New Roman"/>
      <w:b/>
      <w:bCs/>
      <w:i/>
      <w:color w:val="auto"/>
      <w:sz w:val="24"/>
      <w:szCs w:val="24"/>
    </w:rPr>
  </w:style>
  <w:style w:type="paragraph" w:styleId="Heading4">
    <w:name w:val="heading 4"/>
    <w:basedOn w:val="Normal"/>
    <w:next w:val="Normal"/>
    <w:link w:val="Heading4Char"/>
    <w:uiPriority w:val="9"/>
    <w:unhideWhenUsed/>
    <w:qFormat/>
    <w:rsid w:val="00B336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next w:val="BodyText"/>
    <w:link w:val="Heading5Char"/>
    <w:uiPriority w:val="9"/>
    <w:unhideWhenUsed/>
    <w:qFormat/>
    <w:rsid w:val="0014484D"/>
    <w:pPr>
      <w:keepNext/>
      <w:keepLines/>
      <w:spacing w:before="240" w:after="0"/>
      <w:outlineLvl w:val="4"/>
    </w:pPr>
    <w:rPr>
      <w:rFonts w:asciiTheme="majorHAnsi" w:eastAsia="Times New Roman" w:hAnsiTheme="majorHAnsi" w:cs="Times New Roman"/>
      <w:b/>
      <w:lang w:eastAsia="ja-JP"/>
    </w:rPr>
  </w:style>
  <w:style w:type="paragraph" w:styleId="Heading6">
    <w:name w:val="heading 6"/>
    <w:next w:val="BodyText"/>
    <w:link w:val="Heading6Char"/>
    <w:uiPriority w:val="9"/>
    <w:unhideWhenUsed/>
    <w:qFormat/>
    <w:rsid w:val="0014484D"/>
    <w:pPr>
      <w:keepNext/>
      <w:keepLines/>
      <w:spacing w:before="200" w:after="0"/>
      <w:outlineLvl w:val="5"/>
    </w:pPr>
    <w:rPr>
      <w:rFonts w:asciiTheme="majorHAnsi" w:eastAsia="Times New Roman" w:hAnsiTheme="majorHAnsi" w:cs="Times New Roman"/>
      <w:i/>
      <w:iCs/>
      <w:color w:val="252525"/>
      <w:u w:val="single"/>
      <w:lang w:eastAsia="ja-JP"/>
    </w:rPr>
  </w:style>
  <w:style w:type="paragraph" w:styleId="Heading7">
    <w:name w:val="heading 7"/>
    <w:aliases w:val="App Lvl 1"/>
    <w:next w:val="BodyText"/>
    <w:link w:val="Heading7Char"/>
    <w:uiPriority w:val="9"/>
    <w:unhideWhenUsed/>
    <w:qFormat/>
    <w:rsid w:val="0014484D"/>
    <w:pPr>
      <w:keepNext/>
      <w:pageBreakBefore/>
      <w:pBdr>
        <w:bottom w:val="single" w:sz="4" w:space="1" w:color="auto"/>
      </w:pBdr>
      <w:spacing w:after="360" w:line="216" w:lineRule="auto"/>
      <w:outlineLvl w:val="6"/>
    </w:pPr>
    <w:rPr>
      <w:rFonts w:ascii="Calibri Light" w:eastAsia="Times New Roman" w:hAnsi="Calibri Light" w:cs="Times New Roman"/>
      <w:b/>
      <w:iCs/>
      <w:sz w:val="36"/>
      <w:lang w:eastAsia="ja-JP"/>
    </w:rPr>
  </w:style>
  <w:style w:type="paragraph" w:styleId="Heading8">
    <w:name w:val="heading 8"/>
    <w:basedOn w:val="Normal"/>
    <w:next w:val="Normal"/>
    <w:link w:val="Heading8Char"/>
    <w:uiPriority w:val="9"/>
    <w:unhideWhenUsed/>
    <w:qFormat/>
    <w:rsid w:val="00581AC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78E7"/>
    <w:rPr>
      <w:rFonts w:ascii="Times New Roman" w:hAnsi="Times New Roman" w:cs="Times New Roman" w:hint="default"/>
      <w:color w:val="0000FF"/>
      <w:u w:val="single"/>
    </w:rPr>
  </w:style>
  <w:style w:type="paragraph" w:customStyle="1" w:styleId="Heading10">
    <w:name w:val="Heading1"/>
    <w:rsid w:val="006478E7"/>
    <w:pPr>
      <w:spacing w:after="200" w:line="240" w:lineRule="auto"/>
    </w:pPr>
    <w:rPr>
      <w:rFonts w:ascii="Calibri" w:eastAsia="Calibri" w:hAnsi="Calibri" w:cs="Calibri"/>
      <w:b/>
      <w:bCs/>
      <w:color w:val="000000"/>
      <w:sz w:val="36"/>
      <w:szCs w:val="36"/>
      <w:u w:color="000000"/>
      <w:lang w:val="en-US" w:eastAsia="en-AU"/>
    </w:rPr>
  </w:style>
  <w:style w:type="character" w:customStyle="1" w:styleId="Heading2Char">
    <w:name w:val="Heading 2 Char"/>
    <w:basedOn w:val="DefaultParagraphFont"/>
    <w:link w:val="Heading2"/>
    <w:uiPriority w:val="9"/>
    <w:rsid w:val="004C7458"/>
    <w:rPr>
      <w:rFonts w:ascii="Franklin Gothic Medium" w:eastAsiaTheme="majorEastAsia" w:hAnsi="Franklin Gothic Medium" w:cstheme="majorBidi"/>
      <w:color w:val="000000" w:themeColor="text1"/>
      <w:sz w:val="32"/>
      <w:szCs w:val="26"/>
    </w:rPr>
  </w:style>
  <w:style w:type="table" w:customStyle="1" w:styleId="TableGrid1">
    <w:name w:val="Table Grid1"/>
    <w:basedOn w:val="TableNormal"/>
    <w:uiPriority w:val="59"/>
    <w:rsid w:val="006478E7"/>
    <w:pPr>
      <w:spacing w:after="240" w:line="240" w:lineRule="auto"/>
      <w:ind w:left="72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7AAF"/>
    <w:pPr>
      <w:spacing w:after="120"/>
      <w:ind w:left="720"/>
      <w:contextualSpacing/>
    </w:pPr>
  </w:style>
  <w:style w:type="table" w:styleId="TableGrid">
    <w:name w:val="Table Grid"/>
    <w:aliases w:val="Summary box,Table Gridbeth,RTI AMCP Table,new style,ASD Table,Table Grid2,HealthConsult"/>
    <w:basedOn w:val="TableNormal"/>
    <w:uiPriority w:val="59"/>
    <w:rsid w:val="002F3E40"/>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04385"/>
    <w:pPr>
      <w:keepNext/>
      <w:spacing w:before="360" w:after="120" w:line="240" w:lineRule="auto"/>
      <w:ind w:left="851" w:hanging="851"/>
    </w:pPr>
    <w:rPr>
      <w:rFonts w:ascii="Arial Narrow" w:eastAsia="Times New Roman" w:hAnsi="Arial Narrow" w:cs="Tahoma"/>
      <w:b/>
      <w:sz w:val="20"/>
      <w:szCs w:val="20"/>
      <w:lang w:val="en-GB" w:eastAsia="ja-JP"/>
    </w:rPr>
  </w:style>
  <w:style w:type="paragraph" w:customStyle="1" w:styleId="TableHeading">
    <w:name w:val="TableHeading"/>
    <w:basedOn w:val="Normal"/>
    <w:link w:val="TableHeadingChar"/>
    <w:qFormat/>
    <w:rsid w:val="000939E0"/>
    <w:pPr>
      <w:keepNext/>
      <w:spacing w:before="40" w:after="40" w:line="240" w:lineRule="auto"/>
    </w:pPr>
    <w:rPr>
      <w:rFonts w:ascii="Arial Narrow" w:eastAsia="Times New Roman" w:hAnsi="Arial Narrow" w:cs="Tahoma"/>
      <w:b/>
      <w:sz w:val="20"/>
      <w:szCs w:val="20"/>
      <w:lang w:eastAsia="en-AU"/>
    </w:rPr>
  </w:style>
  <w:style w:type="character" w:customStyle="1" w:styleId="TableHeadingChar">
    <w:name w:val="TableHeading Char"/>
    <w:link w:val="TableHeading"/>
    <w:rsid w:val="000939E0"/>
    <w:rPr>
      <w:rFonts w:ascii="Arial Narrow" w:eastAsia="Times New Roman" w:hAnsi="Arial Narrow" w:cs="Tahoma"/>
      <w:b/>
      <w:sz w:val="20"/>
      <w:szCs w:val="20"/>
      <w:lang w:eastAsia="en-AU"/>
    </w:rPr>
  </w:style>
  <w:style w:type="paragraph" w:customStyle="1" w:styleId="Tabletext">
    <w:name w:val="Table text"/>
    <w:basedOn w:val="Normal"/>
    <w:link w:val="TabletextChar"/>
    <w:qFormat/>
    <w:rsid w:val="000939E0"/>
    <w:pPr>
      <w:spacing w:before="40" w:after="40" w:line="240" w:lineRule="auto"/>
    </w:pPr>
    <w:rPr>
      <w:rFonts w:ascii="Arial Narrow" w:eastAsia="Times New Roman" w:hAnsi="Arial Narrow" w:cs="Tahoma"/>
      <w:sz w:val="20"/>
      <w:szCs w:val="20"/>
      <w:lang w:eastAsia="en-AU"/>
    </w:rPr>
  </w:style>
  <w:style w:type="character" w:customStyle="1" w:styleId="TabletextChar">
    <w:name w:val="Table text Char"/>
    <w:link w:val="Tabletext"/>
    <w:rsid w:val="000939E0"/>
    <w:rPr>
      <w:rFonts w:ascii="Arial Narrow" w:eastAsia="Times New Roman" w:hAnsi="Arial Narrow" w:cs="Tahoma"/>
      <w:sz w:val="20"/>
      <w:szCs w:val="20"/>
      <w:lang w:eastAsia="en-AU"/>
    </w:rPr>
  </w:style>
  <w:style w:type="paragraph" w:customStyle="1" w:styleId="Tablenotes">
    <w:name w:val="Tablenotes"/>
    <w:basedOn w:val="Normal"/>
    <w:link w:val="TablenotesChar"/>
    <w:qFormat/>
    <w:rsid w:val="00045B39"/>
    <w:pPr>
      <w:widowControl w:val="0"/>
      <w:spacing w:after="120" w:line="240" w:lineRule="auto"/>
      <w:contextualSpacing/>
    </w:pPr>
    <w:rPr>
      <w:rFonts w:ascii="Arial Narrow" w:eastAsia="Times New Roman" w:hAnsi="Arial Narrow" w:cs="Arial"/>
      <w:snapToGrid w:val="0"/>
      <w:sz w:val="18"/>
      <w:szCs w:val="20"/>
    </w:rPr>
  </w:style>
  <w:style w:type="character" w:customStyle="1" w:styleId="TablenotesChar">
    <w:name w:val="Tablenotes Char"/>
    <w:basedOn w:val="DefaultParagraphFont"/>
    <w:link w:val="Tablenotes"/>
    <w:rsid w:val="00045B39"/>
    <w:rPr>
      <w:rFonts w:ascii="Arial Narrow" w:eastAsia="Times New Roman" w:hAnsi="Arial Narrow" w:cs="Arial"/>
      <w:snapToGrid w:val="0"/>
      <w:sz w:val="18"/>
      <w:szCs w:val="20"/>
    </w:rPr>
  </w:style>
  <w:style w:type="paragraph" w:customStyle="1" w:styleId="TableName">
    <w:name w:val="TableName"/>
    <w:basedOn w:val="Normal"/>
    <w:qFormat/>
    <w:rsid w:val="00891488"/>
    <w:pPr>
      <w:keepNext/>
      <w:spacing w:after="240" w:line="240" w:lineRule="auto"/>
      <w:ind w:left="1134" w:hanging="1134"/>
    </w:pPr>
    <w:rPr>
      <w:rFonts w:ascii="Franklin Gothic Medium" w:eastAsiaTheme="minorHAnsi" w:hAnsi="Franklin Gothic Medium" w:cstheme="minorBidi"/>
    </w:rPr>
  </w:style>
  <w:style w:type="character" w:customStyle="1" w:styleId="ListParagraphChar">
    <w:name w:val="List Paragraph Char"/>
    <w:basedOn w:val="DefaultParagraphFont"/>
    <w:link w:val="ListParagraph"/>
    <w:uiPriority w:val="34"/>
    <w:rsid w:val="00447AAF"/>
    <w:rPr>
      <w:rFonts w:ascii="Calibri" w:eastAsia="Calibri" w:hAnsi="Calibri" w:cs="Times New Roman"/>
    </w:rPr>
  </w:style>
  <w:style w:type="paragraph" w:styleId="Header">
    <w:name w:val="header"/>
    <w:basedOn w:val="Normal"/>
    <w:link w:val="HeaderChar"/>
    <w:uiPriority w:val="99"/>
    <w:unhideWhenUsed/>
    <w:rsid w:val="00163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315C"/>
    <w:rPr>
      <w:rFonts w:ascii="Calibri" w:eastAsia="Calibri" w:hAnsi="Calibri" w:cs="Times New Roman"/>
    </w:rPr>
  </w:style>
  <w:style w:type="paragraph" w:styleId="Footer">
    <w:name w:val="footer"/>
    <w:basedOn w:val="Normal"/>
    <w:link w:val="FooterChar"/>
    <w:uiPriority w:val="99"/>
    <w:unhideWhenUsed/>
    <w:rsid w:val="00163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315C"/>
    <w:rPr>
      <w:rFonts w:ascii="Calibri" w:eastAsia="Calibri" w:hAnsi="Calibri" w:cs="Times New Roman"/>
    </w:rPr>
  </w:style>
  <w:style w:type="paragraph" w:styleId="Subtitle">
    <w:name w:val="Subtitle"/>
    <w:basedOn w:val="Normal"/>
    <w:next w:val="Normal"/>
    <w:link w:val="SubtitleChar"/>
    <w:uiPriority w:val="11"/>
    <w:qFormat/>
    <w:rsid w:val="006F01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6F01C4"/>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A331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126"/>
    <w:rPr>
      <w:rFonts w:ascii="Segoe UI" w:eastAsia="Calibri" w:hAnsi="Segoe UI" w:cs="Segoe UI"/>
      <w:sz w:val="18"/>
      <w:szCs w:val="18"/>
    </w:rPr>
  </w:style>
  <w:style w:type="character" w:styleId="CommentReference">
    <w:name w:val="annotation reference"/>
    <w:aliases w:val="Table Title"/>
    <w:basedOn w:val="DefaultParagraphFont"/>
    <w:uiPriority w:val="99"/>
    <w:unhideWhenUsed/>
    <w:qFormat/>
    <w:rsid w:val="00D84E12"/>
    <w:rPr>
      <w:sz w:val="16"/>
      <w:szCs w:val="16"/>
    </w:rPr>
  </w:style>
  <w:style w:type="paragraph" w:styleId="CommentText">
    <w:name w:val="annotation text"/>
    <w:basedOn w:val="Normal"/>
    <w:link w:val="CommentTextChar"/>
    <w:uiPriority w:val="99"/>
    <w:unhideWhenUsed/>
    <w:rsid w:val="00D84E12"/>
    <w:pPr>
      <w:spacing w:line="240" w:lineRule="auto"/>
    </w:pPr>
    <w:rPr>
      <w:sz w:val="20"/>
      <w:szCs w:val="20"/>
    </w:rPr>
  </w:style>
  <w:style w:type="character" w:customStyle="1" w:styleId="CommentTextChar">
    <w:name w:val="Comment Text Char"/>
    <w:basedOn w:val="DefaultParagraphFont"/>
    <w:link w:val="CommentText"/>
    <w:uiPriority w:val="99"/>
    <w:rsid w:val="00D84E1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84E12"/>
    <w:rPr>
      <w:b/>
      <w:bCs/>
    </w:rPr>
  </w:style>
  <w:style w:type="character" w:customStyle="1" w:styleId="CommentSubjectChar">
    <w:name w:val="Comment Subject Char"/>
    <w:basedOn w:val="CommentTextChar"/>
    <w:link w:val="CommentSubject"/>
    <w:uiPriority w:val="99"/>
    <w:semiHidden/>
    <w:rsid w:val="00D84E12"/>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8C4B3C"/>
    <w:rPr>
      <w:color w:val="954F72" w:themeColor="followedHyperlink"/>
      <w:u w:val="single"/>
    </w:rPr>
  </w:style>
  <w:style w:type="character" w:customStyle="1" w:styleId="Heading1Char">
    <w:name w:val="Heading 1 Char"/>
    <w:basedOn w:val="DefaultParagraphFont"/>
    <w:link w:val="Heading1"/>
    <w:uiPriority w:val="9"/>
    <w:rsid w:val="008C4B3C"/>
    <w:rPr>
      <w:rFonts w:ascii="Calibri" w:eastAsia="Calibri" w:hAnsi="Calibri" w:cs="Calibri"/>
      <w:b/>
      <w:bCs/>
      <w:color w:val="000000"/>
      <w:sz w:val="72"/>
      <w:szCs w:val="72"/>
      <w:u w:color="000000"/>
      <w:lang w:val="en-US" w:eastAsia="en-AU"/>
    </w:rPr>
  </w:style>
  <w:style w:type="paragraph" w:customStyle="1" w:styleId="Instructionaltext">
    <w:name w:val="Instructional text"/>
    <w:basedOn w:val="Normal"/>
    <w:link w:val="InstructionaltextChar"/>
    <w:qFormat/>
    <w:rsid w:val="006A467F"/>
    <w:pPr>
      <w:spacing w:before="120" w:after="160" w:line="259" w:lineRule="auto"/>
    </w:pPr>
    <w:rPr>
      <w:rFonts w:eastAsiaTheme="minorHAnsi" w:cstheme="minorBidi"/>
      <w:color w:val="258221"/>
    </w:rPr>
  </w:style>
  <w:style w:type="character" w:customStyle="1" w:styleId="InstructionaltextChar">
    <w:name w:val="Instructional text Char"/>
    <w:basedOn w:val="DefaultParagraphFont"/>
    <w:link w:val="Instructionaltext"/>
    <w:rsid w:val="006A467F"/>
    <w:rPr>
      <w:rFonts w:ascii="Calibri" w:hAnsi="Calibri"/>
      <w:color w:val="258221"/>
    </w:rPr>
  </w:style>
  <w:style w:type="character" w:customStyle="1" w:styleId="Heading3Char">
    <w:name w:val="Heading 3 Char"/>
    <w:basedOn w:val="DefaultParagraphFont"/>
    <w:link w:val="Heading3"/>
    <w:uiPriority w:val="9"/>
    <w:rsid w:val="00713728"/>
    <w:rPr>
      <w:rFonts w:ascii="Calibri" w:eastAsia="MS Gothic" w:hAnsi="Calibri" w:cs="Times New Roman"/>
      <w:b/>
      <w:bCs/>
      <w:i/>
      <w:sz w:val="24"/>
      <w:szCs w:val="24"/>
    </w:rPr>
  </w:style>
  <w:style w:type="paragraph" w:customStyle="1" w:styleId="Instructionaltext-bullet">
    <w:name w:val="Instructional text - bullet"/>
    <w:basedOn w:val="Instructionaltext"/>
    <w:qFormat/>
    <w:rsid w:val="006A467F"/>
    <w:pPr>
      <w:numPr>
        <w:numId w:val="2"/>
      </w:numPr>
      <w:spacing w:before="0" w:after="0"/>
    </w:pPr>
  </w:style>
  <w:style w:type="paragraph" w:customStyle="1" w:styleId="Guidelinescross-ref">
    <w:name w:val="Guidelines cross-ref"/>
    <w:basedOn w:val="Normal"/>
    <w:qFormat/>
    <w:rsid w:val="00E01349"/>
    <w:pPr>
      <w:keepNext/>
      <w:spacing w:before="240" w:after="240" w:line="259" w:lineRule="auto"/>
    </w:pPr>
    <w:rPr>
      <w:rFonts w:eastAsiaTheme="minorHAnsi" w:cstheme="minorBidi"/>
      <w:b/>
      <w:color w:val="0070C0"/>
      <w:sz w:val="24"/>
    </w:rPr>
  </w:style>
  <w:style w:type="paragraph" w:customStyle="1" w:styleId="Instructionaltext-afterfiguretable">
    <w:name w:val="Instructional text - after figure/table"/>
    <w:basedOn w:val="Instructionaltext"/>
    <w:qFormat/>
    <w:rsid w:val="00E01349"/>
    <w:pPr>
      <w:spacing w:before="360"/>
    </w:pPr>
  </w:style>
  <w:style w:type="paragraph" w:styleId="Revision">
    <w:name w:val="Revision"/>
    <w:hidden/>
    <w:uiPriority w:val="99"/>
    <w:semiHidden/>
    <w:rsid w:val="004E3ABF"/>
    <w:pPr>
      <w:spacing w:after="0" w:line="240" w:lineRule="auto"/>
    </w:pPr>
    <w:rPr>
      <w:rFonts w:ascii="Calibri" w:eastAsia="Calibri" w:hAnsi="Calibri" w:cs="Times New Roman"/>
    </w:rPr>
  </w:style>
  <w:style w:type="paragraph" w:customStyle="1" w:styleId="TableText0">
    <w:name w:val="Table Text"/>
    <w:basedOn w:val="Normal"/>
    <w:link w:val="TableTextChar0"/>
    <w:qFormat/>
    <w:rsid w:val="00B61691"/>
    <w:pPr>
      <w:spacing w:before="40" w:after="40" w:line="240" w:lineRule="auto"/>
    </w:pPr>
    <w:rPr>
      <w:rFonts w:ascii="Arial Narrow" w:eastAsiaTheme="minorHAnsi" w:hAnsi="Arial Narrow" w:cstheme="minorBidi"/>
      <w:sz w:val="20"/>
    </w:rPr>
  </w:style>
  <w:style w:type="character" w:customStyle="1" w:styleId="TableTextChar0">
    <w:name w:val="Table Text Char"/>
    <w:basedOn w:val="DefaultParagraphFont"/>
    <w:link w:val="TableText0"/>
    <w:rsid w:val="00B61691"/>
    <w:rPr>
      <w:rFonts w:ascii="Arial Narrow" w:hAnsi="Arial Narrow"/>
      <w:sz w:val="20"/>
    </w:rPr>
  </w:style>
  <w:style w:type="character" w:styleId="PageNumber">
    <w:name w:val="page number"/>
    <w:basedOn w:val="DefaultParagraphFont"/>
    <w:uiPriority w:val="99"/>
    <w:semiHidden/>
    <w:unhideWhenUsed/>
    <w:rsid w:val="00685355"/>
  </w:style>
  <w:style w:type="character" w:styleId="UnresolvedMention">
    <w:name w:val="Unresolved Mention"/>
    <w:basedOn w:val="DefaultParagraphFont"/>
    <w:uiPriority w:val="99"/>
    <w:unhideWhenUsed/>
    <w:rsid w:val="00BB0FFB"/>
    <w:rPr>
      <w:color w:val="605E5C"/>
      <w:shd w:val="clear" w:color="auto" w:fill="E1DFDD"/>
    </w:rPr>
  </w:style>
  <w:style w:type="table" w:customStyle="1" w:styleId="TableGrid11">
    <w:name w:val="Table Grid11"/>
    <w:basedOn w:val="TableNormal"/>
    <w:uiPriority w:val="59"/>
    <w:rsid w:val="00E03083"/>
    <w:pPr>
      <w:spacing w:after="240" w:line="240" w:lineRule="auto"/>
      <w:ind w:left="720" w:hanging="360"/>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07730"/>
    <w:rPr>
      <w:color w:val="2B579A"/>
      <w:shd w:val="clear" w:color="auto" w:fill="E1DFDD"/>
    </w:rPr>
  </w:style>
  <w:style w:type="paragraph" w:customStyle="1" w:styleId="TableTextbullet">
    <w:name w:val="Table Text bullet"/>
    <w:basedOn w:val="TableText0"/>
    <w:qFormat/>
    <w:rsid w:val="00D248BC"/>
    <w:pPr>
      <w:numPr>
        <w:numId w:val="4"/>
      </w:numPr>
    </w:pPr>
  </w:style>
  <w:style w:type="paragraph" w:customStyle="1" w:styleId="TableTextbullet2ndlevel">
    <w:name w:val="Table Text bullet 2nd level"/>
    <w:basedOn w:val="TableTextbullet"/>
    <w:qFormat/>
    <w:rsid w:val="00827696"/>
    <w:pPr>
      <w:numPr>
        <w:ilvl w:val="1"/>
      </w:numPr>
    </w:pPr>
  </w:style>
  <w:style w:type="character" w:customStyle="1" w:styleId="normaltextrun">
    <w:name w:val="normaltextrun"/>
    <w:basedOn w:val="DefaultParagraphFont"/>
    <w:rsid w:val="009C21B0"/>
  </w:style>
  <w:style w:type="paragraph" w:customStyle="1" w:styleId="paragraph">
    <w:name w:val="paragraph"/>
    <w:basedOn w:val="Normal"/>
    <w:rsid w:val="00852924"/>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PICOtablemanualnumbers">
    <w:name w:val="PICO table manual numbers"/>
    <w:basedOn w:val="TableText0"/>
    <w:qFormat/>
    <w:rsid w:val="00212F15"/>
    <w:pPr>
      <w:spacing w:before="120"/>
      <w:ind w:left="567" w:hanging="340"/>
    </w:pPr>
  </w:style>
  <w:style w:type="character" w:customStyle="1" w:styleId="Heading4Char">
    <w:name w:val="Heading 4 Char"/>
    <w:basedOn w:val="DefaultParagraphFont"/>
    <w:link w:val="Heading4"/>
    <w:uiPriority w:val="9"/>
    <w:rsid w:val="00B3360B"/>
    <w:rPr>
      <w:rFonts w:asciiTheme="majorHAnsi" w:eastAsiaTheme="majorEastAsia" w:hAnsiTheme="majorHAnsi" w:cstheme="majorBidi"/>
      <w:i/>
      <w:iCs/>
      <w:color w:val="2E74B5" w:themeColor="accent1" w:themeShade="BF"/>
    </w:rPr>
  </w:style>
  <w:style w:type="paragraph" w:customStyle="1" w:styleId="011TableHeading9pt">
    <w:name w:val="01.1 Table Heading [9pt]"/>
    <w:qFormat/>
    <w:rsid w:val="00405A11"/>
    <w:pPr>
      <w:spacing w:before="80" w:after="40"/>
    </w:pPr>
    <w:rPr>
      <w:rFonts w:ascii="Calibri" w:eastAsia="Times New Roman" w:hAnsi="Calibri" w:cs="Times New Roman"/>
      <w:b/>
      <w:sz w:val="18"/>
      <w:lang w:eastAsia="ja-JP"/>
    </w:rPr>
  </w:style>
  <w:style w:type="paragraph" w:customStyle="1" w:styleId="051Tabletext229pt">
    <w:name w:val="05.1 Table text 2:2 [9pt]"/>
    <w:link w:val="051Tabletext229ptChar"/>
    <w:qFormat/>
    <w:rsid w:val="00405A11"/>
    <w:pPr>
      <w:spacing w:before="40" w:after="40" w:line="240" w:lineRule="auto"/>
    </w:pPr>
    <w:rPr>
      <w:rFonts w:ascii="Calibri" w:eastAsia="Times New Roman" w:hAnsi="Calibri" w:cs="Times New Roman"/>
      <w:sz w:val="18"/>
      <w:lang w:eastAsia="ja-JP"/>
    </w:rPr>
  </w:style>
  <w:style w:type="character" w:customStyle="1" w:styleId="051Tabletext229ptChar">
    <w:name w:val="05.1 Table text 2:2 [9pt] Char"/>
    <w:link w:val="051Tabletext229pt"/>
    <w:rsid w:val="00405A11"/>
    <w:rPr>
      <w:rFonts w:ascii="Calibri" w:eastAsia="Times New Roman" w:hAnsi="Calibri" w:cs="Times New Roman"/>
      <w:sz w:val="18"/>
      <w:lang w:eastAsia="ja-JP"/>
    </w:rPr>
  </w:style>
  <w:style w:type="paragraph" w:customStyle="1" w:styleId="031Tablesubheading9pt">
    <w:name w:val="03.1 Table subheading [9pt]"/>
    <w:qFormat/>
    <w:rsid w:val="00405A11"/>
    <w:pPr>
      <w:keepNext/>
      <w:spacing w:before="40" w:after="40"/>
    </w:pPr>
    <w:rPr>
      <w:rFonts w:ascii="Calibri" w:eastAsia="Times New Roman" w:hAnsi="Calibri" w:cs="Times New Roman"/>
      <w:b/>
      <w:sz w:val="18"/>
      <w:lang w:eastAsia="ja-JP"/>
    </w:rPr>
  </w:style>
  <w:style w:type="character" w:customStyle="1" w:styleId="Heading5Char">
    <w:name w:val="Heading 5 Char"/>
    <w:basedOn w:val="DefaultParagraphFont"/>
    <w:link w:val="Heading5"/>
    <w:uiPriority w:val="9"/>
    <w:rsid w:val="0014484D"/>
    <w:rPr>
      <w:rFonts w:asciiTheme="majorHAnsi" w:eastAsia="Times New Roman" w:hAnsiTheme="majorHAnsi" w:cs="Times New Roman"/>
      <w:b/>
      <w:lang w:eastAsia="ja-JP"/>
    </w:rPr>
  </w:style>
  <w:style w:type="character" w:customStyle="1" w:styleId="Heading6Char">
    <w:name w:val="Heading 6 Char"/>
    <w:basedOn w:val="DefaultParagraphFont"/>
    <w:link w:val="Heading6"/>
    <w:uiPriority w:val="9"/>
    <w:rsid w:val="0014484D"/>
    <w:rPr>
      <w:rFonts w:asciiTheme="majorHAnsi" w:eastAsia="Times New Roman" w:hAnsiTheme="majorHAnsi" w:cs="Times New Roman"/>
      <w:i/>
      <w:iCs/>
      <w:color w:val="252525"/>
      <w:u w:val="single"/>
      <w:lang w:eastAsia="ja-JP"/>
    </w:rPr>
  </w:style>
  <w:style w:type="character" w:customStyle="1" w:styleId="Heading7Char">
    <w:name w:val="Heading 7 Char"/>
    <w:aliases w:val="App Lvl 1 Char"/>
    <w:basedOn w:val="DefaultParagraphFont"/>
    <w:link w:val="Heading7"/>
    <w:uiPriority w:val="9"/>
    <w:rsid w:val="0014484D"/>
    <w:rPr>
      <w:rFonts w:ascii="Calibri Light" w:eastAsia="Times New Roman" w:hAnsi="Calibri Light" w:cs="Times New Roman"/>
      <w:b/>
      <w:iCs/>
      <w:sz w:val="36"/>
      <w:lang w:eastAsia="ja-JP"/>
    </w:rPr>
  </w:style>
  <w:style w:type="numbering" w:customStyle="1" w:styleId="Headings">
    <w:name w:val="Headings"/>
    <w:uiPriority w:val="99"/>
    <w:rsid w:val="0014484D"/>
    <w:pPr>
      <w:numPr>
        <w:numId w:val="10"/>
      </w:numPr>
    </w:pPr>
  </w:style>
  <w:style w:type="paragraph" w:customStyle="1" w:styleId="ExecSumHeading1">
    <w:name w:val="Exec Sum Heading 1"/>
    <w:next w:val="BodyText"/>
    <w:qFormat/>
    <w:rsid w:val="0014484D"/>
    <w:pPr>
      <w:pageBreakBefore/>
      <w:pBdr>
        <w:bottom w:val="single" w:sz="4" w:space="1" w:color="auto"/>
      </w:pBdr>
      <w:spacing w:before="360" w:after="360" w:line="216" w:lineRule="auto"/>
      <w:outlineLvl w:val="0"/>
    </w:pPr>
    <w:rPr>
      <w:rFonts w:asciiTheme="majorHAnsi" w:eastAsia="Times New Roman" w:hAnsiTheme="majorHAnsi" w:cstheme="majorHAnsi"/>
      <w:b/>
      <w:sz w:val="44"/>
      <w:szCs w:val="44"/>
      <w:lang w:eastAsia="ja-JP"/>
    </w:rPr>
  </w:style>
  <w:style w:type="paragraph" w:styleId="BodyText">
    <w:name w:val="Body Text"/>
    <w:basedOn w:val="Normal"/>
    <w:link w:val="BodyTextChar"/>
    <w:uiPriority w:val="99"/>
    <w:semiHidden/>
    <w:unhideWhenUsed/>
    <w:rsid w:val="0014484D"/>
    <w:pPr>
      <w:spacing w:after="120"/>
    </w:pPr>
  </w:style>
  <w:style w:type="character" w:customStyle="1" w:styleId="BodyTextChar">
    <w:name w:val="Body Text Char"/>
    <w:basedOn w:val="DefaultParagraphFont"/>
    <w:link w:val="BodyText"/>
    <w:uiPriority w:val="99"/>
    <w:semiHidden/>
    <w:rsid w:val="0014484D"/>
    <w:rPr>
      <w:rFonts w:ascii="Calibri" w:eastAsia="Calibri" w:hAnsi="Calibri" w:cs="Times New Roman"/>
    </w:rPr>
  </w:style>
  <w:style w:type="paragraph" w:styleId="FootnoteText">
    <w:name w:val="footnote text"/>
    <w:basedOn w:val="Normal"/>
    <w:link w:val="FootnoteTextChar"/>
    <w:uiPriority w:val="99"/>
    <w:semiHidden/>
    <w:unhideWhenUsed/>
    <w:rsid w:val="00304A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4A39"/>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304A39"/>
    <w:rPr>
      <w:vertAlign w:val="superscript"/>
    </w:rPr>
  </w:style>
  <w:style w:type="character" w:customStyle="1" w:styleId="Heading8Char">
    <w:name w:val="Heading 8 Char"/>
    <w:basedOn w:val="DefaultParagraphFont"/>
    <w:link w:val="Heading8"/>
    <w:uiPriority w:val="9"/>
    <w:rsid w:val="00581AC3"/>
    <w:rPr>
      <w:rFonts w:asciiTheme="majorHAnsi" w:eastAsiaTheme="majorEastAsia" w:hAnsiTheme="majorHAnsi" w:cstheme="majorBidi"/>
      <w:color w:val="272727" w:themeColor="text1" w:themeTint="D8"/>
      <w:sz w:val="21"/>
      <w:szCs w:val="21"/>
    </w:rPr>
  </w:style>
  <w:style w:type="paragraph" w:styleId="NoSpacing">
    <w:name w:val="No Spacing"/>
    <w:uiPriority w:val="1"/>
    <w:qFormat/>
    <w:rsid w:val="007C475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0520">
      <w:bodyDiv w:val="1"/>
      <w:marLeft w:val="0"/>
      <w:marRight w:val="0"/>
      <w:marTop w:val="0"/>
      <w:marBottom w:val="0"/>
      <w:divBdr>
        <w:top w:val="none" w:sz="0" w:space="0" w:color="auto"/>
        <w:left w:val="none" w:sz="0" w:space="0" w:color="auto"/>
        <w:bottom w:val="none" w:sz="0" w:space="0" w:color="auto"/>
        <w:right w:val="none" w:sz="0" w:space="0" w:color="auto"/>
      </w:divBdr>
    </w:div>
    <w:div w:id="116920213">
      <w:bodyDiv w:val="1"/>
      <w:marLeft w:val="0"/>
      <w:marRight w:val="0"/>
      <w:marTop w:val="0"/>
      <w:marBottom w:val="0"/>
      <w:divBdr>
        <w:top w:val="none" w:sz="0" w:space="0" w:color="auto"/>
        <w:left w:val="none" w:sz="0" w:space="0" w:color="auto"/>
        <w:bottom w:val="none" w:sz="0" w:space="0" w:color="auto"/>
        <w:right w:val="none" w:sz="0" w:space="0" w:color="auto"/>
      </w:divBdr>
    </w:div>
    <w:div w:id="149365688">
      <w:bodyDiv w:val="1"/>
      <w:marLeft w:val="0"/>
      <w:marRight w:val="0"/>
      <w:marTop w:val="0"/>
      <w:marBottom w:val="0"/>
      <w:divBdr>
        <w:top w:val="none" w:sz="0" w:space="0" w:color="auto"/>
        <w:left w:val="none" w:sz="0" w:space="0" w:color="auto"/>
        <w:bottom w:val="none" w:sz="0" w:space="0" w:color="auto"/>
        <w:right w:val="none" w:sz="0" w:space="0" w:color="auto"/>
      </w:divBdr>
      <w:divsChild>
        <w:div w:id="330565993">
          <w:marLeft w:val="0"/>
          <w:marRight w:val="0"/>
          <w:marTop w:val="0"/>
          <w:marBottom w:val="0"/>
          <w:divBdr>
            <w:top w:val="none" w:sz="0" w:space="0" w:color="auto"/>
            <w:left w:val="none" w:sz="0" w:space="0" w:color="auto"/>
            <w:bottom w:val="none" w:sz="0" w:space="0" w:color="auto"/>
            <w:right w:val="none" w:sz="0" w:space="0" w:color="auto"/>
          </w:divBdr>
        </w:div>
      </w:divsChild>
    </w:div>
    <w:div w:id="206188071">
      <w:bodyDiv w:val="1"/>
      <w:marLeft w:val="0"/>
      <w:marRight w:val="0"/>
      <w:marTop w:val="0"/>
      <w:marBottom w:val="0"/>
      <w:divBdr>
        <w:top w:val="none" w:sz="0" w:space="0" w:color="auto"/>
        <w:left w:val="none" w:sz="0" w:space="0" w:color="auto"/>
        <w:bottom w:val="none" w:sz="0" w:space="0" w:color="auto"/>
        <w:right w:val="none" w:sz="0" w:space="0" w:color="auto"/>
      </w:divBdr>
      <w:divsChild>
        <w:div w:id="2087993579">
          <w:marLeft w:val="0"/>
          <w:marRight w:val="0"/>
          <w:marTop w:val="0"/>
          <w:marBottom w:val="0"/>
          <w:divBdr>
            <w:top w:val="none" w:sz="0" w:space="0" w:color="auto"/>
            <w:left w:val="none" w:sz="0" w:space="0" w:color="auto"/>
            <w:bottom w:val="none" w:sz="0" w:space="0" w:color="auto"/>
            <w:right w:val="none" w:sz="0" w:space="0" w:color="auto"/>
          </w:divBdr>
        </w:div>
      </w:divsChild>
    </w:div>
    <w:div w:id="378169523">
      <w:bodyDiv w:val="1"/>
      <w:marLeft w:val="0"/>
      <w:marRight w:val="0"/>
      <w:marTop w:val="0"/>
      <w:marBottom w:val="0"/>
      <w:divBdr>
        <w:top w:val="none" w:sz="0" w:space="0" w:color="auto"/>
        <w:left w:val="none" w:sz="0" w:space="0" w:color="auto"/>
        <w:bottom w:val="none" w:sz="0" w:space="0" w:color="auto"/>
        <w:right w:val="none" w:sz="0" w:space="0" w:color="auto"/>
      </w:divBdr>
    </w:div>
    <w:div w:id="378363200">
      <w:bodyDiv w:val="1"/>
      <w:marLeft w:val="0"/>
      <w:marRight w:val="0"/>
      <w:marTop w:val="0"/>
      <w:marBottom w:val="0"/>
      <w:divBdr>
        <w:top w:val="none" w:sz="0" w:space="0" w:color="auto"/>
        <w:left w:val="none" w:sz="0" w:space="0" w:color="auto"/>
        <w:bottom w:val="none" w:sz="0" w:space="0" w:color="auto"/>
        <w:right w:val="none" w:sz="0" w:space="0" w:color="auto"/>
      </w:divBdr>
    </w:div>
    <w:div w:id="402030214">
      <w:bodyDiv w:val="1"/>
      <w:marLeft w:val="0"/>
      <w:marRight w:val="0"/>
      <w:marTop w:val="0"/>
      <w:marBottom w:val="0"/>
      <w:divBdr>
        <w:top w:val="none" w:sz="0" w:space="0" w:color="auto"/>
        <w:left w:val="none" w:sz="0" w:space="0" w:color="auto"/>
        <w:bottom w:val="none" w:sz="0" w:space="0" w:color="auto"/>
        <w:right w:val="none" w:sz="0" w:space="0" w:color="auto"/>
      </w:divBdr>
    </w:div>
    <w:div w:id="466509475">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6">
          <w:marLeft w:val="0"/>
          <w:marRight w:val="0"/>
          <w:marTop w:val="0"/>
          <w:marBottom w:val="0"/>
          <w:divBdr>
            <w:top w:val="none" w:sz="0" w:space="0" w:color="auto"/>
            <w:left w:val="none" w:sz="0" w:space="0" w:color="auto"/>
            <w:bottom w:val="none" w:sz="0" w:space="0" w:color="auto"/>
            <w:right w:val="none" w:sz="0" w:space="0" w:color="auto"/>
          </w:divBdr>
        </w:div>
      </w:divsChild>
    </w:div>
    <w:div w:id="487601969">
      <w:bodyDiv w:val="1"/>
      <w:marLeft w:val="0"/>
      <w:marRight w:val="0"/>
      <w:marTop w:val="0"/>
      <w:marBottom w:val="0"/>
      <w:divBdr>
        <w:top w:val="none" w:sz="0" w:space="0" w:color="auto"/>
        <w:left w:val="none" w:sz="0" w:space="0" w:color="auto"/>
        <w:bottom w:val="none" w:sz="0" w:space="0" w:color="auto"/>
        <w:right w:val="none" w:sz="0" w:space="0" w:color="auto"/>
      </w:divBdr>
    </w:div>
    <w:div w:id="510267069">
      <w:bodyDiv w:val="1"/>
      <w:marLeft w:val="0"/>
      <w:marRight w:val="0"/>
      <w:marTop w:val="0"/>
      <w:marBottom w:val="0"/>
      <w:divBdr>
        <w:top w:val="none" w:sz="0" w:space="0" w:color="auto"/>
        <w:left w:val="none" w:sz="0" w:space="0" w:color="auto"/>
        <w:bottom w:val="none" w:sz="0" w:space="0" w:color="auto"/>
        <w:right w:val="none" w:sz="0" w:space="0" w:color="auto"/>
      </w:divBdr>
    </w:div>
    <w:div w:id="557087695">
      <w:bodyDiv w:val="1"/>
      <w:marLeft w:val="0"/>
      <w:marRight w:val="0"/>
      <w:marTop w:val="0"/>
      <w:marBottom w:val="0"/>
      <w:divBdr>
        <w:top w:val="none" w:sz="0" w:space="0" w:color="auto"/>
        <w:left w:val="none" w:sz="0" w:space="0" w:color="auto"/>
        <w:bottom w:val="none" w:sz="0" w:space="0" w:color="auto"/>
        <w:right w:val="none" w:sz="0" w:space="0" w:color="auto"/>
      </w:divBdr>
    </w:div>
    <w:div w:id="619263381">
      <w:bodyDiv w:val="1"/>
      <w:marLeft w:val="0"/>
      <w:marRight w:val="0"/>
      <w:marTop w:val="0"/>
      <w:marBottom w:val="0"/>
      <w:divBdr>
        <w:top w:val="none" w:sz="0" w:space="0" w:color="auto"/>
        <w:left w:val="none" w:sz="0" w:space="0" w:color="auto"/>
        <w:bottom w:val="none" w:sz="0" w:space="0" w:color="auto"/>
        <w:right w:val="none" w:sz="0" w:space="0" w:color="auto"/>
      </w:divBdr>
    </w:div>
    <w:div w:id="669259985">
      <w:bodyDiv w:val="1"/>
      <w:marLeft w:val="0"/>
      <w:marRight w:val="0"/>
      <w:marTop w:val="0"/>
      <w:marBottom w:val="0"/>
      <w:divBdr>
        <w:top w:val="none" w:sz="0" w:space="0" w:color="auto"/>
        <w:left w:val="none" w:sz="0" w:space="0" w:color="auto"/>
        <w:bottom w:val="none" w:sz="0" w:space="0" w:color="auto"/>
        <w:right w:val="none" w:sz="0" w:space="0" w:color="auto"/>
      </w:divBdr>
    </w:div>
    <w:div w:id="688532201">
      <w:bodyDiv w:val="1"/>
      <w:marLeft w:val="0"/>
      <w:marRight w:val="0"/>
      <w:marTop w:val="0"/>
      <w:marBottom w:val="0"/>
      <w:divBdr>
        <w:top w:val="none" w:sz="0" w:space="0" w:color="auto"/>
        <w:left w:val="none" w:sz="0" w:space="0" w:color="auto"/>
        <w:bottom w:val="none" w:sz="0" w:space="0" w:color="auto"/>
        <w:right w:val="none" w:sz="0" w:space="0" w:color="auto"/>
      </w:divBdr>
    </w:div>
    <w:div w:id="835610499">
      <w:bodyDiv w:val="1"/>
      <w:marLeft w:val="0"/>
      <w:marRight w:val="0"/>
      <w:marTop w:val="0"/>
      <w:marBottom w:val="0"/>
      <w:divBdr>
        <w:top w:val="none" w:sz="0" w:space="0" w:color="auto"/>
        <w:left w:val="none" w:sz="0" w:space="0" w:color="auto"/>
        <w:bottom w:val="none" w:sz="0" w:space="0" w:color="auto"/>
        <w:right w:val="none" w:sz="0" w:space="0" w:color="auto"/>
      </w:divBdr>
    </w:div>
    <w:div w:id="917834863">
      <w:bodyDiv w:val="1"/>
      <w:marLeft w:val="0"/>
      <w:marRight w:val="0"/>
      <w:marTop w:val="0"/>
      <w:marBottom w:val="0"/>
      <w:divBdr>
        <w:top w:val="none" w:sz="0" w:space="0" w:color="auto"/>
        <w:left w:val="none" w:sz="0" w:space="0" w:color="auto"/>
        <w:bottom w:val="none" w:sz="0" w:space="0" w:color="auto"/>
        <w:right w:val="none" w:sz="0" w:space="0" w:color="auto"/>
      </w:divBdr>
    </w:div>
    <w:div w:id="919093982">
      <w:bodyDiv w:val="1"/>
      <w:marLeft w:val="0"/>
      <w:marRight w:val="0"/>
      <w:marTop w:val="0"/>
      <w:marBottom w:val="0"/>
      <w:divBdr>
        <w:top w:val="none" w:sz="0" w:space="0" w:color="auto"/>
        <w:left w:val="none" w:sz="0" w:space="0" w:color="auto"/>
        <w:bottom w:val="none" w:sz="0" w:space="0" w:color="auto"/>
        <w:right w:val="none" w:sz="0" w:space="0" w:color="auto"/>
      </w:divBdr>
      <w:divsChild>
        <w:div w:id="280654921">
          <w:marLeft w:val="0"/>
          <w:marRight w:val="0"/>
          <w:marTop w:val="0"/>
          <w:marBottom w:val="0"/>
          <w:divBdr>
            <w:top w:val="none" w:sz="0" w:space="0" w:color="auto"/>
            <w:left w:val="none" w:sz="0" w:space="0" w:color="auto"/>
            <w:bottom w:val="none" w:sz="0" w:space="0" w:color="auto"/>
            <w:right w:val="none" w:sz="0" w:space="0" w:color="auto"/>
          </w:divBdr>
        </w:div>
      </w:divsChild>
    </w:div>
    <w:div w:id="998577848">
      <w:bodyDiv w:val="1"/>
      <w:marLeft w:val="0"/>
      <w:marRight w:val="0"/>
      <w:marTop w:val="0"/>
      <w:marBottom w:val="0"/>
      <w:divBdr>
        <w:top w:val="none" w:sz="0" w:space="0" w:color="auto"/>
        <w:left w:val="none" w:sz="0" w:space="0" w:color="auto"/>
        <w:bottom w:val="none" w:sz="0" w:space="0" w:color="auto"/>
        <w:right w:val="none" w:sz="0" w:space="0" w:color="auto"/>
      </w:divBdr>
    </w:div>
    <w:div w:id="1023242140">
      <w:bodyDiv w:val="1"/>
      <w:marLeft w:val="0"/>
      <w:marRight w:val="0"/>
      <w:marTop w:val="0"/>
      <w:marBottom w:val="0"/>
      <w:divBdr>
        <w:top w:val="none" w:sz="0" w:space="0" w:color="auto"/>
        <w:left w:val="none" w:sz="0" w:space="0" w:color="auto"/>
        <w:bottom w:val="none" w:sz="0" w:space="0" w:color="auto"/>
        <w:right w:val="none" w:sz="0" w:space="0" w:color="auto"/>
      </w:divBdr>
    </w:div>
    <w:div w:id="1081560189">
      <w:bodyDiv w:val="1"/>
      <w:marLeft w:val="0"/>
      <w:marRight w:val="0"/>
      <w:marTop w:val="0"/>
      <w:marBottom w:val="0"/>
      <w:divBdr>
        <w:top w:val="none" w:sz="0" w:space="0" w:color="auto"/>
        <w:left w:val="none" w:sz="0" w:space="0" w:color="auto"/>
        <w:bottom w:val="none" w:sz="0" w:space="0" w:color="auto"/>
        <w:right w:val="none" w:sz="0" w:space="0" w:color="auto"/>
      </w:divBdr>
    </w:div>
    <w:div w:id="1098982809">
      <w:bodyDiv w:val="1"/>
      <w:marLeft w:val="0"/>
      <w:marRight w:val="0"/>
      <w:marTop w:val="0"/>
      <w:marBottom w:val="0"/>
      <w:divBdr>
        <w:top w:val="none" w:sz="0" w:space="0" w:color="auto"/>
        <w:left w:val="none" w:sz="0" w:space="0" w:color="auto"/>
        <w:bottom w:val="none" w:sz="0" w:space="0" w:color="auto"/>
        <w:right w:val="none" w:sz="0" w:space="0" w:color="auto"/>
      </w:divBdr>
      <w:divsChild>
        <w:div w:id="1504854659">
          <w:marLeft w:val="0"/>
          <w:marRight w:val="0"/>
          <w:marTop w:val="0"/>
          <w:marBottom w:val="0"/>
          <w:divBdr>
            <w:top w:val="none" w:sz="0" w:space="0" w:color="auto"/>
            <w:left w:val="none" w:sz="0" w:space="0" w:color="auto"/>
            <w:bottom w:val="none" w:sz="0" w:space="0" w:color="auto"/>
            <w:right w:val="none" w:sz="0" w:space="0" w:color="auto"/>
          </w:divBdr>
        </w:div>
      </w:divsChild>
    </w:div>
    <w:div w:id="1103038449">
      <w:bodyDiv w:val="1"/>
      <w:marLeft w:val="0"/>
      <w:marRight w:val="0"/>
      <w:marTop w:val="0"/>
      <w:marBottom w:val="0"/>
      <w:divBdr>
        <w:top w:val="none" w:sz="0" w:space="0" w:color="auto"/>
        <w:left w:val="none" w:sz="0" w:space="0" w:color="auto"/>
        <w:bottom w:val="none" w:sz="0" w:space="0" w:color="auto"/>
        <w:right w:val="none" w:sz="0" w:space="0" w:color="auto"/>
      </w:divBdr>
    </w:div>
    <w:div w:id="1209688010">
      <w:bodyDiv w:val="1"/>
      <w:marLeft w:val="0"/>
      <w:marRight w:val="0"/>
      <w:marTop w:val="0"/>
      <w:marBottom w:val="0"/>
      <w:divBdr>
        <w:top w:val="none" w:sz="0" w:space="0" w:color="auto"/>
        <w:left w:val="none" w:sz="0" w:space="0" w:color="auto"/>
        <w:bottom w:val="none" w:sz="0" w:space="0" w:color="auto"/>
        <w:right w:val="none" w:sz="0" w:space="0" w:color="auto"/>
      </w:divBdr>
      <w:divsChild>
        <w:div w:id="1356616131">
          <w:marLeft w:val="0"/>
          <w:marRight w:val="0"/>
          <w:marTop w:val="0"/>
          <w:marBottom w:val="0"/>
          <w:divBdr>
            <w:top w:val="none" w:sz="0" w:space="0" w:color="auto"/>
            <w:left w:val="none" w:sz="0" w:space="0" w:color="auto"/>
            <w:bottom w:val="none" w:sz="0" w:space="0" w:color="auto"/>
            <w:right w:val="none" w:sz="0" w:space="0" w:color="auto"/>
          </w:divBdr>
        </w:div>
      </w:divsChild>
    </w:div>
    <w:div w:id="1242759963">
      <w:bodyDiv w:val="1"/>
      <w:marLeft w:val="0"/>
      <w:marRight w:val="0"/>
      <w:marTop w:val="0"/>
      <w:marBottom w:val="0"/>
      <w:divBdr>
        <w:top w:val="none" w:sz="0" w:space="0" w:color="auto"/>
        <w:left w:val="none" w:sz="0" w:space="0" w:color="auto"/>
        <w:bottom w:val="none" w:sz="0" w:space="0" w:color="auto"/>
        <w:right w:val="none" w:sz="0" w:space="0" w:color="auto"/>
      </w:divBdr>
      <w:divsChild>
        <w:div w:id="375082024">
          <w:marLeft w:val="0"/>
          <w:marRight w:val="0"/>
          <w:marTop w:val="0"/>
          <w:marBottom w:val="0"/>
          <w:divBdr>
            <w:top w:val="none" w:sz="0" w:space="0" w:color="auto"/>
            <w:left w:val="none" w:sz="0" w:space="0" w:color="auto"/>
            <w:bottom w:val="none" w:sz="0" w:space="0" w:color="auto"/>
            <w:right w:val="none" w:sz="0" w:space="0" w:color="auto"/>
          </w:divBdr>
        </w:div>
      </w:divsChild>
    </w:div>
    <w:div w:id="1256858887">
      <w:bodyDiv w:val="1"/>
      <w:marLeft w:val="0"/>
      <w:marRight w:val="0"/>
      <w:marTop w:val="0"/>
      <w:marBottom w:val="0"/>
      <w:divBdr>
        <w:top w:val="none" w:sz="0" w:space="0" w:color="auto"/>
        <w:left w:val="none" w:sz="0" w:space="0" w:color="auto"/>
        <w:bottom w:val="none" w:sz="0" w:space="0" w:color="auto"/>
        <w:right w:val="none" w:sz="0" w:space="0" w:color="auto"/>
      </w:divBdr>
      <w:divsChild>
        <w:div w:id="272634666">
          <w:marLeft w:val="0"/>
          <w:marRight w:val="0"/>
          <w:marTop w:val="0"/>
          <w:marBottom w:val="0"/>
          <w:divBdr>
            <w:top w:val="none" w:sz="0" w:space="0" w:color="auto"/>
            <w:left w:val="none" w:sz="0" w:space="0" w:color="auto"/>
            <w:bottom w:val="none" w:sz="0" w:space="0" w:color="auto"/>
            <w:right w:val="none" w:sz="0" w:space="0" w:color="auto"/>
          </w:divBdr>
        </w:div>
      </w:divsChild>
    </w:div>
    <w:div w:id="1258444929">
      <w:bodyDiv w:val="1"/>
      <w:marLeft w:val="0"/>
      <w:marRight w:val="0"/>
      <w:marTop w:val="0"/>
      <w:marBottom w:val="0"/>
      <w:divBdr>
        <w:top w:val="none" w:sz="0" w:space="0" w:color="auto"/>
        <w:left w:val="none" w:sz="0" w:space="0" w:color="auto"/>
        <w:bottom w:val="none" w:sz="0" w:space="0" w:color="auto"/>
        <w:right w:val="none" w:sz="0" w:space="0" w:color="auto"/>
      </w:divBdr>
    </w:div>
    <w:div w:id="1333727736">
      <w:bodyDiv w:val="1"/>
      <w:marLeft w:val="0"/>
      <w:marRight w:val="0"/>
      <w:marTop w:val="0"/>
      <w:marBottom w:val="0"/>
      <w:divBdr>
        <w:top w:val="none" w:sz="0" w:space="0" w:color="auto"/>
        <w:left w:val="none" w:sz="0" w:space="0" w:color="auto"/>
        <w:bottom w:val="none" w:sz="0" w:space="0" w:color="auto"/>
        <w:right w:val="none" w:sz="0" w:space="0" w:color="auto"/>
      </w:divBdr>
      <w:divsChild>
        <w:div w:id="213077660">
          <w:marLeft w:val="0"/>
          <w:marRight w:val="0"/>
          <w:marTop w:val="0"/>
          <w:marBottom w:val="0"/>
          <w:divBdr>
            <w:top w:val="none" w:sz="0" w:space="0" w:color="auto"/>
            <w:left w:val="none" w:sz="0" w:space="0" w:color="auto"/>
            <w:bottom w:val="none" w:sz="0" w:space="0" w:color="auto"/>
            <w:right w:val="none" w:sz="0" w:space="0" w:color="auto"/>
          </w:divBdr>
        </w:div>
      </w:divsChild>
    </w:div>
    <w:div w:id="1370061862">
      <w:bodyDiv w:val="1"/>
      <w:marLeft w:val="0"/>
      <w:marRight w:val="0"/>
      <w:marTop w:val="0"/>
      <w:marBottom w:val="0"/>
      <w:divBdr>
        <w:top w:val="none" w:sz="0" w:space="0" w:color="auto"/>
        <w:left w:val="none" w:sz="0" w:space="0" w:color="auto"/>
        <w:bottom w:val="none" w:sz="0" w:space="0" w:color="auto"/>
        <w:right w:val="none" w:sz="0" w:space="0" w:color="auto"/>
      </w:divBdr>
    </w:div>
    <w:div w:id="1415319909">
      <w:bodyDiv w:val="1"/>
      <w:marLeft w:val="0"/>
      <w:marRight w:val="0"/>
      <w:marTop w:val="0"/>
      <w:marBottom w:val="0"/>
      <w:divBdr>
        <w:top w:val="none" w:sz="0" w:space="0" w:color="auto"/>
        <w:left w:val="none" w:sz="0" w:space="0" w:color="auto"/>
        <w:bottom w:val="none" w:sz="0" w:space="0" w:color="auto"/>
        <w:right w:val="none" w:sz="0" w:space="0" w:color="auto"/>
      </w:divBdr>
      <w:divsChild>
        <w:div w:id="605964659">
          <w:marLeft w:val="0"/>
          <w:marRight w:val="0"/>
          <w:marTop w:val="0"/>
          <w:marBottom w:val="0"/>
          <w:divBdr>
            <w:top w:val="none" w:sz="0" w:space="0" w:color="auto"/>
            <w:left w:val="none" w:sz="0" w:space="0" w:color="auto"/>
            <w:bottom w:val="none" w:sz="0" w:space="0" w:color="auto"/>
            <w:right w:val="none" w:sz="0" w:space="0" w:color="auto"/>
          </w:divBdr>
        </w:div>
      </w:divsChild>
    </w:div>
    <w:div w:id="1429934393">
      <w:bodyDiv w:val="1"/>
      <w:marLeft w:val="0"/>
      <w:marRight w:val="0"/>
      <w:marTop w:val="0"/>
      <w:marBottom w:val="0"/>
      <w:divBdr>
        <w:top w:val="none" w:sz="0" w:space="0" w:color="auto"/>
        <w:left w:val="none" w:sz="0" w:space="0" w:color="auto"/>
        <w:bottom w:val="none" w:sz="0" w:space="0" w:color="auto"/>
        <w:right w:val="none" w:sz="0" w:space="0" w:color="auto"/>
      </w:divBdr>
    </w:div>
    <w:div w:id="1432240351">
      <w:bodyDiv w:val="1"/>
      <w:marLeft w:val="0"/>
      <w:marRight w:val="0"/>
      <w:marTop w:val="0"/>
      <w:marBottom w:val="0"/>
      <w:divBdr>
        <w:top w:val="none" w:sz="0" w:space="0" w:color="auto"/>
        <w:left w:val="none" w:sz="0" w:space="0" w:color="auto"/>
        <w:bottom w:val="none" w:sz="0" w:space="0" w:color="auto"/>
        <w:right w:val="none" w:sz="0" w:space="0" w:color="auto"/>
      </w:divBdr>
    </w:div>
    <w:div w:id="1461267136">
      <w:bodyDiv w:val="1"/>
      <w:marLeft w:val="0"/>
      <w:marRight w:val="0"/>
      <w:marTop w:val="0"/>
      <w:marBottom w:val="0"/>
      <w:divBdr>
        <w:top w:val="none" w:sz="0" w:space="0" w:color="auto"/>
        <w:left w:val="none" w:sz="0" w:space="0" w:color="auto"/>
        <w:bottom w:val="none" w:sz="0" w:space="0" w:color="auto"/>
        <w:right w:val="none" w:sz="0" w:space="0" w:color="auto"/>
      </w:divBdr>
      <w:divsChild>
        <w:div w:id="841968880">
          <w:marLeft w:val="0"/>
          <w:marRight w:val="0"/>
          <w:marTop w:val="0"/>
          <w:marBottom w:val="0"/>
          <w:divBdr>
            <w:top w:val="none" w:sz="0" w:space="0" w:color="auto"/>
            <w:left w:val="none" w:sz="0" w:space="0" w:color="auto"/>
            <w:bottom w:val="none" w:sz="0" w:space="0" w:color="auto"/>
            <w:right w:val="none" w:sz="0" w:space="0" w:color="auto"/>
          </w:divBdr>
        </w:div>
      </w:divsChild>
    </w:div>
    <w:div w:id="1477726101">
      <w:bodyDiv w:val="1"/>
      <w:marLeft w:val="0"/>
      <w:marRight w:val="0"/>
      <w:marTop w:val="0"/>
      <w:marBottom w:val="0"/>
      <w:divBdr>
        <w:top w:val="none" w:sz="0" w:space="0" w:color="auto"/>
        <w:left w:val="none" w:sz="0" w:space="0" w:color="auto"/>
        <w:bottom w:val="none" w:sz="0" w:space="0" w:color="auto"/>
        <w:right w:val="none" w:sz="0" w:space="0" w:color="auto"/>
      </w:divBdr>
    </w:div>
    <w:div w:id="1511987132">
      <w:bodyDiv w:val="1"/>
      <w:marLeft w:val="0"/>
      <w:marRight w:val="0"/>
      <w:marTop w:val="0"/>
      <w:marBottom w:val="0"/>
      <w:divBdr>
        <w:top w:val="none" w:sz="0" w:space="0" w:color="auto"/>
        <w:left w:val="none" w:sz="0" w:space="0" w:color="auto"/>
        <w:bottom w:val="none" w:sz="0" w:space="0" w:color="auto"/>
        <w:right w:val="none" w:sz="0" w:space="0" w:color="auto"/>
      </w:divBdr>
    </w:div>
    <w:div w:id="1559246317">
      <w:bodyDiv w:val="1"/>
      <w:marLeft w:val="0"/>
      <w:marRight w:val="0"/>
      <w:marTop w:val="0"/>
      <w:marBottom w:val="0"/>
      <w:divBdr>
        <w:top w:val="none" w:sz="0" w:space="0" w:color="auto"/>
        <w:left w:val="none" w:sz="0" w:space="0" w:color="auto"/>
        <w:bottom w:val="none" w:sz="0" w:space="0" w:color="auto"/>
        <w:right w:val="none" w:sz="0" w:space="0" w:color="auto"/>
      </w:divBdr>
    </w:div>
    <w:div w:id="1675567803">
      <w:bodyDiv w:val="1"/>
      <w:marLeft w:val="0"/>
      <w:marRight w:val="0"/>
      <w:marTop w:val="0"/>
      <w:marBottom w:val="0"/>
      <w:divBdr>
        <w:top w:val="none" w:sz="0" w:space="0" w:color="auto"/>
        <w:left w:val="none" w:sz="0" w:space="0" w:color="auto"/>
        <w:bottom w:val="none" w:sz="0" w:space="0" w:color="auto"/>
        <w:right w:val="none" w:sz="0" w:space="0" w:color="auto"/>
      </w:divBdr>
    </w:div>
    <w:div w:id="1689982625">
      <w:bodyDiv w:val="1"/>
      <w:marLeft w:val="0"/>
      <w:marRight w:val="0"/>
      <w:marTop w:val="0"/>
      <w:marBottom w:val="0"/>
      <w:divBdr>
        <w:top w:val="none" w:sz="0" w:space="0" w:color="auto"/>
        <w:left w:val="none" w:sz="0" w:space="0" w:color="auto"/>
        <w:bottom w:val="none" w:sz="0" w:space="0" w:color="auto"/>
        <w:right w:val="none" w:sz="0" w:space="0" w:color="auto"/>
      </w:divBdr>
    </w:div>
    <w:div w:id="1709988421">
      <w:bodyDiv w:val="1"/>
      <w:marLeft w:val="0"/>
      <w:marRight w:val="0"/>
      <w:marTop w:val="0"/>
      <w:marBottom w:val="0"/>
      <w:divBdr>
        <w:top w:val="none" w:sz="0" w:space="0" w:color="auto"/>
        <w:left w:val="none" w:sz="0" w:space="0" w:color="auto"/>
        <w:bottom w:val="none" w:sz="0" w:space="0" w:color="auto"/>
        <w:right w:val="none" w:sz="0" w:space="0" w:color="auto"/>
      </w:divBdr>
    </w:div>
    <w:div w:id="1739013692">
      <w:bodyDiv w:val="1"/>
      <w:marLeft w:val="0"/>
      <w:marRight w:val="0"/>
      <w:marTop w:val="0"/>
      <w:marBottom w:val="0"/>
      <w:divBdr>
        <w:top w:val="none" w:sz="0" w:space="0" w:color="auto"/>
        <w:left w:val="none" w:sz="0" w:space="0" w:color="auto"/>
        <w:bottom w:val="none" w:sz="0" w:space="0" w:color="auto"/>
        <w:right w:val="none" w:sz="0" w:space="0" w:color="auto"/>
      </w:divBdr>
    </w:div>
    <w:div w:id="1749183386">
      <w:bodyDiv w:val="1"/>
      <w:marLeft w:val="0"/>
      <w:marRight w:val="0"/>
      <w:marTop w:val="0"/>
      <w:marBottom w:val="0"/>
      <w:divBdr>
        <w:top w:val="none" w:sz="0" w:space="0" w:color="auto"/>
        <w:left w:val="none" w:sz="0" w:space="0" w:color="auto"/>
        <w:bottom w:val="none" w:sz="0" w:space="0" w:color="auto"/>
        <w:right w:val="none" w:sz="0" w:space="0" w:color="auto"/>
      </w:divBdr>
    </w:div>
    <w:div w:id="1774280523">
      <w:bodyDiv w:val="1"/>
      <w:marLeft w:val="0"/>
      <w:marRight w:val="0"/>
      <w:marTop w:val="0"/>
      <w:marBottom w:val="0"/>
      <w:divBdr>
        <w:top w:val="none" w:sz="0" w:space="0" w:color="auto"/>
        <w:left w:val="none" w:sz="0" w:space="0" w:color="auto"/>
        <w:bottom w:val="none" w:sz="0" w:space="0" w:color="auto"/>
        <w:right w:val="none" w:sz="0" w:space="0" w:color="auto"/>
      </w:divBdr>
    </w:div>
    <w:div w:id="1776095209">
      <w:bodyDiv w:val="1"/>
      <w:marLeft w:val="0"/>
      <w:marRight w:val="0"/>
      <w:marTop w:val="0"/>
      <w:marBottom w:val="0"/>
      <w:divBdr>
        <w:top w:val="none" w:sz="0" w:space="0" w:color="auto"/>
        <w:left w:val="none" w:sz="0" w:space="0" w:color="auto"/>
        <w:bottom w:val="none" w:sz="0" w:space="0" w:color="auto"/>
        <w:right w:val="none" w:sz="0" w:space="0" w:color="auto"/>
      </w:divBdr>
    </w:div>
    <w:div w:id="2007203477">
      <w:bodyDiv w:val="1"/>
      <w:marLeft w:val="0"/>
      <w:marRight w:val="0"/>
      <w:marTop w:val="0"/>
      <w:marBottom w:val="0"/>
      <w:divBdr>
        <w:top w:val="none" w:sz="0" w:space="0" w:color="auto"/>
        <w:left w:val="none" w:sz="0" w:space="0" w:color="auto"/>
        <w:bottom w:val="none" w:sz="0" w:space="0" w:color="auto"/>
        <w:right w:val="none" w:sz="0" w:space="0" w:color="auto"/>
      </w:divBdr>
      <w:divsChild>
        <w:div w:id="1780106014">
          <w:marLeft w:val="0"/>
          <w:marRight w:val="0"/>
          <w:marTop w:val="0"/>
          <w:marBottom w:val="0"/>
          <w:divBdr>
            <w:top w:val="none" w:sz="0" w:space="0" w:color="auto"/>
            <w:left w:val="none" w:sz="0" w:space="0" w:color="auto"/>
            <w:bottom w:val="none" w:sz="0" w:space="0" w:color="auto"/>
            <w:right w:val="none" w:sz="0" w:space="0" w:color="auto"/>
          </w:divBdr>
        </w:div>
      </w:divsChild>
    </w:div>
    <w:div w:id="2032880099">
      <w:bodyDiv w:val="1"/>
      <w:marLeft w:val="0"/>
      <w:marRight w:val="0"/>
      <w:marTop w:val="0"/>
      <w:marBottom w:val="0"/>
      <w:divBdr>
        <w:top w:val="none" w:sz="0" w:space="0" w:color="auto"/>
        <w:left w:val="none" w:sz="0" w:space="0" w:color="auto"/>
        <w:bottom w:val="none" w:sz="0" w:space="0" w:color="auto"/>
        <w:right w:val="none" w:sz="0" w:space="0" w:color="auto"/>
      </w:divBdr>
    </w:div>
    <w:div w:id="2049913389">
      <w:bodyDiv w:val="1"/>
      <w:marLeft w:val="0"/>
      <w:marRight w:val="0"/>
      <w:marTop w:val="0"/>
      <w:marBottom w:val="0"/>
      <w:divBdr>
        <w:top w:val="none" w:sz="0" w:space="0" w:color="auto"/>
        <w:left w:val="none" w:sz="0" w:space="0" w:color="auto"/>
        <w:bottom w:val="none" w:sz="0" w:space="0" w:color="auto"/>
        <w:right w:val="none" w:sz="0" w:space="0" w:color="auto"/>
      </w:divBdr>
    </w:div>
    <w:div w:id="2069068790">
      <w:bodyDiv w:val="1"/>
      <w:marLeft w:val="0"/>
      <w:marRight w:val="0"/>
      <w:marTop w:val="0"/>
      <w:marBottom w:val="0"/>
      <w:divBdr>
        <w:top w:val="none" w:sz="0" w:space="0" w:color="auto"/>
        <w:left w:val="none" w:sz="0" w:space="0" w:color="auto"/>
        <w:bottom w:val="none" w:sz="0" w:space="0" w:color="auto"/>
        <w:right w:val="none" w:sz="0" w:space="0" w:color="auto"/>
      </w:divBdr>
      <w:divsChild>
        <w:div w:id="1044527535">
          <w:marLeft w:val="0"/>
          <w:marRight w:val="0"/>
          <w:marTop w:val="0"/>
          <w:marBottom w:val="0"/>
          <w:divBdr>
            <w:top w:val="none" w:sz="0" w:space="0" w:color="auto"/>
            <w:left w:val="none" w:sz="0" w:space="0" w:color="auto"/>
            <w:bottom w:val="none" w:sz="0" w:space="0" w:color="auto"/>
            <w:right w:val="none" w:sz="0" w:space="0" w:color="auto"/>
          </w:divBdr>
        </w:div>
      </w:divsChild>
    </w:div>
    <w:div w:id="2075274311">
      <w:bodyDiv w:val="1"/>
      <w:marLeft w:val="0"/>
      <w:marRight w:val="0"/>
      <w:marTop w:val="0"/>
      <w:marBottom w:val="0"/>
      <w:divBdr>
        <w:top w:val="none" w:sz="0" w:space="0" w:color="auto"/>
        <w:left w:val="none" w:sz="0" w:space="0" w:color="auto"/>
        <w:bottom w:val="none" w:sz="0" w:space="0" w:color="auto"/>
        <w:right w:val="none" w:sz="0" w:space="0" w:color="auto"/>
      </w:divBdr>
    </w:div>
    <w:div w:id="214002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msac.gov.au/sites/default/files/documents/1675%2520Ratified%2520PICO.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nice.org.uk/guidance/ta667/resources/caplacizumab-with-plasma-exchange-and-immunosuppression-for-treating-acute-acquired-thrombotic-thrombocytopenic-purpura-pdf-82609264160197" TargetMode="External"/><Relationship Id="rId7" Type="http://schemas.openxmlformats.org/officeDocument/2006/relationships/endnotes" Target="endnotes.xml"/><Relationship Id="rId12" Type="http://schemas.openxmlformats.org/officeDocument/2006/relationships/hyperlink" Target="https://www.msac.gov.au/sites/default/files/documents/1675%2520Ratified%2520PICO.pdf" TargetMode="External"/><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182/BLOOD.V112.11.4085.408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www.cda-amc.ca/sites/default/files/DRR/2023/SR0736%20Cablivi%20Resubmission%20-%20Final%20CADTH%20Recommendation%20Final.pdf" TargetMode="External"/><Relationship Id="rId4" Type="http://schemas.openxmlformats.org/officeDocument/2006/relationships/settings" Target="settings.xml"/><Relationship Id="rId9" Type="http://schemas.openxmlformats.org/officeDocument/2006/relationships/hyperlink" Target="https://www.pbs.gov.au/industry/listing/elements/pbac-meetings/psd/2020-07/files/caplacizumab-psd-july-2020.pdf" TargetMode="External"/><Relationship Id="rId14" Type="http://schemas.openxmlformats.org/officeDocument/2006/relationships/image" Target="media/image5.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C0ADB-7CCF-4BC9-8F3A-D8E39C8F0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14289</Words>
  <Characters>81453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95551</CharactersWithSpaces>
  <SharedDoc>false</SharedDoc>
  <HLinks>
    <vt:vector size="54" baseType="variant">
      <vt:variant>
        <vt:i4>6291568</vt:i4>
      </vt:variant>
      <vt:variant>
        <vt:i4>132</vt:i4>
      </vt:variant>
      <vt:variant>
        <vt:i4>0</vt:i4>
      </vt:variant>
      <vt:variant>
        <vt:i4>5</vt:i4>
      </vt:variant>
      <vt:variant>
        <vt:lpwstr>https://www.nice.org.uk/guidance/ta667/resources/caplacizumab-with-plasma-exchange-and-immunosuppression-for-treating-acute-acquired-thrombotic-thrombocytopenic-purpura-pdf-82609264160197</vt:lpwstr>
      </vt:variant>
      <vt:variant>
        <vt:lpwstr/>
      </vt:variant>
      <vt:variant>
        <vt:i4>2293882</vt:i4>
      </vt:variant>
      <vt:variant>
        <vt:i4>129</vt:i4>
      </vt:variant>
      <vt:variant>
        <vt:i4>0</vt:i4>
      </vt:variant>
      <vt:variant>
        <vt:i4>5</vt:i4>
      </vt:variant>
      <vt:variant>
        <vt:lpwstr>https://doi.org/10.1182/BLOOD.V112.11.4085.4085</vt:lpwstr>
      </vt:variant>
      <vt:variant>
        <vt:lpwstr/>
      </vt:variant>
      <vt:variant>
        <vt:i4>7340085</vt:i4>
      </vt:variant>
      <vt:variant>
        <vt:i4>126</vt:i4>
      </vt:variant>
      <vt:variant>
        <vt:i4>0</vt:i4>
      </vt:variant>
      <vt:variant>
        <vt:i4>5</vt:i4>
      </vt:variant>
      <vt:variant>
        <vt:lpwstr>https://www.cda-amc.ca/sites/default/files/DRR/2023/SR0736 Cablivi Resubmission - Final CADTH Recommendation Final.pdf</vt:lpwstr>
      </vt:variant>
      <vt:variant>
        <vt:lpwstr/>
      </vt:variant>
      <vt:variant>
        <vt:i4>5374037</vt:i4>
      </vt:variant>
      <vt:variant>
        <vt:i4>96</vt:i4>
      </vt:variant>
      <vt:variant>
        <vt:i4>0</vt:i4>
      </vt:variant>
      <vt:variant>
        <vt:i4>5</vt:i4>
      </vt:variant>
      <vt:variant>
        <vt:lpwstr>https://www.msac.gov.au/sites/default/files/documents/1675%2520Ratified%2520PICO.pdf</vt:lpwstr>
      </vt:variant>
      <vt:variant>
        <vt:lpwstr/>
      </vt:variant>
      <vt:variant>
        <vt:i4>5374037</vt:i4>
      </vt:variant>
      <vt:variant>
        <vt:i4>48</vt:i4>
      </vt:variant>
      <vt:variant>
        <vt:i4>0</vt:i4>
      </vt:variant>
      <vt:variant>
        <vt:i4>5</vt:i4>
      </vt:variant>
      <vt:variant>
        <vt:lpwstr>https://www.msac.gov.au/sites/default/files/documents/1675%2520Ratified%2520PICO.pdf</vt:lpwstr>
      </vt:variant>
      <vt:variant>
        <vt:lpwstr/>
      </vt:variant>
      <vt:variant>
        <vt:i4>3014713</vt:i4>
      </vt:variant>
      <vt:variant>
        <vt:i4>21</vt:i4>
      </vt:variant>
      <vt:variant>
        <vt:i4>0</vt:i4>
      </vt:variant>
      <vt:variant>
        <vt:i4>5</vt:i4>
      </vt:variant>
      <vt:variant>
        <vt:lpwstr>https://www.pbs.gov.au/industry/listing/elements/pbac-meetings/psd/2020-07/files/caplacizumab-psd-july-2020.pdf</vt:lpwstr>
      </vt:variant>
      <vt:variant>
        <vt:lpwstr/>
      </vt:variant>
      <vt:variant>
        <vt:i4>4784255</vt:i4>
      </vt:variant>
      <vt:variant>
        <vt:i4>6</vt:i4>
      </vt:variant>
      <vt:variant>
        <vt:i4>0</vt:i4>
      </vt:variant>
      <vt:variant>
        <vt:i4>5</vt:i4>
      </vt:variant>
      <vt:variant>
        <vt:lpwstr>mailto:Elizabeth.SEIL@Health.gov.au</vt:lpwstr>
      </vt:variant>
      <vt:variant>
        <vt:lpwstr/>
      </vt:variant>
      <vt:variant>
        <vt:i4>4784255</vt:i4>
      </vt:variant>
      <vt:variant>
        <vt:i4>3</vt:i4>
      </vt:variant>
      <vt:variant>
        <vt:i4>0</vt:i4>
      </vt:variant>
      <vt:variant>
        <vt:i4>5</vt:i4>
      </vt:variant>
      <vt:variant>
        <vt:lpwstr>mailto:Elizabeth.SEIL@Health.gov.au</vt:lpwstr>
      </vt:variant>
      <vt:variant>
        <vt:lpwstr/>
      </vt:variant>
      <vt:variant>
        <vt:i4>4784255</vt:i4>
      </vt:variant>
      <vt:variant>
        <vt:i4>0</vt:i4>
      </vt:variant>
      <vt:variant>
        <vt:i4>0</vt:i4>
      </vt:variant>
      <vt:variant>
        <vt:i4>5</vt:i4>
      </vt:variant>
      <vt:variant>
        <vt:lpwstr>mailto:Elizabeth.SEIL@Health.gov.au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2025-06-16T04:21:00Z</dcterms:created>
  <dcterms:modified xsi:type="dcterms:W3CDTF">2025-06-17T04:58:00Z</dcterms:modified>
</cp:coreProperties>
</file>