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D39E" w14:textId="01779853" w:rsidR="00954023" w:rsidRPr="00F12C22" w:rsidRDefault="00377BE0" w:rsidP="00954023">
      <w:pPr>
        <w:spacing w:before="120" w:after="120" w:line="312" w:lineRule="auto"/>
        <w:jc w:val="center"/>
      </w:pPr>
      <w:r w:rsidRPr="00240D8B">
        <w:t xml:space="preserve"> </w:t>
      </w:r>
    </w:p>
    <w:p w14:paraId="62515114" w14:textId="14EBB3E0" w:rsidR="00954023" w:rsidRPr="005C67C7" w:rsidRDefault="00954023" w:rsidP="00954023">
      <w:pPr>
        <w:pStyle w:val="Heading10"/>
        <w:spacing w:before="2880"/>
        <w:jc w:val="center"/>
        <w:rPr>
          <w:color w:val="auto"/>
          <w:sz w:val="48"/>
          <w:szCs w:val="48"/>
        </w:rPr>
      </w:pPr>
      <w:r w:rsidRPr="005C67C7">
        <w:rPr>
          <w:color w:val="auto"/>
          <w:sz w:val="48"/>
          <w:szCs w:val="48"/>
        </w:rPr>
        <w:t>MSAC Application 1797</w:t>
      </w:r>
    </w:p>
    <w:p w14:paraId="11EECA55" w14:textId="77777777" w:rsidR="003E5E73" w:rsidRPr="005C67C7" w:rsidRDefault="003E5E73" w:rsidP="003E5E73">
      <w:pPr>
        <w:pStyle w:val="Heading10"/>
        <w:spacing w:after="0"/>
        <w:jc w:val="center"/>
        <w:rPr>
          <w:color w:val="auto"/>
          <w:sz w:val="48"/>
          <w:szCs w:val="48"/>
        </w:rPr>
      </w:pPr>
    </w:p>
    <w:p w14:paraId="48231432" w14:textId="064A89B9" w:rsidR="00721978" w:rsidRPr="00F31787" w:rsidRDefault="00DF52EC" w:rsidP="13878B0D">
      <w:pPr>
        <w:pStyle w:val="Heading10"/>
        <w:jc w:val="center"/>
        <w:rPr>
          <w:color w:val="548DD4"/>
          <w:sz w:val="48"/>
          <w:szCs w:val="48"/>
        </w:rPr>
      </w:pPr>
      <w:r w:rsidRPr="13878B0D">
        <w:rPr>
          <w:color w:val="548DD4"/>
          <w:sz w:val="48"/>
          <w:szCs w:val="48"/>
        </w:rPr>
        <w:t>Vibration-Controlled Transient Elastography (</w:t>
      </w:r>
      <w:r w:rsidR="00823CCA" w:rsidRPr="13878B0D">
        <w:rPr>
          <w:color w:val="548DD4"/>
          <w:sz w:val="48"/>
          <w:szCs w:val="48"/>
        </w:rPr>
        <w:t>VCTE™</w:t>
      </w:r>
      <w:r w:rsidRPr="13878B0D">
        <w:rPr>
          <w:color w:val="548DD4"/>
          <w:sz w:val="48"/>
          <w:szCs w:val="48"/>
        </w:rPr>
        <w:t>) for</w:t>
      </w:r>
      <w:r w:rsidR="00AD5AA0" w:rsidRPr="13878B0D">
        <w:rPr>
          <w:color w:val="548DD4"/>
          <w:sz w:val="48"/>
          <w:szCs w:val="48"/>
        </w:rPr>
        <w:t xml:space="preserve"> </w:t>
      </w:r>
      <w:r w:rsidRPr="13878B0D">
        <w:rPr>
          <w:color w:val="548DD4"/>
          <w:sz w:val="48"/>
          <w:szCs w:val="48"/>
        </w:rPr>
        <w:t xml:space="preserve">identifying advanced fibrosis in patients with metabolic dysfunction-associated fatty liver disease </w:t>
      </w:r>
      <w:r w:rsidR="00AD5AA0" w:rsidRPr="13878B0D">
        <w:rPr>
          <w:color w:val="548DD4"/>
          <w:sz w:val="48"/>
          <w:szCs w:val="48"/>
        </w:rPr>
        <w:t>(MAFLD)</w:t>
      </w:r>
    </w:p>
    <w:p w14:paraId="62379A73" w14:textId="55681E7D" w:rsidR="009C29AC" w:rsidRPr="00F31787" w:rsidRDefault="740189DD" w:rsidP="00954023">
      <w:pPr>
        <w:pStyle w:val="Heading10"/>
        <w:jc w:val="center"/>
        <w:rPr>
          <w:color w:val="0070C0"/>
          <w:sz w:val="40"/>
          <w:szCs w:val="40"/>
        </w:rPr>
      </w:pPr>
      <w:r w:rsidRPr="13878B0D">
        <w:rPr>
          <w:color w:val="548DD4"/>
          <w:sz w:val="40"/>
          <w:szCs w:val="40"/>
        </w:rPr>
        <w:t xml:space="preserve">Applicant: </w:t>
      </w:r>
      <w:r w:rsidR="593CE028" w:rsidRPr="13878B0D">
        <w:rPr>
          <w:color w:val="548DD4"/>
          <w:sz w:val="40"/>
          <w:szCs w:val="40"/>
        </w:rPr>
        <w:t>Medical Technologies Australia Pty Ltd</w:t>
      </w:r>
      <w:r w:rsidR="009C29AC" w:rsidRPr="13878B0D">
        <w:rPr>
          <w:color w:val="0070C0"/>
          <w:sz w:val="40"/>
          <w:szCs w:val="40"/>
        </w:rPr>
        <w:t xml:space="preserve"> </w:t>
      </w:r>
    </w:p>
    <w:p w14:paraId="23900CA0" w14:textId="23E3ACB8" w:rsidR="006478E7" w:rsidRPr="005C67C7" w:rsidRDefault="006478E7" w:rsidP="00BB0FFB">
      <w:pPr>
        <w:pStyle w:val="Heading1"/>
        <w:rPr>
          <w:color w:val="auto"/>
        </w:rPr>
      </w:pPr>
      <w:r w:rsidRPr="005C67C7">
        <w:rPr>
          <w:color w:val="auto"/>
        </w:rPr>
        <w:t>PICO Confirmation</w:t>
      </w:r>
      <w:r w:rsidRPr="005C67C7">
        <w:rPr>
          <w:color w:val="auto"/>
        </w:rPr>
        <w:br w:type="page"/>
      </w:r>
    </w:p>
    <w:p w14:paraId="219312C8" w14:textId="77777777" w:rsidR="006478E7" w:rsidRPr="005C67C7" w:rsidRDefault="006478E7" w:rsidP="00BB0FFB">
      <w:pPr>
        <w:pStyle w:val="Heading2"/>
        <w:rPr>
          <w:color w:val="auto"/>
        </w:rPr>
      </w:pPr>
      <w:r w:rsidRPr="005C67C7">
        <w:rPr>
          <w:color w:val="auto"/>
        </w:rPr>
        <w:lastRenderedPageBreak/>
        <w:t>Summary of PI</w:t>
      </w:r>
      <w:r w:rsidR="00235B21" w:rsidRPr="005C67C7">
        <w:rPr>
          <w:color w:val="auto"/>
        </w:rPr>
        <w:t xml:space="preserve">CO/PPICO criteria to define </w:t>
      </w:r>
      <w:r w:rsidRPr="005C67C7">
        <w:rPr>
          <w:color w:val="auto"/>
        </w:rPr>
        <w:t>question(s) to be addressed in an Assessment Report to the Medical Services Advisory Committee (MSAC)</w:t>
      </w:r>
    </w:p>
    <w:p w14:paraId="224459F3" w14:textId="514901A8" w:rsidR="00D52956" w:rsidRPr="00F12C22" w:rsidRDefault="00D52956" w:rsidP="00D52956">
      <w:pPr>
        <w:pStyle w:val="Caption"/>
      </w:pPr>
      <w:bookmarkStart w:id="0" w:name="_Ref69732160"/>
      <w:bookmarkStart w:id="1" w:name="_Ref69732155"/>
      <w:r w:rsidRPr="00F12C22">
        <w:t>Table</w:t>
      </w:r>
      <w:r w:rsidR="00FD4C65" w:rsidRPr="00F12C22">
        <w:t> </w:t>
      </w:r>
      <w:r w:rsidRPr="00F12C22">
        <w:fldChar w:fldCharType="begin"/>
      </w:r>
      <w:r w:rsidRPr="00F12C22">
        <w:instrText xml:space="preserve"> SEQ Table \* ARABIC </w:instrText>
      </w:r>
      <w:r w:rsidRPr="00F12C22">
        <w:fldChar w:fldCharType="separate"/>
      </w:r>
      <w:r w:rsidR="00D917C4">
        <w:rPr>
          <w:noProof/>
        </w:rPr>
        <w:t>1</w:t>
      </w:r>
      <w:r w:rsidRPr="00F12C22">
        <w:fldChar w:fldCharType="end"/>
      </w:r>
      <w:bookmarkEnd w:id="0"/>
      <w:r w:rsidRPr="00F12C22">
        <w:tab/>
        <w:t xml:space="preserve">PICO for </w:t>
      </w:r>
      <w:r w:rsidR="00AD5AA0" w:rsidRPr="00F12C22">
        <w:t>Vibration-Controlled Transient Elastography (</w:t>
      </w:r>
      <w:r w:rsidR="00823CCA" w:rsidRPr="00F12C22">
        <w:t>VCTE™</w:t>
      </w:r>
      <w:r w:rsidR="00AD5AA0" w:rsidRPr="00F12C22">
        <w:t>) in primary care for identifying advanced fibrosis in patients with metabolic dysfunction-associated fatty liver disease (MAFLD)</w:t>
      </w:r>
      <w:r w:rsidRPr="00F12C22">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Vibration-Controlled Transient Elastography (VCTE™) in primary care for identifying advanced fibrosis in patients with metabolic dysfunction-associated fatty liver disease (MAFLD): PICO Set 1"/>
        <w:tblDescription w:val="PICO for Vibration-Controlled Transient Elastography (VCTE™) in primary care for identifying advanced fibrosis in patients with metabolic dysfunction-associated fatty liver disease (MAFLD): PICO Set 1"/>
      </w:tblPr>
      <w:tblGrid>
        <w:gridCol w:w="1923"/>
        <w:gridCol w:w="7643"/>
      </w:tblGrid>
      <w:tr w:rsidR="00F12C22" w:rsidRPr="00F12C22" w14:paraId="2A509B30" w14:textId="77777777" w:rsidTr="02426A3E">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F12C22" w:rsidRDefault="006478E7" w:rsidP="00C54349">
            <w:pPr>
              <w:spacing w:before="20" w:after="20" w:line="240" w:lineRule="auto"/>
              <w:rPr>
                <w:b/>
              </w:rPr>
            </w:pPr>
            <w:bookmarkStart w:id="2" w:name="Title_Table1" w:colFirst="0" w:colLast="0"/>
            <w:r w:rsidRPr="00F12C22">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F12C22" w:rsidRDefault="006478E7" w:rsidP="00C54349">
            <w:pPr>
              <w:spacing w:before="20" w:after="20" w:line="240" w:lineRule="auto"/>
              <w:rPr>
                <w:b/>
              </w:rPr>
            </w:pPr>
            <w:r w:rsidRPr="00F12C22">
              <w:rPr>
                <w:b/>
              </w:rPr>
              <w:t>Description</w:t>
            </w:r>
          </w:p>
        </w:tc>
      </w:tr>
      <w:bookmarkEnd w:id="2"/>
      <w:tr w:rsidR="00F12C22" w:rsidRPr="00F12C22"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E920FE" w:rsidRPr="00F12C22" w:rsidRDefault="00E920FE" w:rsidP="00E920FE">
            <w:pPr>
              <w:spacing w:before="120" w:after="120" w:line="240" w:lineRule="auto"/>
              <w:rPr>
                <w:rFonts w:cs="Arial"/>
              </w:rPr>
            </w:pPr>
            <w:r w:rsidRPr="00F12C22">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0B6B7F6B" w:rsidR="00E920FE" w:rsidRPr="00F12C22" w:rsidRDefault="0056204C" w:rsidP="00E920FE">
            <w:pPr>
              <w:spacing w:before="120" w:after="120" w:line="240" w:lineRule="auto"/>
            </w:pPr>
            <w:r w:rsidRPr="00F12C22">
              <w:rPr>
                <w:rFonts w:cs="Arial"/>
              </w:rPr>
              <w:t>P</w:t>
            </w:r>
            <w:r w:rsidR="00D70F96" w:rsidRPr="00F12C22">
              <w:rPr>
                <w:rFonts w:cs="Arial"/>
              </w:rPr>
              <w:t>resenting to primary care</w:t>
            </w:r>
            <w:r w:rsidRPr="00F12C22">
              <w:rPr>
                <w:rFonts w:cs="Arial"/>
              </w:rPr>
              <w:t>, patients</w:t>
            </w:r>
            <w:r w:rsidR="00E920FE" w:rsidRPr="00F12C22">
              <w:rPr>
                <w:rFonts w:cs="Arial"/>
              </w:rPr>
              <w:t xml:space="preserve"> diagnosed with metabolic dysfunction-associated fatty liver disease (MAFLD) and </w:t>
            </w:r>
            <w:r w:rsidR="00900A48">
              <w:rPr>
                <w:rFonts w:cs="Arial"/>
              </w:rPr>
              <w:t xml:space="preserve">who </w:t>
            </w:r>
            <w:r w:rsidR="009D6E19" w:rsidRPr="00F12C22">
              <w:rPr>
                <w:rFonts w:cs="Arial"/>
              </w:rPr>
              <w:t xml:space="preserve">have </w:t>
            </w:r>
            <w:r w:rsidR="00E920FE" w:rsidRPr="00F12C22">
              <w:rPr>
                <w:rFonts w:cs="Arial"/>
              </w:rPr>
              <w:t xml:space="preserve">a fibrosis-4 (FIB-4) </w:t>
            </w:r>
            <w:r w:rsidR="009D6E19" w:rsidRPr="00F12C22">
              <w:rPr>
                <w:rFonts w:cs="Arial"/>
              </w:rPr>
              <w:t xml:space="preserve">index </w:t>
            </w:r>
            <w:r w:rsidR="00E920FE" w:rsidRPr="00F12C22">
              <w:rPr>
                <w:rFonts w:cs="Arial"/>
              </w:rPr>
              <w:t>score 1.3 to 2.7.</w:t>
            </w:r>
          </w:p>
        </w:tc>
      </w:tr>
      <w:tr w:rsidR="00F12C22" w:rsidRPr="00F12C22"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1135AD76" w:rsidR="00E920FE" w:rsidRPr="00F12C22" w:rsidRDefault="00E920FE" w:rsidP="00E920FE">
            <w:pPr>
              <w:spacing w:before="120" w:after="120" w:line="240" w:lineRule="auto"/>
              <w:rPr>
                <w:rFonts w:cs="Arial"/>
              </w:rPr>
            </w:pPr>
            <w:r w:rsidRPr="00F12C22">
              <w:rPr>
                <w:rFonts w:cs="Arial"/>
              </w:rPr>
              <w:t xml:space="preserve">Prior tests </w:t>
            </w:r>
          </w:p>
        </w:tc>
        <w:tc>
          <w:tcPr>
            <w:tcW w:w="3995" w:type="pct"/>
            <w:tcBorders>
              <w:top w:val="single" w:sz="4" w:space="0" w:color="auto"/>
              <w:left w:val="single" w:sz="4" w:space="0" w:color="auto"/>
              <w:bottom w:val="single" w:sz="4" w:space="0" w:color="auto"/>
              <w:right w:val="single" w:sz="4" w:space="0" w:color="auto"/>
            </w:tcBorders>
            <w:hideMark/>
          </w:tcPr>
          <w:p w14:paraId="0D4365DA" w14:textId="0C8DC598" w:rsidR="00E920FE" w:rsidRPr="00F12C22" w:rsidRDefault="00E920FE" w:rsidP="00E31D34">
            <w:pPr>
              <w:pStyle w:val="ListParagraph"/>
              <w:numPr>
                <w:ilvl w:val="0"/>
                <w:numId w:val="3"/>
              </w:numPr>
              <w:spacing w:before="120" w:after="120" w:line="240" w:lineRule="auto"/>
              <w:ind w:left="227" w:hanging="227"/>
            </w:pPr>
            <w:r w:rsidRPr="00F12C22">
              <w:t>Diagnosis of MAFLD (</w:t>
            </w:r>
            <w:r w:rsidRPr="00F12C22">
              <w:rPr>
                <w:rFonts w:cs="Calibri"/>
              </w:rPr>
              <w:t>≥</w:t>
            </w:r>
            <w:r w:rsidRPr="00F12C22">
              <w:t>5% hepatosteatosis</w:t>
            </w:r>
            <w:r w:rsidR="005D76EF" w:rsidRPr="00F12C22">
              <w:t>,</w:t>
            </w:r>
            <w:r w:rsidRPr="00F12C22">
              <w:t xml:space="preserve"> and at least one of the following</w:t>
            </w:r>
            <w:r w:rsidR="005D76EF" w:rsidRPr="00F12C22">
              <w:t>:</w:t>
            </w:r>
            <w:r w:rsidRPr="00F12C22">
              <w:t xml:space="preserve"> (1) overweight; (2) type 2 diabetes mellitus </w:t>
            </w:r>
            <w:r w:rsidR="000A46A9">
              <w:t>[</w:t>
            </w:r>
            <w:r w:rsidRPr="00F12C22">
              <w:t>T2DM</w:t>
            </w:r>
            <w:r w:rsidR="000A46A9">
              <w:t>]</w:t>
            </w:r>
            <w:r w:rsidRPr="00F12C22">
              <w:t>; or (3) metabolic dysfunction</w:t>
            </w:r>
            <w:r w:rsidR="008C28AE" w:rsidRPr="00F12C22">
              <w:rPr>
                <w:vertAlign w:val="superscript"/>
              </w:rPr>
              <w:t>a</w:t>
            </w:r>
            <w:r w:rsidRPr="00F12C22">
              <w:t>).</w:t>
            </w:r>
          </w:p>
          <w:p w14:paraId="5CF47E43" w14:textId="6E207C6D" w:rsidR="00E920FE" w:rsidRPr="00F12C22" w:rsidRDefault="00E920FE" w:rsidP="00E31D34">
            <w:pPr>
              <w:pStyle w:val="ListParagraph"/>
              <w:numPr>
                <w:ilvl w:val="0"/>
                <w:numId w:val="3"/>
              </w:numPr>
              <w:spacing w:before="120" w:after="120" w:line="240" w:lineRule="auto"/>
              <w:ind w:left="227" w:hanging="227"/>
            </w:pPr>
            <w:r w:rsidRPr="00F12C22">
              <w:t xml:space="preserve">Fibrosis-4 </w:t>
            </w:r>
            <w:r w:rsidR="00B96266" w:rsidRPr="00F12C22">
              <w:t xml:space="preserve">(FIB-4) </w:t>
            </w:r>
            <w:r w:rsidRPr="00F12C22">
              <w:t xml:space="preserve">score (requiring assessment of aspartate aminotransferase </w:t>
            </w:r>
            <w:r w:rsidR="000A46A9">
              <w:t>[</w:t>
            </w:r>
            <w:r w:rsidRPr="00F12C22">
              <w:t>AST</w:t>
            </w:r>
            <w:r w:rsidR="000A46A9">
              <w:t>]</w:t>
            </w:r>
            <w:r w:rsidRPr="00F12C22">
              <w:t xml:space="preserve"> and alanine aminotransferase </w:t>
            </w:r>
            <w:r w:rsidR="000A46A9">
              <w:t>[</w:t>
            </w:r>
            <w:r w:rsidRPr="00F12C22">
              <w:t>ALT</w:t>
            </w:r>
            <w:r w:rsidR="000A46A9">
              <w:t>]</w:t>
            </w:r>
            <w:r w:rsidRPr="00F12C22">
              <w:t xml:space="preserve"> levels and platelet count). </w:t>
            </w:r>
          </w:p>
        </w:tc>
      </w:tr>
      <w:tr w:rsidR="00F12C22" w:rsidRPr="00F12C22"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F12C22" w:rsidRDefault="006478E7" w:rsidP="00E01349">
            <w:pPr>
              <w:spacing w:before="120" w:after="120" w:line="240" w:lineRule="auto"/>
              <w:rPr>
                <w:rFonts w:cs="Arial"/>
              </w:rPr>
            </w:pPr>
            <w:r w:rsidRPr="00F12C22">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7E9F10C8" w14:textId="6BBDB42A" w:rsidR="0049096E" w:rsidRPr="00F12C22" w:rsidRDefault="00E920FE" w:rsidP="00E920FE">
            <w:pPr>
              <w:spacing w:before="120" w:after="120" w:line="240" w:lineRule="auto"/>
              <w:rPr>
                <w:rFonts w:cs="Arial"/>
              </w:rPr>
            </w:pPr>
            <w:r w:rsidRPr="00F12C22">
              <w:rPr>
                <w:rFonts w:cs="Arial"/>
              </w:rPr>
              <w:t>Vibration-Controlled Transient Elastography (</w:t>
            </w:r>
            <w:r w:rsidR="00823CCA" w:rsidRPr="00F12C22">
              <w:rPr>
                <w:rFonts w:cs="Arial"/>
              </w:rPr>
              <w:t>VCTE™</w:t>
            </w:r>
            <w:r w:rsidRPr="00F12C22">
              <w:rPr>
                <w:rFonts w:cs="Arial"/>
              </w:rPr>
              <w:t xml:space="preserve">) </w:t>
            </w:r>
            <w:r w:rsidR="00D5566B" w:rsidRPr="00F12C22">
              <w:rPr>
                <w:rFonts w:cs="Arial"/>
              </w:rPr>
              <w:t>admin</w:t>
            </w:r>
            <w:r w:rsidR="005530D9" w:rsidRPr="00F12C22">
              <w:rPr>
                <w:rFonts w:cs="Arial"/>
              </w:rPr>
              <w:t>i</w:t>
            </w:r>
            <w:r w:rsidR="00D5566B" w:rsidRPr="00F12C22">
              <w:rPr>
                <w:rFonts w:cs="Arial"/>
              </w:rPr>
              <w:t>stered</w:t>
            </w:r>
            <w:r w:rsidRPr="00F12C22">
              <w:rPr>
                <w:rFonts w:cs="Arial"/>
              </w:rPr>
              <w:t xml:space="preserve"> in primary care</w:t>
            </w:r>
            <w:r w:rsidR="00B96266" w:rsidRPr="00F12C22">
              <w:rPr>
                <w:rFonts w:cs="Arial"/>
              </w:rPr>
              <w:t xml:space="preserve"> </w:t>
            </w:r>
            <w:r w:rsidR="008C28AE" w:rsidRPr="00F12C22">
              <w:rPr>
                <w:rFonts w:cs="Arial"/>
              </w:rPr>
              <w:t xml:space="preserve">with or without </w:t>
            </w:r>
            <w:r w:rsidR="009D6E19" w:rsidRPr="00F12C22">
              <w:rPr>
                <w:rFonts w:cs="Arial"/>
              </w:rPr>
              <w:t xml:space="preserve">abdominal </w:t>
            </w:r>
            <w:r w:rsidR="008C28AE" w:rsidRPr="00F12C22">
              <w:rPr>
                <w:rFonts w:cs="Arial"/>
              </w:rPr>
              <w:t xml:space="preserve">ultrasound </w:t>
            </w:r>
            <w:r w:rsidR="00B96266" w:rsidRPr="00F12C22">
              <w:rPr>
                <w:rFonts w:cs="Arial"/>
              </w:rPr>
              <w:t>with subsequent</w:t>
            </w:r>
            <w:r w:rsidR="00DC72E7" w:rsidRPr="00F12C22">
              <w:rPr>
                <w:rFonts w:cs="Arial"/>
              </w:rPr>
              <w:t>:</w:t>
            </w:r>
            <w:r w:rsidR="00B96266" w:rsidRPr="00F12C22">
              <w:rPr>
                <w:rFonts w:cs="Arial"/>
              </w:rPr>
              <w:t xml:space="preserve"> </w:t>
            </w:r>
          </w:p>
          <w:p w14:paraId="51BCD760" w14:textId="204A563C" w:rsidR="0049096E" w:rsidRPr="00F12C22" w:rsidRDefault="00B96266" w:rsidP="00E31D34">
            <w:pPr>
              <w:pStyle w:val="ListParagraph"/>
              <w:numPr>
                <w:ilvl w:val="0"/>
                <w:numId w:val="7"/>
              </w:numPr>
              <w:spacing w:before="120" w:after="120" w:line="240" w:lineRule="auto"/>
              <w:ind w:left="371" w:hanging="371"/>
            </w:pPr>
            <w:r w:rsidRPr="00F12C22">
              <w:rPr>
                <w:rFonts w:cs="Arial"/>
              </w:rPr>
              <w:t xml:space="preserve">management in primary care </w:t>
            </w:r>
            <w:r w:rsidR="0049096E" w:rsidRPr="00F12C22">
              <w:rPr>
                <w:rFonts w:cs="Arial"/>
              </w:rPr>
              <w:t xml:space="preserve">if liver stiffness measurement (LSM) </w:t>
            </w:r>
            <w:r w:rsidR="00DC72E7" w:rsidRPr="00F12C22">
              <w:rPr>
                <w:rFonts w:cs="Arial"/>
              </w:rPr>
              <w:t>&lt;</w:t>
            </w:r>
            <w:r w:rsidR="0049096E" w:rsidRPr="00F12C22">
              <w:rPr>
                <w:rFonts w:cs="Arial"/>
              </w:rPr>
              <w:t xml:space="preserve">8 kilopascals (kPa) by </w:t>
            </w:r>
            <w:r w:rsidR="00823CCA" w:rsidRPr="00F12C22">
              <w:t>VCTE™</w:t>
            </w:r>
            <w:r w:rsidR="0049096E" w:rsidRPr="00F12C22">
              <w:t>;</w:t>
            </w:r>
            <w:r w:rsidR="00DC72E7" w:rsidRPr="00F12C22">
              <w:t xml:space="preserve"> </w:t>
            </w:r>
            <w:r w:rsidR="0049096E" w:rsidRPr="00F12C22">
              <w:t>OR</w:t>
            </w:r>
          </w:p>
          <w:p w14:paraId="2458B273" w14:textId="77777777" w:rsidR="006478E7" w:rsidRPr="00F12C22" w:rsidRDefault="00B96266" w:rsidP="00E31D34">
            <w:pPr>
              <w:pStyle w:val="ListParagraph"/>
              <w:numPr>
                <w:ilvl w:val="0"/>
                <w:numId w:val="7"/>
              </w:numPr>
              <w:spacing w:before="120" w:after="120" w:line="240" w:lineRule="auto"/>
              <w:ind w:left="371" w:hanging="371"/>
            </w:pPr>
            <w:r w:rsidRPr="00F12C22">
              <w:rPr>
                <w:rFonts w:cs="Arial"/>
              </w:rPr>
              <w:t xml:space="preserve">referral to specialist care </w:t>
            </w:r>
            <w:r w:rsidR="0049096E" w:rsidRPr="00F12C22">
              <w:rPr>
                <w:rFonts w:cs="Arial"/>
              </w:rPr>
              <w:t xml:space="preserve">if LSM </w:t>
            </w:r>
            <w:r w:rsidRPr="00F12C22">
              <w:rPr>
                <w:rFonts w:cs="Calibri"/>
              </w:rPr>
              <w:t>≥</w:t>
            </w:r>
            <w:r w:rsidRPr="00F12C22">
              <w:rPr>
                <w:rFonts w:cs="Arial"/>
              </w:rPr>
              <w:t>8</w:t>
            </w:r>
            <w:r w:rsidR="00DC72E7" w:rsidRPr="00F12C22">
              <w:rPr>
                <w:rFonts w:cs="Arial"/>
              </w:rPr>
              <w:t xml:space="preserve"> </w:t>
            </w:r>
            <w:r w:rsidRPr="00F12C22">
              <w:rPr>
                <w:rFonts w:cs="Arial"/>
              </w:rPr>
              <w:t>kPa</w:t>
            </w:r>
            <w:r w:rsidR="0049096E" w:rsidRPr="00F12C22">
              <w:rPr>
                <w:rFonts w:cs="Arial"/>
              </w:rPr>
              <w:t xml:space="preserve"> by </w:t>
            </w:r>
            <w:r w:rsidR="00823CCA" w:rsidRPr="00F12C22">
              <w:t>VCTE™</w:t>
            </w:r>
            <w:r w:rsidRPr="00F12C22">
              <w:rPr>
                <w:rFonts w:cs="Arial"/>
              </w:rPr>
              <w:t>.</w:t>
            </w:r>
          </w:p>
          <w:p w14:paraId="6EE0C950" w14:textId="58F7F7A6" w:rsidR="008C28AE" w:rsidRPr="00F12C22" w:rsidRDefault="00DA0606" w:rsidP="008C28AE">
            <w:pPr>
              <w:spacing w:before="120" w:after="120" w:line="240" w:lineRule="auto"/>
            </w:pPr>
            <w:r w:rsidRPr="00F12C22">
              <w:t>A</w:t>
            </w:r>
            <w:r w:rsidR="008C28AE" w:rsidRPr="00F12C22">
              <w:t>dditionally includes a consultation to (i) collect relevant information, including taking a patient history; (ii) initiate interventions and referrals as indicated; (iii) implement a management plan</w:t>
            </w:r>
            <w:r w:rsidR="00E379C5">
              <w:t>;</w:t>
            </w:r>
            <w:r w:rsidR="008C28AE" w:rsidRPr="00F12C22">
              <w:t xml:space="preserve"> and (iv) provide the patient with preventative health care advice and information.</w:t>
            </w:r>
          </w:p>
          <w:p w14:paraId="3E51DB12" w14:textId="3F96F1B2" w:rsidR="00370729" w:rsidRPr="00F12C22" w:rsidRDefault="00370729" w:rsidP="008C28AE">
            <w:pPr>
              <w:spacing w:before="120" w:after="120" w:line="240" w:lineRule="auto"/>
            </w:pPr>
            <w:r w:rsidRPr="00F12C22">
              <w:t>The item is proposed as 1 service only every 3 years.</w:t>
            </w:r>
          </w:p>
        </w:tc>
      </w:tr>
      <w:tr w:rsidR="00F12C22" w:rsidRPr="00F12C22"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E920FE" w:rsidRPr="00F12C22" w:rsidRDefault="00E920FE" w:rsidP="00E920FE">
            <w:pPr>
              <w:spacing w:before="120" w:after="120" w:line="240" w:lineRule="auto"/>
              <w:rPr>
                <w:rFonts w:cs="Arial"/>
              </w:rPr>
            </w:pPr>
            <w:r w:rsidRPr="00F12C22">
              <w:rPr>
                <w:rFonts w:cs="Arial"/>
              </w:rPr>
              <w:t>Comparator/s</w:t>
            </w:r>
          </w:p>
        </w:tc>
        <w:tc>
          <w:tcPr>
            <w:tcW w:w="3995" w:type="pct"/>
            <w:tcBorders>
              <w:top w:val="single" w:sz="4" w:space="0" w:color="auto"/>
              <w:left w:val="single" w:sz="4" w:space="0" w:color="auto"/>
              <w:bottom w:val="single" w:sz="4" w:space="0" w:color="auto"/>
              <w:right w:val="single" w:sz="4" w:space="0" w:color="auto"/>
            </w:tcBorders>
            <w:hideMark/>
          </w:tcPr>
          <w:p w14:paraId="27F970E3" w14:textId="5EDB0CA5" w:rsidR="0049096E" w:rsidRPr="00F12C22" w:rsidRDefault="009D6E19" w:rsidP="00E920FE">
            <w:pPr>
              <w:spacing w:before="120" w:after="120" w:line="240" w:lineRule="auto"/>
              <w:rPr>
                <w:rFonts w:cs="Arial"/>
              </w:rPr>
            </w:pPr>
            <w:r w:rsidRPr="00F12C22">
              <w:rPr>
                <w:rFonts w:cs="Arial"/>
              </w:rPr>
              <w:t xml:space="preserve">For </w:t>
            </w:r>
            <w:r w:rsidRPr="00F12C22">
              <w:t xml:space="preserve">VCTE™: </w:t>
            </w:r>
            <w:r w:rsidR="00B73DD9">
              <w:rPr>
                <w:rFonts w:cs="Arial"/>
              </w:rPr>
              <w:t>Standard of care (</w:t>
            </w:r>
            <w:r w:rsidR="00EF5969">
              <w:rPr>
                <w:rFonts w:cs="Arial"/>
              </w:rPr>
              <w:t xml:space="preserve">which may include </w:t>
            </w:r>
            <w:r w:rsidR="00B73DD9" w:rsidRPr="00B73DD9">
              <w:rPr>
                <w:rFonts w:cs="Arial"/>
              </w:rPr>
              <w:t>referral for liver ultrasound, referral to a specialist, or ongoing management in primary care without referral or further testing. It could also include other non-funded tests</w:t>
            </w:r>
            <w:r w:rsidR="009B0080">
              <w:rPr>
                <w:rFonts w:cs="Arial"/>
              </w:rPr>
              <w:t xml:space="preserve"> for the diagnosis of </w:t>
            </w:r>
            <w:r w:rsidR="0071644D">
              <w:rPr>
                <w:rFonts w:cs="Arial"/>
              </w:rPr>
              <w:t>advanced</w:t>
            </w:r>
            <w:r w:rsidR="001A5813">
              <w:rPr>
                <w:rFonts w:cs="Arial"/>
              </w:rPr>
              <w:t xml:space="preserve"> </w:t>
            </w:r>
            <w:r w:rsidR="009B0080">
              <w:rPr>
                <w:rFonts w:cs="Arial"/>
              </w:rPr>
              <w:t>fibrosis</w:t>
            </w:r>
            <w:r w:rsidR="00B73DD9">
              <w:rPr>
                <w:rFonts w:cs="Arial"/>
              </w:rPr>
              <w:t>)</w:t>
            </w:r>
            <w:r w:rsidR="00B73DD9" w:rsidRPr="00B73DD9">
              <w:rPr>
                <w:rFonts w:cs="Arial"/>
              </w:rPr>
              <w:t>.</w:t>
            </w:r>
          </w:p>
          <w:p w14:paraId="7E690E4B" w14:textId="7DF08DA2" w:rsidR="00E920FE" w:rsidRPr="00F12C22" w:rsidRDefault="009D6E19" w:rsidP="00E920FE">
            <w:pPr>
              <w:spacing w:before="120" w:after="120" w:line="240" w:lineRule="auto"/>
              <w:rPr>
                <w:rFonts w:cs="Arial"/>
              </w:rPr>
            </w:pPr>
            <w:r w:rsidRPr="00F12C22">
              <w:rPr>
                <w:rFonts w:cs="Arial"/>
              </w:rPr>
              <w:t xml:space="preserve">For consultation: </w:t>
            </w:r>
            <w:r w:rsidR="003912AE" w:rsidRPr="00F12C22">
              <w:rPr>
                <w:rFonts w:cs="Arial"/>
              </w:rPr>
              <w:t xml:space="preserve">standard </w:t>
            </w:r>
            <w:r w:rsidR="00353A66">
              <w:rPr>
                <w:rFonts w:cs="Arial"/>
              </w:rPr>
              <w:t>GP attendanc</w:t>
            </w:r>
            <w:r w:rsidR="000F5BE2">
              <w:rPr>
                <w:rFonts w:cs="Arial"/>
              </w:rPr>
              <w:t>e</w:t>
            </w:r>
            <w:r w:rsidR="00EA0F9B">
              <w:rPr>
                <w:rFonts w:cs="Arial"/>
              </w:rPr>
              <w:t xml:space="preserve"> </w:t>
            </w:r>
            <w:r w:rsidR="003912AE" w:rsidRPr="00F12C22">
              <w:rPr>
                <w:rFonts w:cs="Arial"/>
              </w:rPr>
              <w:t>items (e.g., item</w:t>
            </w:r>
            <w:r w:rsidR="00FB4FDC">
              <w:rPr>
                <w:rFonts w:cs="Arial"/>
              </w:rPr>
              <w:t xml:space="preserve">s </w:t>
            </w:r>
            <w:r w:rsidR="004D7736">
              <w:rPr>
                <w:rFonts w:cs="Arial"/>
              </w:rPr>
              <w:t xml:space="preserve">036, </w:t>
            </w:r>
            <w:r w:rsidR="00FB4FDC">
              <w:rPr>
                <w:rFonts w:cs="Arial"/>
              </w:rPr>
              <w:t>044 or</w:t>
            </w:r>
            <w:r w:rsidR="003912AE" w:rsidRPr="00F12C22">
              <w:rPr>
                <w:rFonts w:cs="Arial"/>
              </w:rPr>
              <w:t xml:space="preserve"> </w:t>
            </w:r>
            <w:r w:rsidR="003E748C" w:rsidRPr="00F12C22">
              <w:rPr>
                <w:rFonts w:cs="Arial"/>
              </w:rPr>
              <w:t>123</w:t>
            </w:r>
            <w:r w:rsidR="00FB4FDC">
              <w:rPr>
                <w:rFonts w:cs="Arial"/>
              </w:rPr>
              <w:t>)</w:t>
            </w:r>
            <w:r w:rsidR="003912AE" w:rsidRPr="00F12C22">
              <w:rPr>
                <w:rFonts w:cs="Arial"/>
              </w:rPr>
              <w:t xml:space="preserve"> which </w:t>
            </w:r>
            <w:r w:rsidR="00EA0F9B">
              <w:rPr>
                <w:rFonts w:cs="Arial"/>
              </w:rPr>
              <w:t xml:space="preserve">include taking a detailed patient history, </w:t>
            </w:r>
            <w:r w:rsidR="00477818">
              <w:rPr>
                <w:rFonts w:cs="Arial"/>
              </w:rPr>
              <w:t xml:space="preserve">clinical examination, arranging investigations, implementing a management plan and </w:t>
            </w:r>
            <w:r w:rsidR="004D7736">
              <w:rPr>
                <w:rFonts w:cs="Arial"/>
              </w:rPr>
              <w:t>providing appropriate preventive health care</w:t>
            </w:r>
            <w:r w:rsidR="003912AE" w:rsidRPr="00F12C22">
              <w:rPr>
                <w:rFonts w:cs="Arial"/>
              </w:rPr>
              <w:t>)</w:t>
            </w:r>
            <w:r w:rsidR="00370729" w:rsidRPr="00F12C22">
              <w:rPr>
                <w:rFonts w:cs="Arial"/>
              </w:rPr>
              <w:t>.</w:t>
            </w:r>
          </w:p>
        </w:tc>
      </w:tr>
      <w:tr w:rsidR="00F12C22" w:rsidRPr="00F12C22"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58FAA8F6" w:rsidR="00E920FE" w:rsidRPr="00F12C22" w:rsidRDefault="00E920FE" w:rsidP="00E920FE">
            <w:pPr>
              <w:spacing w:before="120" w:after="120" w:line="240" w:lineRule="auto"/>
              <w:rPr>
                <w:rFonts w:cs="Arial"/>
              </w:rPr>
            </w:pPr>
            <w:r w:rsidRPr="00F12C22">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0B069D53" w:rsidR="00E920FE" w:rsidRPr="00F12C22" w:rsidRDefault="00E920FE" w:rsidP="00E920FE">
            <w:pPr>
              <w:spacing w:before="120" w:after="120" w:line="240" w:lineRule="auto"/>
              <w:rPr>
                <w:rFonts w:cs="Arial"/>
              </w:rPr>
            </w:pPr>
            <w:r w:rsidRPr="00F12C22">
              <w:rPr>
                <w:rFonts w:cs="Arial"/>
              </w:rPr>
              <w:t>Liver biopsy</w:t>
            </w:r>
          </w:p>
        </w:tc>
      </w:tr>
      <w:tr w:rsidR="00F12C22" w:rsidRPr="00F12C22" w14:paraId="591B1D2D" w14:textId="77777777" w:rsidTr="00022C35">
        <w:trPr>
          <w:cantSplit/>
        </w:trPr>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F12C22" w:rsidRDefault="006478E7" w:rsidP="00E01349">
            <w:pPr>
              <w:spacing w:before="120" w:after="120" w:line="240" w:lineRule="auto"/>
              <w:rPr>
                <w:rFonts w:cs="Arial"/>
              </w:rPr>
            </w:pPr>
            <w:r w:rsidRPr="00F12C22">
              <w:rPr>
                <w:rFonts w:cs="Arial"/>
              </w:rPr>
              <w:lastRenderedPageBreak/>
              <w:t>Outcomes</w:t>
            </w:r>
          </w:p>
        </w:tc>
        <w:tc>
          <w:tcPr>
            <w:tcW w:w="3995" w:type="pct"/>
            <w:tcBorders>
              <w:top w:val="single" w:sz="4" w:space="0" w:color="auto"/>
              <w:left w:val="single" w:sz="4" w:space="0" w:color="auto"/>
              <w:bottom w:val="single" w:sz="4" w:space="0" w:color="auto"/>
              <w:right w:val="single" w:sz="4" w:space="0" w:color="auto"/>
            </w:tcBorders>
            <w:hideMark/>
          </w:tcPr>
          <w:p w14:paraId="702F09C9" w14:textId="38AA4F15" w:rsidR="00E93285" w:rsidRPr="00F12C22" w:rsidRDefault="00DA7276" w:rsidP="00E31D34">
            <w:pPr>
              <w:pStyle w:val="ListParagraph"/>
              <w:numPr>
                <w:ilvl w:val="0"/>
                <w:numId w:val="17"/>
              </w:numPr>
              <w:spacing w:before="120" w:after="120" w:line="240" w:lineRule="auto"/>
              <w:ind w:left="371" w:hanging="371"/>
              <w:rPr>
                <w:rFonts w:cs="Arial"/>
              </w:rPr>
            </w:pPr>
            <w:r>
              <w:rPr>
                <w:rFonts w:cs="Arial"/>
              </w:rPr>
              <w:t>S</w:t>
            </w:r>
            <w:r w:rsidR="00E93285" w:rsidRPr="00F12C22">
              <w:rPr>
                <w:rFonts w:cs="Arial"/>
              </w:rPr>
              <w:t>afety (including any potential risk of harm to the patient)</w:t>
            </w:r>
            <w:r w:rsidR="003947C9">
              <w:rPr>
                <w:rFonts w:cs="Arial"/>
              </w:rPr>
              <w:t>.</w:t>
            </w:r>
          </w:p>
          <w:p w14:paraId="579746B3" w14:textId="3F385EFD" w:rsidR="00E93285" w:rsidRPr="00F12C22" w:rsidRDefault="00DA7276" w:rsidP="00E31D34">
            <w:pPr>
              <w:pStyle w:val="ListParagraph"/>
              <w:numPr>
                <w:ilvl w:val="0"/>
                <w:numId w:val="17"/>
              </w:numPr>
              <w:spacing w:before="120" w:after="120" w:line="240" w:lineRule="auto"/>
              <w:ind w:left="371" w:hanging="371"/>
              <w:rPr>
                <w:rFonts w:cs="Arial"/>
              </w:rPr>
            </w:pPr>
            <w:r>
              <w:rPr>
                <w:rFonts w:cs="Arial"/>
              </w:rPr>
              <w:t>A</w:t>
            </w:r>
            <w:r w:rsidR="00E93285" w:rsidRPr="00F12C22">
              <w:rPr>
                <w:rFonts w:cs="Arial"/>
              </w:rPr>
              <w:t>ccuracy (sensitivity, specificity, positive and negative predictive values)</w:t>
            </w:r>
            <w:r w:rsidR="00B73DD9">
              <w:rPr>
                <w:rFonts w:cs="Arial"/>
              </w:rPr>
              <w:t xml:space="preserve"> compared with the reference standard liver biopsy</w:t>
            </w:r>
            <w:r w:rsidR="003947C9">
              <w:rPr>
                <w:rFonts w:cs="Arial"/>
              </w:rPr>
              <w:t>.</w:t>
            </w:r>
          </w:p>
          <w:p w14:paraId="61802368" w14:textId="1BB9842E" w:rsidR="00E93285" w:rsidRPr="00F12C22" w:rsidRDefault="00DA7276" w:rsidP="00E31D34">
            <w:pPr>
              <w:pStyle w:val="ListParagraph"/>
              <w:numPr>
                <w:ilvl w:val="0"/>
                <w:numId w:val="17"/>
              </w:numPr>
              <w:spacing w:before="120" w:after="120" w:line="240" w:lineRule="auto"/>
              <w:ind w:left="371" w:hanging="371"/>
              <w:rPr>
                <w:rFonts w:cs="Arial"/>
              </w:rPr>
            </w:pPr>
            <w:r>
              <w:rPr>
                <w:rFonts w:cs="Arial"/>
              </w:rPr>
              <w:t>C</w:t>
            </w:r>
            <w:r w:rsidR="00E93285" w:rsidRPr="00F12C22">
              <w:rPr>
                <w:rFonts w:cs="Arial"/>
              </w:rPr>
              <w:t>hange in patient management – change in proportion who remain in primary care, change in proportion who are referred to specialists</w:t>
            </w:r>
            <w:r w:rsidR="00B73DD9">
              <w:rPr>
                <w:rFonts w:cs="Arial"/>
              </w:rPr>
              <w:t>.</w:t>
            </w:r>
          </w:p>
          <w:p w14:paraId="230B9C7B" w14:textId="6D0972FC" w:rsidR="0014402F" w:rsidRPr="00F12C22" w:rsidRDefault="00DA7276" w:rsidP="00E31D34">
            <w:pPr>
              <w:pStyle w:val="ListParagraph"/>
              <w:numPr>
                <w:ilvl w:val="0"/>
                <w:numId w:val="17"/>
              </w:numPr>
              <w:spacing w:before="120" w:after="120" w:line="240" w:lineRule="auto"/>
              <w:ind w:left="371" w:hanging="371"/>
              <w:rPr>
                <w:rFonts w:cs="Arial"/>
              </w:rPr>
            </w:pPr>
            <w:r>
              <w:rPr>
                <w:rFonts w:cs="Arial"/>
              </w:rPr>
              <w:t>P</w:t>
            </w:r>
            <w:r w:rsidR="0014402F" w:rsidRPr="00F12C22">
              <w:rPr>
                <w:rFonts w:cs="Arial"/>
              </w:rPr>
              <w:t xml:space="preserve">atient impacts – inequity in the system where </w:t>
            </w:r>
            <w:r w:rsidR="0014402F" w:rsidRPr="00F12C22">
              <w:rPr>
                <w:rFonts w:cs="Calibri"/>
              </w:rPr>
              <w:t xml:space="preserve">VCTE™ for MAFLD is funded differently to other causes of AF, negative impact resulting from VCTE™ being the only </w:t>
            </w:r>
            <w:r w:rsidR="006B084C">
              <w:rPr>
                <w:rFonts w:cs="Calibri"/>
              </w:rPr>
              <w:t xml:space="preserve">funded </w:t>
            </w:r>
            <w:r w:rsidR="0014402F" w:rsidRPr="00F12C22">
              <w:rPr>
                <w:rFonts w:cs="Calibri"/>
              </w:rPr>
              <w:t>option for determination of AF</w:t>
            </w:r>
            <w:r w:rsidR="003947C9">
              <w:rPr>
                <w:rFonts w:cs="Calibri"/>
              </w:rPr>
              <w:t>.</w:t>
            </w:r>
          </w:p>
          <w:p w14:paraId="0BDB3995" w14:textId="3710AA29" w:rsidR="00E93285" w:rsidRPr="00F12C22" w:rsidRDefault="00DA7276" w:rsidP="00E31D34">
            <w:pPr>
              <w:pStyle w:val="ListParagraph"/>
              <w:numPr>
                <w:ilvl w:val="0"/>
                <w:numId w:val="17"/>
              </w:numPr>
              <w:spacing w:before="120" w:after="120" w:line="240" w:lineRule="auto"/>
              <w:ind w:left="371" w:hanging="371"/>
              <w:rPr>
                <w:rFonts w:cs="Arial"/>
              </w:rPr>
            </w:pPr>
            <w:r>
              <w:rPr>
                <w:rFonts w:cs="Arial"/>
              </w:rPr>
              <w:t>E</w:t>
            </w:r>
            <w:r w:rsidR="00E93285" w:rsidRPr="00F12C22">
              <w:rPr>
                <w:rFonts w:cs="Arial"/>
              </w:rPr>
              <w:t xml:space="preserve">fficacy/effectiveness (including, but not limited to, patient-relevant outcomes such as advanced fibrosis, progression of fibrosis, compensated and decompensated cirrhosis, health-related quality of life, mortality) – of </w:t>
            </w:r>
            <w:r w:rsidR="00E93285" w:rsidRPr="00F12C22">
              <w:rPr>
                <w:rFonts w:cs="Calibri"/>
              </w:rPr>
              <w:t xml:space="preserve">VCTE™ itself and of </w:t>
            </w:r>
            <w:r w:rsidR="002C7E0C">
              <w:rPr>
                <w:rFonts w:cs="Calibri"/>
              </w:rPr>
              <w:t>subsequent management</w:t>
            </w:r>
            <w:r w:rsidR="003947C9">
              <w:rPr>
                <w:rFonts w:cs="Arial"/>
              </w:rPr>
              <w:t>.</w:t>
            </w:r>
          </w:p>
          <w:p w14:paraId="743CB2B6" w14:textId="63FCF466" w:rsidR="00E93285" w:rsidRPr="00F12C22" w:rsidRDefault="00DA7276" w:rsidP="00E31D34">
            <w:pPr>
              <w:pStyle w:val="ListParagraph"/>
              <w:numPr>
                <w:ilvl w:val="0"/>
                <w:numId w:val="17"/>
              </w:numPr>
              <w:spacing w:before="120" w:after="120" w:line="240" w:lineRule="auto"/>
              <w:ind w:left="371" w:hanging="371"/>
              <w:rPr>
                <w:rFonts w:cs="Arial"/>
              </w:rPr>
            </w:pPr>
            <w:r>
              <w:rPr>
                <w:rFonts w:cs="Arial"/>
              </w:rPr>
              <w:t>H</w:t>
            </w:r>
            <w:r w:rsidR="00E93285" w:rsidRPr="00F12C22">
              <w:rPr>
                <w:rFonts w:cs="Arial"/>
              </w:rPr>
              <w:t>ealth care resources</w:t>
            </w:r>
            <w:r w:rsidR="003947C9">
              <w:rPr>
                <w:rFonts w:cs="Arial"/>
              </w:rPr>
              <w:t>.</w:t>
            </w:r>
          </w:p>
          <w:p w14:paraId="57A0E90D" w14:textId="53141F7E" w:rsidR="00E93285" w:rsidRPr="00F12C22" w:rsidRDefault="00DA7276" w:rsidP="00E31D34">
            <w:pPr>
              <w:pStyle w:val="ListParagraph"/>
              <w:numPr>
                <w:ilvl w:val="0"/>
                <w:numId w:val="17"/>
              </w:numPr>
              <w:spacing w:before="120" w:after="120" w:line="240" w:lineRule="auto"/>
              <w:ind w:left="371" w:hanging="371"/>
              <w:rPr>
                <w:rFonts w:cs="Arial"/>
              </w:rPr>
            </w:pPr>
            <w:r>
              <w:rPr>
                <w:rFonts w:cs="Arial"/>
              </w:rPr>
              <w:t>C</w:t>
            </w:r>
            <w:r w:rsidR="00E93285" w:rsidRPr="00F12C22">
              <w:rPr>
                <w:rFonts w:cs="Arial"/>
              </w:rPr>
              <w:t>ost-effectiveness</w:t>
            </w:r>
            <w:r w:rsidR="003947C9">
              <w:rPr>
                <w:rFonts w:cs="Arial"/>
              </w:rPr>
              <w:t>.</w:t>
            </w:r>
          </w:p>
          <w:p w14:paraId="6F9242D7" w14:textId="46EF6774" w:rsidR="00E01349" w:rsidRPr="00F12C22" w:rsidRDefault="00DA7276" w:rsidP="003F3075">
            <w:pPr>
              <w:pStyle w:val="ListParagraph"/>
              <w:numPr>
                <w:ilvl w:val="0"/>
                <w:numId w:val="17"/>
              </w:numPr>
              <w:spacing w:before="120" w:after="120" w:line="240" w:lineRule="auto"/>
              <w:ind w:left="371" w:hanging="371"/>
            </w:pPr>
            <w:r>
              <w:rPr>
                <w:rFonts w:cs="Arial"/>
              </w:rPr>
              <w:t>T</w:t>
            </w:r>
            <w:r w:rsidR="00E93285" w:rsidRPr="00F12C22">
              <w:rPr>
                <w:rFonts w:cs="Arial"/>
              </w:rPr>
              <w:t>otal Australian Government health care costs.</w:t>
            </w:r>
          </w:p>
        </w:tc>
      </w:tr>
      <w:tr w:rsidR="00F12C22" w:rsidRPr="00F12C22"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F12C22" w:rsidRDefault="00BB1698" w:rsidP="00E01349">
            <w:pPr>
              <w:spacing w:before="120" w:after="120" w:line="240" w:lineRule="auto"/>
              <w:rPr>
                <w:rFonts w:cs="Arial"/>
              </w:rPr>
            </w:pPr>
            <w:r w:rsidRPr="00F12C22">
              <w:rPr>
                <w:rFonts w:cs="Arial"/>
              </w:rPr>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368E957C" w:rsidR="00BB1698" w:rsidRPr="005C67C7" w:rsidRDefault="00BB1698" w:rsidP="00E01349">
            <w:pPr>
              <w:spacing w:before="120" w:after="120" w:line="240" w:lineRule="auto"/>
            </w:pPr>
            <w:r w:rsidRPr="005C67C7">
              <w:t xml:space="preserve">What is the safety, effectiveness and cost-effectiveness of </w:t>
            </w:r>
            <w:r w:rsidR="008A2BA2" w:rsidRPr="00F12C22">
              <w:t xml:space="preserve">VCTE™ </w:t>
            </w:r>
            <w:r w:rsidRPr="005C67C7">
              <w:t xml:space="preserve">versus </w:t>
            </w:r>
            <w:r w:rsidR="00B73DD9">
              <w:t>standard of care</w:t>
            </w:r>
            <w:r w:rsidRPr="005C67C7">
              <w:t xml:space="preserve"> in </w:t>
            </w:r>
            <w:r w:rsidR="008A2BA2" w:rsidRPr="005C67C7">
              <w:t xml:space="preserve">patients </w:t>
            </w:r>
            <w:r w:rsidR="0056204C" w:rsidRPr="005C67C7">
              <w:t xml:space="preserve">in primary care </w:t>
            </w:r>
            <w:r w:rsidR="008A2BA2" w:rsidRPr="005C67C7">
              <w:t>with a diagnosis of MAFLD and a FIB-4 score of 1.3 to 2.7</w:t>
            </w:r>
            <w:r w:rsidR="007F451E">
              <w:t xml:space="preserve"> for the detection and risk stratification of intermediate to advanced</w:t>
            </w:r>
            <w:r w:rsidR="00206C4A">
              <w:t xml:space="preserve"> liver</w:t>
            </w:r>
            <w:r w:rsidR="007F451E">
              <w:t xml:space="preserve"> fibrosis</w:t>
            </w:r>
            <w:r w:rsidRPr="005C67C7">
              <w:t>?</w:t>
            </w:r>
          </w:p>
        </w:tc>
      </w:tr>
    </w:tbl>
    <w:p w14:paraId="0C2EB6F9" w14:textId="61B3C2B7" w:rsidR="00AD5AA0" w:rsidRPr="00F12C22" w:rsidRDefault="008C28AE" w:rsidP="005C67C7">
      <w:pPr>
        <w:tabs>
          <w:tab w:val="left" w:pos="284"/>
        </w:tabs>
      </w:pPr>
      <w:r w:rsidRPr="00F12C22">
        <w:rPr>
          <w:rFonts w:ascii="Arial Narrow" w:hAnsi="Arial Narrow"/>
          <w:sz w:val="16"/>
          <w:szCs w:val="16"/>
          <w:vertAlign w:val="superscript"/>
        </w:rPr>
        <w:t>a</w:t>
      </w:r>
      <w:r w:rsidRPr="00F12C22">
        <w:rPr>
          <w:rFonts w:ascii="Arial Narrow" w:hAnsi="Arial Narrow"/>
          <w:sz w:val="16"/>
          <w:szCs w:val="16"/>
          <w:vertAlign w:val="superscript"/>
        </w:rPr>
        <w:tab/>
      </w:r>
      <w:r w:rsidRPr="005C67C7">
        <w:rPr>
          <w:rFonts w:ascii="Arial Narrow" w:hAnsi="Arial Narrow"/>
          <w:sz w:val="16"/>
          <w:szCs w:val="16"/>
        </w:rPr>
        <w:t>(i)</w:t>
      </w:r>
      <w:r w:rsidRPr="00F12C22">
        <w:rPr>
          <w:rFonts w:ascii="Arial Narrow" w:hAnsi="Arial Narrow"/>
          <w:sz w:val="16"/>
          <w:szCs w:val="16"/>
        </w:rPr>
        <w:t xml:space="preserve"> </w:t>
      </w:r>
      <w:r w:rsidRPr="005C67C7">
        <w:rPr>
          <w:rFonts w:ascii="Arial Narrow" w:hAnsi="Arial Narrow"/>
          <w:sz w:val="16"/>
          <w:szCs w:val="16"/>
        </w:rPr>
        <w:t>Elevated waist circumference:</w:t>
      </w:r>
      <w:r w:rsidRPr="005C67C7">
        <w:rPr>
          <w:rFonts w:ascii="Arial" w:hAnsi="Arial" w:cs="Arial"/>
          <w:sz w:val="16"/>
          <w:szCs w:val="16"/>
        </w:rPr>
        <w:t> </w:t>
      </w:r>
      <w:r w:rsidRPr="005C67C7">
        <w:rPr>
          <w:rFonts w:ascii="Arial Narrow" w:hAnsi="Arial Narrow" w:cs="Arial Narrow"/>
          <w:sz w:val="16"/>
          <w:szCs w:val="16"/>
        </w:rPr>
        <w:t>≥</w:t>
      </w:r>
      <w:r w:rsidRPr="005C67C7">
        <w:rPr>
          <w:rFonts w:ascii="Arial Narrow" w:hAnsi="Arial Narrow"/>
          <w:sz w:val="16"/>
          <w:szCs w:val="16"/>
        </w:rPr>
        <w:t xml:space="preserve">90 centimetres (cm) in males or </w:t>
      </w:r>
      <w:r w:rsidRPr="005C67C7">
        <w:rPr>
          <w:rFonts w:ascii="Arial Narrow" w:hAnsi="Arial Narrow" w:cs="Arial Narrow"/>
          <w:sz w:val="16"/>
          <w:szCs w:val="16"/>
        </w:rPr>
        <w:t>≥</w:t>
      </w:r>
      <w:r w:rsidRPr="005C67C7">
        <w:rPr>
          <w:rFonts w:ascii="Arial Narrow" w:hAnsi="Arial Narrow"/>
          <w:sz w:val="16"/>
          <w:szCs w:val="16"/>
        </w:rPr>
        <w:t>80 cm in females among the Asian population or</w:t>
      </w:r>
      <w:r w:rsidRPr="005C67C7">
        <w:rPr>
          <w:rFonts w:ascii="Arial" w:hAnsi="Arial" w:cs="Arial"/>
          <w:sz w:val="16"/>
          <w:szCs w:val="16"/>
        </w:rPr>
        <w:t> </w:t>
      </w:r>
      <w:r w:rsidRPr="005C67C7">
        <w:rPr>
          <w:rFonts w:ascii="Arial Narrow" w:hAnsi="Arial Narrow" w:cs="Arial Narrow"/>
          <w:sz w:val="16"/>
          <w:szCs w:val="16"/>
        </w:rPr>
        <w:t>≥</w:t>
      </w:r>
      <w:r w:rsidRPr="005C67C7">
        <w:rPr>
          <w:rFonts w:ascii="Arial Narrow" w:hAnsi="Arial Narrow"/>
          <w:sz w:val="16"/>
          <w:szCs w:val="16"/>
        </w:rPr>
        <w:t xml:space="preserve">102 cm in males or </w:t>
      </w:r>
      <w:r w:rsidRPr="005C67C7">
        <w:rPr>
          <w:rFonts w:ascii="Arial Narrow" w:hAnsi="Arial Narrow" w:cs="Arial Narrow"/>
          <w:sz w:val="16"/>
          <w:szCs w:val="16"/>
        </w:rPr>
        <w:t>≥</w:t>
      </w:r>
      <w:r w:rsidRPr="005C67C7">
        <w:rPr>
          <w:rFonts w:ascii="Arial Narrow" w:hAnsi="Arial Narrow"/>
          <w:sz w:val="16"/>
          <w:szCs w:val="16"/>
        </w:rPr>
        <w:t>88 cm in females among all other ethnicities.</w:t>
      </w:r>
      <w:r w:rsidRPr="00F12C22">
        <w:rPr>
          <w:rFonts w:ascii="Arial Narrow" w:hAnsi="Arial Narrow"/>
          <w:sz w:val="16"/>
          <w:szCs w:val="16"/>
        </w:rPr>
        <w:t xml:space="preserve"> </w:t>
      </w:r>
      <w:r w:rsidRPr="005C67C7">
        <w:rPr>
          <w:rFonts w:ascii="Arial Narrow" w:hAnsi="Arial Narrow"/>
          <w:sz w:val="16"/>
          <w:szCs w:val="16"/>
        </w:rPr>
        <w:t>(ii)</w:t>
      </w:r>
      <w:r w:rsidRPr="00F12C22">
        <w:rPr>
          <w:rFonts w:ascii="Arial Narrow" w:hAnsi="Arial Narrow"/>
          <w:sz w:val="16"/>
          <w:szCs w:val="16"/>
        </w:rPr>
        <w:t xml:space="preserve"> </w:t>
      </w:r>
      <w:r w:rsidRPr="005C67C7">
        <w:rPr>
          <w:rFonts w:ascii="Arial Narrow" w:hAnsi="Arial Narrow"/>
          <w:sz w:val="16"/>
          <w:szCs w:val="16"/>
        </w:rPr>
        <w:t>Blood pressure</w:t>
      </w:r>
      <w:r w:rsidRPr="005C67C7">
        <w:rPr>
          <w:rFonts w:ascii="Arial" w:hAnsi="Arial" w:cs="Arial"/>
          <w:sz w:val="16"/>
          <w:szCs w:val="16"/>
        </w:rPr>
        <w:t> </w:t>
      </w:r>
      <w:r w:rsidRPr="005C67C7">
        <w:rPr>
          <w:rFonts w:ascii="Arial Narrow" w:hAnsi="Arial Narrow" w:cs="Arial Narrow"/>
          <w:sz w:val="16"/>
          <w:szCs w:val="16"/>
        </w:rPr>
        <w:t>≥</w:t>
      </w:r>
      <w:r w:rsidRPr="005C67C7">
        <w:rPr>
          <w:rFonts w:ascii="Arial Narrow" w:hAnsi="Arial Narrow"/>
          <w:sz w:val="16"/>
          <w:szCs w:val="16"/>
        </w:rPr>
        <w:t>130/85 millimetres of mercury (mmHg) or need for antihypertensive therapy.</w:t>
      </w:r>
      <w:r w:rsidRPr="00F12C22">
        <w:rPr>
          <w:rFonts w:ascii="Arial Narrow" w:hAnsi="Arial Narrow"/>
          <w:sz w:val="16"/>
          <w:szCs w:val="16"/>
        </w:rPr>
        <w:t xml:space="preserve"> </w:t>
      </w:r>
      <w:r w:rsidRPr="005C67C7">
        <w:rPr>
          <w:rFonts w:ascii="Arial Narrow" w:hAnsi="Arial Narrow"/>
          <w:sz w:val="16"/>
          <w:szCs w:val="16"/>
        </w:rPr>
        <w:t>(iii)</w:t>
      </w:r>
      <w:r w:rsidRPr="00F12C22">
        <w:rPr>
          <w:rFonts w:ascii="Arial Narrow" w:hAnsi="Arial Narrow"/>
          <w:sz w:val="16"/>
          <w:szCs w:val="16"/>
        </w:rPr>
        <w:t xml:space="preserve"> </w:t>
      </w:r>
      <w:r w:rsidRPr="005C67C7">
        <w:rPr>
          <w:rFonts w:ascii="Arial Narrow" w:hAnsi="Arial Narrow"/>
          <w:sz w:val="16"/>
          <w:szCs w:val="16"/>
        </w:rPr>
        <w:t>Plasma triglycerides</w:t>
      </w:r>
      <w:r w:rsidRPr="005C67C7">
        <w:rPr>
          <w:rFonts w:ascii="Arial" w:hAnsi="Arial" w:cs="Arial"/>
          <w:sz w:val="16"/>
          <w:szCs w:val="16"/>
        </w:rPr>
        <w:t> </w:t>
      </w:r>
      <w:r w:rsidRPr="005C67C7">
        <w:rPr>
          <w:rFonts w:ascii="Arial Narrow" w:hAnsi="Arial Narrow" w:cs="Arial Narrow"/>
          <w:sz w:val="16"/>
          <w:szCs w:val="16"/>
        </w:rPr>
        <w:t>≥</w:t>
      </w:r>
      <w:r w:rsidRPr="005C67C7">
        <w:rPr>
          <w:rFonts w:ascii="Arial Narrow" w:hAnsi="Arial Narrow"/>
          <w:sz w:val="16"/>
          <w:szCs w:val="16"/>
        </w:rPr>
        <w:t>1.70 millimole per litre (mmol/L) or need for specific lipid-lowering therapy.</w:t>
      </w:r>
      <w:r w:rsidRPr="00F12C22">
        <w:rPr>
          <w:rFonts w:ascii="Arial Narrow" w:hAnsi="Arial Narrow"/>
          <w:sz w:val="16"/>
          <w:szCs w:val="16"/>
        </w:rPr>
        <w:t xml:space="preserve"> </w:t>
      </w:r>
      <w:r w:rsidRPr="005C67C7">
        <w:rPr>
          <w:rFonts w:ascii="Arial Narrow" w:hAnsi="Arial Narrow"/>
          <w:sz w:val="16"/>
          <w:szCs w:val="16"/>
        </w:rPr>
        <w:t>(iv)</w:t>
      </w:r>
      <w:r w:rsidRPr="00F12C22">
        <w:rPr>
          <w:rFonts w:ascii="Arial Narrow" w:hAnsi="Arial Narrow"/>
          <w:sz w:val="16"/>
          <w:szCs w:val="16"/>
        </w:rPr>
        <w:t xml:space="preserve"> </w:t>
      </w:r>
      <w:r w:rsidRPr="005C67C7">
        <w:rPr>
          <w:rFonts w:ascii="Arial Narrow" w:hAnsi="Arial Narrow"/>
          <w:sz w:val="16"/>
          <w:szCs w:val="16"/>
        </w:rPr>
        <w:t>Plasma HDL-cholesterol</w:t>
      </w:r>
      <w:r w:rsidRPr="005C67C7">
        <w:rPr>
          <w:rFonts w:ascii="Arial" w:hAnsi="Arial" w:cs="Arial"/>
          <w:sz w:val="16"/>
          <w:szCs w:val="16"/>
        </w:rPr>
        <w:t> </w:t>
      </w:r>
      <w:r w:rsidRPr="005C67C7">
        <w:rPr>
          <w:rFonts w:ascii="Arial Narrow" w:hAnsi="Arial Narrow"/>
          <w:sz w:val="16"/>
          <w:szCs w:val="16"/>
        </w:rPr>
        <w:t>&lt;1.0 mmol/L for males or</w:t>
      </w:r>
      <w:r w:rsidRPr="005C67C7">
        <w:rPr>
          <w:rFonts w:ascii="Arial" w:hAnsi="Arial" w:cs="Arial"/>
          <w:sz w:val="16"/>
          <w:szCs w:val="16"/>
        </w:rPr>
        <w:t> </w:t>
      </w:r>
      <w:r w:rsidRPr="005C67C7">
        <w:rPr>
          <w:rFonts w:ascii="Arial Narrow" w:hAnsi="Arial Narrow"/>
          <w:sz w:val="16"/>
          <w:szCs w:val="16"/>
        </w:rPr>
        <w:t>&lt;1.3 mmol/L for females or need for specific therapy.</w:t>
      </w:r>
      <w:r w:rsidRPr="00F12C22">
        <w:rPr>
          <w:rFonts w:ascii="Arial Narrow" w:hAnsi="Arial Narrow"/>
          <w:sz w:val="16"/>
          <w:szCs w:val="16"/>
        </w:rPr>
        <w:t xml:space="preserve"> </w:t>
      </w:r>
      <w:r w:rsidRPr="005C67C7">
        <w:rPr>
          <w:rFonts w:ascii="Arial Narrow" w:hAnsi="Arial Narrow"/>
          <w:sz w:val="16"/>
          <w:szCs w:val="16"/>
        </w:rPr>
        <w:t>(v)</w:t>
      </w:r>
      <w:r w:rsidRPr="00F12C22">
        <w:rPr>
          <w:rFonts w:ascii="Arial Narrow" w:hAnsi="Arial Narrow"/>
          <w:sz w:val="16"/>
          <w:szCs w:val="16"/>
        </w:rPr>
        <w:t xml:space="preserve"> </w:t>
      </w:r>
      <w:r w:rsidRPr="005C67C7">
        <w:rPr>
          <w:rFonts w:ascii="Arial Narrow" w:hAnsi="Arial Narrow"/>
          <w:sz w:val="16"/>
          <w:szCs w:val="16"/>
        </w:rPr>
        <w:t>Prediabetes according to standardised criteria.</w:t>
      </w:r>
      <w:r w:rsidRPr="00F12C22">
        <w:rPr>
          <w:rFonts w:ascii="Arial Narrow" w:hAnsi="Arial Narrow"/>
          <w:sz w:val="16"/>
          <w:szCs w:val="16"/>
        </w:rPr>
        <w:t xml:space="preserve"> </w:t>
      </w:r>
      <w:r w:rsidRPr="005C67C7">
        <w:rPr>
          <w:rFonts w:ascii="Arial Narrow" w:hAnsi="Arial Narrow"/>
          <w:sz w:val="16"/>
          <w:szCs w:val="16"/>
        </w:rPr>
        <w:t>(vi)</w:t>
      </w:r>
      <w:r w:rsidRPr="00F12C22">
        <w:rPr>
          <w:rFonts w:ascii="Arial Narrow" w:hAnsi="Arial Narrow"/>
          <w:sz w:val="16"/>
          <w:szCs w:val="16"/>
        </w:rPr>
        <w:t xml:space="preserve"> </w:t>
      </w:r>
      <w:r w:rsidRPr="005C67C7">
        <w:rPr>
          <w:rFonts w:ascii="Arial Narrow" w:hAnsi="Arial Narrow"/>
          <w:sz w:val="16"/>
          <w:szCs w:val="16"/>
        </w:rPr>
        <w:t>Homeostatic model assessment for insulin resistance (HOMA-IR) score</w:t>
      </w:r>
      <w:r w:rsidRPr="005C67C7">
        <w:rPr>
          <w:rFonts w:ascii="Arial" w:hAnsi="Arial" w:cs="Arial"/>
          <w:sz w:val="16"/>
          <w:szCs w:val="16"/>
        </w:rPr>
        <w:t> </w:t>
      </w:r>
      <w:r w:rsidRPr="005C67C7">
        <w:rPr>
          <w:rFonts w:ascii="Arial Narrow" w:hAnsi="Arial Narrow" w:cs="Arial Narrow"/>
          <w:sz w:val="16"/>
          <w:szCs w:val="16"/>
        </w:rPr>
        <w:t>≥</w:t>
      </w:r>
      <w:r w:rsidRPr="005C67C7">
        <w:rPr>
          <w:rFonts w:ascii="Arial Narrow" w:hAnsi="Arial Narrow"/>
          <w:sz w:val="16"/>
          <w:szCs w:val="16"/>
        </w:rPr>
        <w:t>2.5.</w:t>
      </w:r>
      <w:r w:rsidRPr="00F12C22">
        <w:rPr>
          <w:rFonts w:ascii="Arial Narrow" w:hAnsi="Arial Narrow"/>
          <w:sz w:val="16"/>
          <w:szCs w:val="16"/>
        </w:rPr>
        <w:t xml:space="preserve"> </w:t>
      </w:r>
      <w:r w:rsidRPr="005C67C7">
        <w:rPr>
          <w:rFonts w:ascii="Arial Narrow" w:hAnsi="Arial Narrow"/>
          <w:sz w:val="16"/>
          <w:szCs w:val="16"/>
        </w:rPr>
        <w:t>(vii)</w:t>
      </w:r>
      <w:r w:rsidRPr="00F12C22">
        <w:rPr>
          <w:rFonts w:ascii="Arial Narrow" w:hAnsi="Arial Narrow"/>
          <w:sz w:val="16"/>
          <w:szCs w:val="16"/>
        </w:rPr>
        <w:t xml:space="preserve"> </w:t>
      </w:r>
      <w:r w:rsidRPr="005C67C7">
        <w:rPr>
          <w:rFonts w:ascii="Arial Narrow" w:hAnsi="Arial Narrow"/>
          <w:sz w:val="16"/>
          <w:szCs w:val="16"/>
        </w:rPr>
        <w:t>Plasma high-sensitivity C-reactive protein (HS-CRP)</w:t>
      </w:r>
      <w:r w:rsidRPr="005C67C7">
        <w:rPr>
          <w:rFonts w:ascii="Arial" w:hAnsi="Arial" w:cs="Arial"/>
          <w:sz w:val="16"/>
          <w:szCs w:val="16"/>
        </w:rPr>
        <w:t> </w:t>
      </w:r>
      <w:r w:rsidRPr="005C67C7">
        <w:rPr>
          <w:rFonts w:ascii="Arial Narrow" w:hAnsi="Arial Narrow"/>
          <w:sz w:val="16"/>
          <w:szCs w:val="16"/>
        </w:rPr>
        <w:t>&gt;2 mg/L.</w:t>
      </w:r>
      <w:r w:rsidRPr="00F12C22">
        <w:rPr>
          <w:rFonts w:ascii="Arial Narrow" w:hAnsi="Arial Narrow"/>
          <w:sz w:val="16"/>
          <w:szCs w:val="16"/>
        </w:rPr>
        <w:t xml:space="preserve"> </w:t>
      </w:r>
      <w:r w:rsidR="00AD5AA0" w:rsidRPr="00F12C22">
        <w:br w:type="page"/>
      </w:r>
    </w:p>
    <w:p w14:paraId="772E3124" w14:textId="2BED4297" w:rsidR="00AD5AA0" w:rsidRPr="00F12C22" w:rsidRDefault="00AD5AA0" w:rsidP="00AD5AA0">
      <w:pPr>
        <w:pStyle w:val="Caption"/>
      </w:pPr>
      <w:r w:rsidRPr="00F12C22">
        <w:lastRenderedPageBreak/>
        <w:t>Table </w:t>
      </w:r>
      <w:r w:rsidRPr="00F12C22">
        <w:fldChar w:fldCharType="begin"/>
      </w:r>
      <w:r w:rsidRPr="00F12C22">
        <w:instrText xml:space="preserve"> SEQ Table \* ARABIC </w:instrText>
      </w:r>
      <w:r w:rsidRPr="00F12C22">
        <w:fldChar w:fldCharType="separate"/>
      </w:r>
      <w:r w:rsidR="00D917C4">
        <w:rPr>
          <w:noProof/>
        </w:rPr>
        <w:t>2</w:t>
      </w:r>
      <w:r w:rsidRPr="00F12C22">
        <w:fldChar w:fldCharType="end"/>
      </w:r>
      <w:r w:rsidRPr="00F12C22">
        <w:tab/>
        <w:t>PICO for Vibration-Controlled Transient Elastography (</w:t>
      </w:r>
      <w:r w:rsidR="00823CCA" w:rsidRPr="00F12C22">
        <w:t>VCTE™</w:t>
      </w:r>
      <w:r w:rsidRPr="00F12C22">
        <w:t>) in specialist care for identifying advanced fibrosis in patients with metabolic dysfunction-associated fatty liver disease (MAFLD): PICO Set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Vibration-Controlled Transient Elastography (VCTE™) in specialist care for identifying advanced fibrosis in patients with metabolic dysfunction-associated fatty liver disease (MAFLD): PICO Set 2"/>
        <w:tblDescription w:val="PICO for Vibration-Controlled Transient Elastography (VCTE™) in specialist care for identifying advanced fibrosis in patients with metabolic dysfunction-associated fatty liver disease (MAFLD): PICO Set 2"/>
      </w:tblPr>
      <w:tblGrid>
        <w:gridCol w:w="1923"/>
        <w:gridCol w:w="7643"/>
      </w:tblGrid>
      <w:tr w:rsidR="00F12C22" w:rsidRPr="00F12C22" w14:paraId="7E1A164C" w14:textId="77777777" w:rsidTr="0674DC20">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220253E" w14:textId="77777777" w:rsidR="00AD5AA0" w:rsidRPr="00F12C22" w:rsidRDefault="00AD5AA0">
            <w:pPr>
              <w:spacing w:before="20" w:after="20" w:line="240" w:lineRule="auto"/>
              <w:rPr>
                <w:b/>
              </w:rPr>
            </w:pPr>
            <w:r w:rsidRPr="00F12C22">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19C67" w14:textId="77777777" w:rsidR="00AD5AA0" w:rsidRPr="00F12C22" w:rsidRDefault="00AD5AA0">
            <w:pPr>
              <w:spacing w:before="20" w:after="20" w:line="240" w:lineRule="auto"/>
              <w:rPr>
                <w:b/>
              </w:rPr>
            </w:pPr>
            <w:r w:rsidRPr="00F12C22">
              <w:rPr>
                <w:b/>
              </w:rPr>
              <w:t>Description</w:t>
            </w:r>
          </w:p>
        </w:tc>
      </w:tr>
      <w:tr w:rsidR="00F12C22" w:rsidRPr="00F12C22" w14:paraId="00299F2F" w14:textId="77777777">
        <w:tc>
          <w:tcPr>
            <w:tcW w:w="1005" w:type="pct"/>
            <w:tcBorders>
              <w:top w:val="single" w:sz="8" w:space="0" w:color="auto"/>
              <w:left w:val="single" w:sz="8" w:space="0" w:color="auto"/>
              <w:bottom w:val="single" w:sz="4" w:space="0" w:color="auto"/>
              <w:right w:val="single" w:sz="4" w:space="0" w:color="auto"/>
            </w:tcBorders>
            <w:hideMark/>
          </w:tcPr>
          <w:p w14:paraId="49D65D9E" w14:textId="77777777" w:rsidR="00AD5AA0" w:rsidRPr="00F12C22" w:rsidRDefault="00AD5AA0">
            <w:pPr>
              <w:spacing w:before="120" w:after="120" w:line="240" w:lineRule="auto"/>
              <w:rPr>
                <w:rFonts w:cs="Arial"/>
              </w:rPr>
            </w:pPr>
            <w:r w:rsidRPr="00F12C22">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0BAA9FAF" w14:textId="4662849B" w:rsidR="0049096E" w:rsidRPr="00F12C22" w:rsidRDefault="0056204C" w:rsidP="00AD5AA0">
            <w:pPr>
              <w:spacing w:before="120" w:after="120" w:line="240" w:lineRule="auto"/>
              <w:rPr>
                <w:rFonts w:cs="Arial"/>
              </w:rPr>
            </w:pPr>
            <w:r w:rsidRPr="00F12C22">
              <w:rPr>
                <w:rFonts w:cs="Arial"/>
              </w:rPr>
              <w:t>P</w:t>
            </w:r>
            <w:r w:rsidR="00435981" w:rsidRPr="00F12C22">
              <w:rPr>
                <w:rFonts w:cs="Arial"/>
              </w:rPr>
              <w:t>resenting to specialist care</w:t>
            </w:r>
            <w:r w:rsidRPr="00F12C22">
              <w:rPr>
                <w:rFonts w:cs="Arial"/>
              </w:rPr>
              <w:t>,</w:t>
            </w:r>
            <w:r w:rsidR="00435981" w:rsidRPr="00F12C22">
              <w:rPr>
                <w:rFonts w:cs="Arial"/>
              </w:rPr>
              <w:t xml:space="preserve"> </w:t>
            </w:r>
            <w:r w:rsidRPr="00F12C22">
              <w:rPr>
                <w:rFonts w:cs="Arial"/>
              </w:rPr>
              <w:t xml:space="preserve">patients </w:t>
            </w:r>
            <w:r w:rsidR="00AD5AA0" w:rsidRPr="00F12C22">
              <w:rPr>
                <w:rFonts w:cs="Arial"/>
              </w:rPr>
              <w:t xml:space="preserve">diagnosed with metabolic dysfunction-associated fatty liver disease (MAFLD) </w:t>
            </w:r>
            <w:r w:rsidR="0029616C">
              <w:rPr>
                <w:rFonts w:cs="Arial"/>
              </w:rPr>
              <w:t>with either:</w:t>
            </w:r>
          </w:p>
          <w:p w14:paraId="7B376E7D" w14:textId="77777777" w:rsidR="00A832D2" w:rsidRPr="00A832D2" w:rsidRDefault="00D67125" w:rsidP="00A832D2">
            <w:pPr>
              <w:pStyle w:val="ListParagraph"/>
              <w:numPr>
                <w:ilvl w:val="0"/>
                <w:numId w:val="6"/>
              </w:numPr>
              <w:spacing w:before="120" w:after="120" w:line="240" w:lineRule="auto"/>
              <w:ind w:left="371" w:hanging="371"/>
              <w:rPr>
                <w:iCs/>
              </w:rPr>
            </w:pPr>
            <w:r>
              <w:rPr>
                <w:rFonts w:cs="Arial"/>
              </w:rPr>
              <w:t xml:space="preserve">A </w:t>
            </w:r>
            <w:r w:rsidR="00B96266" w:rsidRPr="00F12C22">
              <w:rPr>
                <w:rFonts w:cs="Arial"/>
              </w:rPr>
              <w:t>FIB-4 test</w:t>
            </w:r>
            <w:r>
              <w:rPr>
                <w:rFonts w:cs="Arial"/>
              </w:rPr>
              <w:t xml:space="preserve"> score of</w:t>
            </w:r>
            <w:r w:rsidR="00DA6755" w:rsidRPr="00F12C22">
              <w:rPr>
                <w:rFonts w:cs="Arial"/>
              </w:rPr>
              <w:t xml:space="preserve"> 1.3 to 2.7 </w:t>
            </w:r>
            <w:r w:rsidR="00DA6755">
              <w:rPr>
                <w:rFonts w:cs="Arial"/>
              </w:rPr>
              <w:t>where</w:t>
            </w:r>
            <w:r w:rsidR="00DA6755" w:rsidRPr="00F12C22">
              <w:rPr>
                <w:rFonts w:cs="Arial"/>
              </w:rPr>
              <w:t xml:space="preserve"> VCTE™</w:t>
            </w:r>
            <w:r w:rsidR="00DA6755">
              <w:rPr>
                <w:rFonts w:cs="Arial"/>
              </w:rPr>
              <w:t xml:space="preserve"> has not been performed</w:t>
            </w:r>
            <w:r w:rsidR="00DA6755" w:rsidRPr="00F12C22">
              <w:rPr>
                <w:rFonts w:cs="Arial"/>
              </w:rPr>
              <w:t xml:space="preserve"> in primary care (e.g., due to lack of access).</w:t>
            </w:r>
          </w:p>
          <w:p w14:paraId="3FD2418D" w14:textId="0C1B660D" w:rsidR="00AD5AA0" w:rsidRPr="00F12C22" w:rsidRDefault="0005328B" w:rsidP="0005328B">
            <w:pPr>
              <w:pStyle w:val="ListParagraph"/>
              <w:numPr>
                <w:ilvl w:val="0"/>
                <w:numId w:val="6"/>
              </w:numPr>
              <w:spacing w:before="120" w:after="120" w:line="240" w:lineRule="auto"/>
              <w:ind w:left="371" w:hanging="371"/>
            </w:pPr>
            <w:r w:rsidRPr="00A832D2">
              <w:rPr>
                <w:rFonts w:cs="Arial"/>
              </w:rPr>
              <w:t xml:space="preserve">A FIB-4 score &gt;2.7. Although not specified in the application, the applicant’s clinical expert indicated that conduct of VCTE™ </w:t>
            </w:r>
            <w:r w:rsidR="00E5241D">
              <w:rPr>
                <w:rFonts w:cs="Arial"/>
              </w:rPr>
              <w:t xml:space="preserve">in these patients </w:t>
            </w:r>
            <w:r w:rsidRPr="00A832D2">
              <w:rPr>
                <w:rFonts w:cs="Arial"/>
              </w:rPr>
              <w:t>would provide valuable prognostic information.</w:t>
            </w:r>
          </w:p>
        </w:tc>
      </w:tr>
      <w:tr w:rsidR="00F12C22" w:rsidRPr="00F12C22" w14:paraId="244B8590" w14:textId="77777777">
        <w:tc>
          <w:tcPr>
            <w:tcW w:w="1005" w:type="pct"/>
            <w:tcBorders>
              <w:top w:val="single" w:sz="8" w:space="0" w:color="auto"/>
              <w:left w:val="single" w:sz="8" w:space="0" w:color="auto"/>
              <w:bottom w:val="single" w:sz="4" w:space="0" w:color="auto"/>
              <w:right w:val="single" w:sz="4" w:space="0" w:color="auto"/>
            </w:tcBorders>
            <w:hideMark/>
          </w:tcPr>
          <w:p w14:paraId="57CC8332" w14:textId="6D746977" w:rsidR="00AD5AA0" w:rsidRPr="00F12C22" w:rsidRDefault="00AD5AA0">
            <w:pPr>
              <w:spacing w:before="120" w:after="120" w:line="240" w:lineRule="auto"/>
              <w:rPr>
                <w:rFonts w:cs="Arial"/>
              </w:rPr>
            </w:pPr>
            <w:r w:rsidRPr="00F12C22">
              <w:rPr>
                <w:rFonts w:cs="Arial"/>
              </w:rPr>
              <w:t xml:space="preserve">Prior tests </w:t>
            </w:r>
          </w:p>
        </w:tc>
        <w:tc>
          <w:tcPr>
            <w:tcW w:w="3995" w:type="pct"/>
            <w:tcBorders>
              <w:top w:val="single" w:sz="4" w:space="0" w:color="auto"/>
              <w:left w:val="single" w:sz="4" w:space="0" w:color="auto"/>
              <w:bottom w:val="single" w:sz="4" w:space="0" w:color="auto"/>
              <w:right w:val="single" w:sz="4" w:space="0" w:color="auto"/>
            </w:tcBorders>
            <w:hideMark/>
          </w:tcPr>
          <w:p w14:paraId="3DD8D12E" w14:textId="17098805" w:rsidR="00AD5AA0" w:rsidRPr="00F12C22" w:rsidRDefault="00AD5AA0" w:rsidP="00E31D34">
            <w:pPr>
              <w:pStyle w:val="ListParagraph"/>
              <w:numPr>
                <w:ilvl w:val="0"/>
                <w:numId w:val="3"/>
              </w:numPr>
              <w:spacing w:before="120" w:after="120" w:line="240" w:lineRule="auto"/>
              <w:ind w:left="229" w:hanging="229"/>
            </w:pPr>
            <w:r w:rsidRPr="00F12C22">
              <w:t>Diagnosis of MAFLD (</w:t>
            </w:r>
            <w:r w:rsidRPr="00F12C22">
              <w:rPr>
                <w:rFonts w:cs="Calibri"/>
              </w:rPr>
              <w:t>≥</w:t>
            </w:r>
            <w:r w:rsidRPr="00F12C22">
              <w:t>5% hepatosteatosis</w:t>
            </w:r>
            <w:r w:rsidR="00320CA0" w:rsidRPr="00F12C22">
              <w:t>;</w:t>
            </w:r>
            <w:r w:rsidRPr="00F12C22">
              <w:t xml:space="preserve"> and at least one of the following (1) overweight</w:t>
            </w:r>
            <w:r w:rsidR="00320CA0" w:rsidRPr="00F12C22">
              <w:t>;</w:t>
            </w:r>
            <w:r w:rsidRPr="00F12C22">
              <w:t xml:space="preserve"> (2) type 2 diabetes mellitus </w:t>
            </w:r>
            <w:r w:rsidR="00FF294F">
              <w:t>[</w:t>
            </w:r>
            <w:r w:rsidRPr="00F12C22">
              <w:t>T2DM</w:t>
            </w:r>
            <w:r w:rsidR="00FF294F">
              <w:t>]</w:t>
            </w:r>
            <w:r w:rsidR="00320CA0" w:rsidRPr="00F12C22">
              <w:t>;</w:t>
            </w:r>
            <w:r w:rsidRPr="00F12C22">
              <w:t xml:space="preserve"> or </w:t>
            </w:r>
            <w:r w:rsidR="00320CA0" w:rsidRPr="00F12C22">
              <w:t xml:space="preserve">(3) </w:t>
            </w:r>
            <w:r w:rsidRPr="00F12C22">
              <w:t>metabolic dysfunction</w:t>
            </w:r>
            <w:r w:rsidR="00E770AA" w:rsidRPr="00F12C22">
              <w:rPr>
                <w:vertAlign w:val="superscript"/>
              </w:rPr>
              <w:t>a</w:t>
            </w:r>
            <w:r w:rsidR="00320CA0" w:rsidRPr="00F12C22">
              <w:t>).</w:t>
            </w:r>
          </w:p>
          <w:p w14:paraId="5BD20D0D" w14:textId="0A12809A" w:rsidR="00586A9A" w:rsidRPr="00F12C22" w:rsidRDefault="00320CA0" w:rsidP="002C7E0C">
            <w:pPr>
              <w:pStyle w:val="ListParagraph"/>
              <w:numPr>
                <w:ilvl w:val="0"/>
                <w:numId w:val="3"/>
              </w:numPr>
              <w:spacing w:before="120" w:after="120" w:line="240" w:lineRule="auto"/>
              <w:ind w:left="229" w:hanging="229"/>
            </w:pPr>
            <w:r w:rsidRPr="00F12C22">
              <w:t xml:space="preserve">Fibrosis-4 </w:t>
            </w:r>
            <w:r w:rsidR="00B96266" w:rsidRPr="00F12C22">
              <w:t xml:space="preserve">(FIB-4) </w:t>
            </w:r>
            <w:r w:rsidRPr="00F12C22">
              <w:t>score (requiring assess</w:t>
            </w:r>
            <w:r w:rsidR="007B7EB2" w:rsidRPr="00F12C22">
              <w:t>ment</w:t>
            </w:r>
            <w:r w:rsidRPr="00F12C22">
              <w:t xml:space="preserve"> of aspartate aminotransferase </w:t>
            </w:r>
            <w:r w:rsidR="00FF294F">
              <w:t>[</w:t>
            </w:r>
            <w:r w:rsidRPr="00F12C22">
              <w:t>AST</w:t>
            </w:r>
            <w:r w:rsidR="00FF294F">
              <w:t>]</w:t>
            </w:r>
            <w:r w:rsidRPr="00F12C22">
              <w:t xml:space="preserve">, alanine aminotransferase </w:t>
            </w:r>
            <w:r w:rsidR="00FF294F">
              <w:t>[</w:t>
            </w:r>
            <w:r w:rsidRPr="00F12C22">
              <w:t>ALT</w:t>
            </w:r>
            <w:r w:rsidR="00FF294F">
              <w:t>]</w:t>
            </w:r>
            <w:r w:rsidRPr="00F12C22">
              <w:t xml:space="preserve"> and platelet count). </w:t>
            </w:r>
          </w:p>
        </w:tc>
      </w:tr>
      <w:tr w:rsidR="00F12C22" w:rsidRPr="00F12C22" w14:paraId="61AF576A" w14:textId="77777777">
        <w:tc>
          <w:tcPr>
            <w:tcW w:w="1005" w:type="pct"/>
            <w:tcBorders>
              <w:top w:val="single" w:sz="4" w:space="0" w:color="auto"/>
              <w:left w:val="single" w:sz="8" w:space="0" w:color="auto"/>
              <w:bottom w:val="single" w:sz="4" w:space="0" w:color="auto"/>
              <w:right w:val="single" w:sz="4" w:space="0" w:color="auto"/>
            </w:tcBorders>
            <w:hideMark/>
          </w:tcPr>
          <w:p w14:paraId="004FB6FD" w14:textId="77777777" w:rsidR="00AD5AA0" w:rsidRPr="00F12C22" w:rsidRDefault="00AD5AA0">
            <w:pPr>
              <w:spacing w:before="120" w:after="120" w:line="240" w:lineRule="auto"/>
              <w:rPr>
                <w:rFonts w:cs="Arial"/>
              </w:rPr>
            </w:pPr>
            <w:r w:rsidRPr="00F12C22">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647724DD" w14:textId="746B82E1" w:rsidR="00AD5AA0" w:rsidRPr="00F12C22" w:rsidRDefault="00823CCA" w:rsidP="00DC72E7">
            <w:pPr>
              <w:spacing w:before="120" w:after="120" w:line="240" w:lineRule="auto"/>
            </w:pPr>
            <w:r w:rsidRPr="00F12C22">
              <w:t>VCTE™</w:t>
            </w:r>
            <w:r w:rsidR="00320CA0" w:rsidRPr="00F12C22">
              <w:t xml:space="preserve"> </w:t>
            </w:r>
            <w:r w:rsidR="009D6E19" w:rsidRPr="00F12C22">
              <w:rPr>
                <w:rFonts w:cs="Arial"/>
              </w:rPr>
              <w:t xml:space="preserve">with or without abdominal ultrasound </w:t>
            </w:r>
            <w:r w:rsidR="00DC72E7" w:rsidRPr="00F12C22">
              <w:t xml:space="preserve">and management in </w:t>
            </w:r>
            <w:r w:rsidR="00320CA0" w:rsidRPr="00F12C22">
              <w:t>specialist care</w:t>
            </w:r>
            <w:r w:rsidR="00DC72E7" w:rsidRPr="00F12C22">
              <w:t>.</w:t>
            </w:r>
          </w:p>
          <w:p w14:paraId="199EE1CE" w14:textId="06BE5A0A" w:rsidR="00E770AA" w:rsidRPr="00F12C22" w:rsidRDefault="00DA0606" w:rsidP="00DC72E7">
            <w:pPr>
              <w:spacing w:before="120" w:after="120" w:line="240" w:lineRule="auto"/>
            </w:pPr>
            <w:r w:rsidRPr="00F12C22">
              <w:t>A</w:t>
            </w:r>
            <w:r w:rsidR="00E770AA" w:rsidRPr="00F12C22">
              <w:t>dditionally includes a consultation to (i) collect relevant information, including taking a patient history; (ii) initiate interventions and referrals as indicated; (iii) implement a management plan</w:t>
            </w:r>
            <w:r w:rsidR="00FF294F">
              <w:t>;</w:t>
            </w:r>
            <w:r w:rsidR="00E770AA" w:rsidRPr="00F12C22">
              <w:t xml:space="preserve"> and (iv) provide the patient with preventative health care advice and information.</w:t>
            </w:r>
          </w:p>
          <w:p w14:paraId="0D2BBAF1" w14:textId="4FDFBB69" w:rsidR="00370729" w:rsidRPr="00F12C22" w:rsidRDefault="00370729" w:rsidP="00DC72E7">
            <w:pPr>
              <w:spacing w:before="120" w:after="120" w:line="240" w:lineRule="auto"/>
            </w:pPr>
            <w:r w:rsidRPr="00F12C22">
              <w:t>The item is proposed as 1 service only every 3 years.</w:t>
            </w:r>
          </w:p>
        </w:tc>
      </w:tr>
      <w:tr w:rsidR="00F12C22" w:rsidRPr="00F12C22" w14:paraId="5E8D9D20" w14:textId="77777777">
        <w:tc>
          <w:tcPr>
            <w:tcW w:w="1005" w:type="pct"/>
            <w:tcBorders>
              <w:top w:val="single" w:sz="4" w:space="0" w:color="auto"/>
              <w:left w:val="single" w:sz="8" w:space="0" w:color="auto"/>
              <w:bottom w:val="single" w:sz="4" w:space="0" w:color="auto"/>
              <w:right w:val="single" w:sz="4" w:space="0" w:color="auto"/>
            </w:tcBorders>
            <w:hideMark/>
          </w:tcPr>
          <w:p w14:paraId="1EB957A4" w14:textId="77777777" w:rsidR="00AD5AA0" w:rsidRPr="00F12C22" w:rsidRDefault="00AD5AA0">
            <w:pPr>
              <w:spacing w:before="120" w:after="120" w:line="240" w:lineRule="auto"/>
            </w:pPr>
            <w:r w:rsidRPr="00F12C22">
              <w:t>Comparator/s</w:t>
            </w:r>
          </w:p>
        </w:tc>
        <w:tc>
          <w:tcPr>
            <w:tcW w:w="3995" w:type="pct"/>
            <w:tcBorders>
              <w:top w:val="single" w:sz="4" w:space="0" w:color="auto"/>
              <w:left w:val="single" w:sz="4" w:space="0" w:color="auto"/>
              <w:bottom w:val="single" w:sz="4" w:space="0" w:color="auto"/>
              <w:right w:val="single" w:sz="4" w:space="0" w:color="auto"/>
            </w:tcBorders>
            <w:hideMark/>
          </w:tcPr>
          <w:p w14:paraId="7248577C" w14:textId="593EFA4D" w:rsidR="003912AE" w:rsidRPr="00F12C22" w:rsidRDefault="003912AE" w:rsidP="003912AE">
            <w:pPr>
              <w:spacing w:before="120" w:after="120" w:line="240" w:lineRule="auto"/>
              <w:rPr>
                <w:rFonts w:cs="Arial"/>
              </w:rPr>
            </w:pPr>
            <w:r w:rsidRPr="00F12C22">
              <w:rPr>
                <w:rFonts w:cs="Arial"/>
              </w:rPr>
              <w:t xml:space="preserve">For </w:t>
            </w:r>
            <w:r w:rsidRPr="00F12C22">
              <w:t xml:space="preserve">VCTE™: </w:t>
            </w:r>
            <w:r w:rsidR="002C7E0C">
              <w:rPr>
                <w:rFonts w:cs="Arial"/>
              </w:rPr>
              <w:t>Standard of care</w:t>
            </w:r>
            <w:r w:rsidR="006C0A1E">
              <w:rPr>
                <w:rFonts w:cs="Arial"/>
              </w:rPr>
              <w:t xml:space="preserve"> (which may include </w:t>
            </w:r>
            <w:r w:rsidR="006C0A1E" w:rsidRPr="00B73DD9">
              <w:rPr>
                <w:rFonts w:cs="Arial"/>
              </w:rPr>
              <w:t>liver ultrasound, other non-funded tests</w:t>
            </w:r>
            <w:r w:rsidR="006C0A1E">
              <w:rPr>
                <w:rFonts w:cs="Arial"/>
              </w:rPr>
              <w:t xml:space="preserve"> for the diagnosis of advanced fibrosis, and </w:t>
            </w:r>
            <w:r w:rsidR="006C0A1E" w:rsidRPr="00B73DD9">
              <w:rPr>
                <w:rFonts w:cs="Arial"/>
              </w:rPr>
              <w:t xml:space="preserve">ongoing management in </w:t>
            </w:r>
            <w:r w:rsidR="006C0A1E">
              <w:rPr>
                <w:rFonts w:cs="Arial"/>
              </w:rPr>
              <w:t>specialist</w:t>
            </w:r>
            <w:r w:rsidR="006C0A1E" w:rsidRPr="00B73DD9">
              <w:rPr>
                <w:rFonts w:cs="Arial"/>
              </w:rPr>
              <w:t xml:space="preserve"> care</w:t>
            </w:r>
            <w:r w:rsidR="006C0A1E">
              <w:rPr>
                <w:rFonts w:cs="Arial"/>
              </w:rPr>
              <w:t>)</w:t>
            </w:r>
            <w:r w:rsidR="002C7E0C">
              <w:rPr>
                <w:rFonts w:cs="Arial"/>
              </w:rPr>
              <w:t>.</w:t>
            </w:r>
          </w:p>
          <w:p w14:paraId="4763E679" w14:textId="40E49798" w:rsidR="0049096E" w:rsidRPr="00F12C22" w:rsidRDefault="003912AE" w:rsidP="003912AE">
            <w:pPr>
              <w:spacing w:before="120" w:after="120" w:line="240" w:lineRule="auto"/>
              <w:rPr>
                <w:rFonts w:cs="Arial"/>
              </w:rPr>
            </w:pPr>
            <w:r w:rsidRPr="00F12C22">
              <w:rPr>
                <w:rFonts w:cs="Arial"/>
              </w:rPr>
              <w:t xml:space="preserve">For consultation: standard </w:t>
            </w:r>
            <w:r w:rsidR="00294B2B">
              <w:rPr>
                <w:rFonts w:cs="Arial"/>
              </w:rPr>
              <w:t>attendance</w:t>
            </w:r>
            <w:r w:rsidRPr="00F12C22">
              <w:rPr>
                <w:rFonts w:cs="Arial"/>
              </w:rPr>
              <w:t xml:space="preserve"> items (e.g., </w:t>
            </w:r>
            <w:r w:rsidR="003E748C" w:rsidRPr="4A0A2B66">
              <w:rPr>
                <w:rFonts w:cs="Arial"/>
              </w:rPr>
              <w:t>item</w:t>
            </w:r>
            <w:r w:rsidR="11E99166" w:rsidRPr="4A0A2B66">
              <w:rPr>
                <w:rFonts w:cs="Arial"/>
              </w:rPr>
              <w:t>s</w:t>
            </w:r>
            <w:r w:rsidR="003E748C" w:rsidRPr="00F12C22">
              <w:rPr>
                <w:rFonts w:cs="Arial"/>
              </w:rPr>
              <w:t xml:space="preserve"> 1</w:t>
            </w:r>
            <w:r w:rsidR="00701A4B">
              <w:rPr>
                <w:rFonts w:cs="Arial"/>
              </w:rPr>
              <w:t>10</w:t>
            </w:r>
            <w:r w:rsidR="003E748C" w:rsidRPr="00F12C22">
              <w:rPr>
                <w:rFonts w:cs="Arial"/>
              </w:rPr>
              <w:t xml:space="preserve"> and 1</w:t>
            </w:r>
            <w:r w:rsidR="00701A4B">
              <w:rPr>
                <w:rFonts w:cs="Arial"/>
              </w:rPr>
              <w:t>16</w:t>
            </w:r>
            <w:r w:rsidR="00454132">
              <w:rPr>
                <w:rFonts w:cs="Arial"/>
              </w:rPr>
              <w:t>) for initial and subsequent attendances by a consultant physician.</w:t>
            </w:r>
          </w:p>
        </w:tc>
      </w:tr>
      <w:tr w:rsidR="00F12C22" w:rsidRPr="00F12C22" w14:paraId="38A520F9" w14:textId="77777777">
        <w:tc>
          <w:tcPr>
            <w:tcW w:w="1005" w:type="pct"/>
            <w:tcBorders>
              <w:top w:val="single" w:sz="4" w:space="0" w:color="auto"/>
              <w:left w:val="single" w:sz="8" w:space="0" w:color="auto"/>
              <w:bottom w:val="single" w:sz="4" w:space="0" w:color="auto"/>
              <w:right w:val="single" w:sz="4" w:space="0" w:color="auto"/>
            </w:tcBorders>
          </w:tcPr>
          <w:p w14:paraId="79D1C769" w14:textId="4314A1E2" w:rsidR="00AD5AA0" w:rsidRPr="00F12C22" w:rsidRDefault="00AD5AA0">
            <w:pPr>
              <w:spacing w:before="120" w:after="120" w:line="240" w:lineRule="auto"/>
              <w:rPr>
                <w:rFonts w:cs="Arial"/>
              </w:rPr>
            </w:pPr>
            <w:r w:rsidRPr="00F12C22">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FDC11D5" w14:textId="7C28C4D9" w:rsidR="00AD5AA0" w:rsidRPr="00F12C22" w:rsidRDefault="00E920FE" w:rsidP="00E920FE">
            <w:pPr>
              <w:spacing w:before="120" w:after="120" w:line="240" w:lineRule="auto"/>
            </w:pPr>
            <w:r w:rsidRPr="00F12C22">
              <w:t>Liver biopsy</w:t>
            </w:r>
          </w:p>
        </w:tc>
      </w:tr>
      <w:tr w:rsidR="00F12C22" w:rsidRPr="00F12C22" w14:paraId="28FCB57C" w14:textId="77777777">
        <w:tc>
          <w:tcPr>
            <w:tcW w:w="1005" w:type="pct"/>
            <w:tcBorders>
              <w:top w:val="single" w:sz="4" w:space="0" w:color="auto"/>
              <w:left w:val="single" w:sz="8" w:space="0" w:color="auto"/>
              <w:bottom w:val="single" w:sz="4" w:space="0" w:color="auto"/>
              <w:right w:val="single" w:sz="4" w:space="0" w:color="auto"/>
            </w:tcBorders>
            <w:hideMark/>
          </w:tcPr>
          <w:p w14:paraId="0ACBDCE0" w14:textId="77777777" w:rsidR="00AD5AA0" w:rsidRPr="00F12C22" w:rsidRDefault="00AD5AA0">
            <w:pPr>
              <w:spacing w:before="120" w:after="120" w:line="240" w:lineRule="auto"/>
              <w:rPr>
                <w:rFonts w:cs="Arial"/>
              </w:rPr>
            </w:pPr>
            <w:r w:rsidRPr="00F12C22">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5D136CCD" w14:textId="34AD92D2" w:rsidR="00E93285" w:rsidRPr="00F12C22" w:rsidRDefault="00B06C95" w:rsidP="00E31D34">
            <w:pPr>
              <w:pStyle w:val="ListParagraph"/>
              <w:numPr>
                <w:ilvl w:val="0"/>
                <w:numId w:val="17"/>
              </w:numPr>
              <w:spacing w:before="120" w:after="120" w:line="240" w:lineRule="auto"/>
              <w:ind w:left="371" w:hanging="371"/>
              <w:rPr>
                <w:rFonts w:cs="Arial"/>
              </w:rPr>
            </w:pPr>
            <w:r>
              <w:rPr>
                <w:rFonts w:cs="Arial"/>
              </w:rPr>
              <w:t>S</w:t>
            </w:r>
            <w:r w:rsidR="00E93285" w:rsidRPr="00F12C22">
              <w:rPr>
                <w:rFonts w:cs="Arial"/>
              </w:rPr>
              <w:t>afety (including any potential risk of harm to the patient)</w:t>
            </w:r>
            <w:r>
              <w:rPr>
                <w:rFonts w:cs="Arial"/>
              </w:rPr>
              <w:t>.</w:t>
            </w:r>
          </w:p>
          <w:p w14:paraId="4D41CE76" w14:textId="1226AB96" w:rsidR="00E93285" w:rsidRPr="00F12C22" w:rsidRDefault="00B06C95" w:rsidP="00E31D34">
            <w:pPr>
              <w:pStyle w:val="ListParagraph"/>
              <w:numPr>
                <w:ilvl w:val="0"/>
                <w:numId w:val="17"/>
              </w:numPr>
              <w:spacing w:before="120" w:after="120" w:line="240" w:lineRule="auto"/>
              <w:ind w:left="371" w:hanging="371"/>
              <w:rPr>
                <w:rFonts w:cs="Arial"/>
              </w:rPr>
            </w:pPr>
            <w:r>
              <w:rPr>
                <w:rFonts w:cs="Arial"/>
              </w:rPr>
              <w:t>A</w:t>
            </w:r>
            <w:r w:rsidR="00E93285" w:rsidRPr="00F12C22">
              <w:rPr>
                <w:rFonts w:cs="Arial"/>
              </w:rPr>
              <w:t>ccuracy (sensitivity, specificity, positive and negative predictive values)</w:t>
            </w:r>
            <w:r w:rsidR="002C7E0C">
              <w:rPr>
                <w:rFonts w:cs="Arial"/>
              </w:rPr>
              <w:t xml:space="preserve"> compared with the reference standard liver biopsy</w:t>
            </w:r>
            <w:r w:rsidDel="00C14832">
              <w:rPr>
                <w:rFonts w:cs="Arial"/>
              </w:rPr>
              <w:t>.</w:t>
            </w:r>
          </w:p>
          <w:p w14:paraId="709A6479" w14:textId="01E66307" w:rsidR="00E93285" w:rsidRPr="00F12C22" w:rsidRDefault="00B06C95" w:rsidP="00E31D34">
            <w:pPr>
              <w:pStyle w:val="ListParagraph"/>
              <w:numPr>
                <w:ilvl w:val="0"/>
                <w:numId w:val="17"/>
              </w:numPr>
              <w:spacing w:before="120" w:after="120" w:line="240" w:lineRule="auto"/>
              <w:ind w:left="371" w:hanging="371"/>
              <w:rPr>
                <w:rFonts w:cs="Arial"/>
              </w:rPr>
            </w:pPr>
            <w:r>
              <w:rPr>
                <w:rFonts w:cs="Arial"/>
              </w:rPr>
              <w:t>C</w:t>
            </w:r>
            <w:r w:rsidR="00E93285" w:rsidRPr="00F12C22">
              <w:rPr>
                <w:rFonts w:cs="Arial"/>
              </w:rPr>
              <w:t>hange in patient management – change in proportion who remain in primary care, change in proportion who are referred to specialists</w:t>
            </w:r>
            <w:r w:rsidR="002C7E0C">
              <w:rPr>
                <w:rFonts w:cs="Arial"/>
              </w:rPr>
              <w:t>.</w:t>
            </w:r>
          </w:p>
          <w:p w14:paraId="5A7AE6FE" w14:textId="5593708F" w:rsidR="0014402F" w:rsidRPr="00F12C22" w:rsidRDefault="00B06C95" w:rsidP="00E31D34">
            <w:pPr>
              <w:pStyle w:val="ListParagraph"/>
              <w:numPr>
                <w:ilvl w:val="0"/>
                <w:numId w:val="17"/>
              </w:numPr>
              <w:spacing w:before="120" w:after="120" w:line="240" w:lineRule="auto"/>
              <w:ind w:left="371" w:hanging="371"/>
              <w:rPr>
                <w:rFonts w:cs="Arial"/>
              </w:rPr>
            </w:pPr>
            <w:r>
              <w:rPr>
                <w:rFonts w:cs="Arial"/>
              </w:rPr>
              <w:t>P</w:t>
            </w:r>
            <w:r w:rsidR="0014402F" w:rsidRPr="00F12C22">
              <w:rPr>
                <w:rFonts w:cs="Arial"/>
              </w:rPr>
              <w:t xml:space="preserve">atient impacts – inequity in the system where </w:t>
            </w:r>
            <w:r w:rsidR="0014402F" w:rsidRPr="00F12C22">
              <w:rPr>
                <w:rFonts w:cs="Calibri"/>
              </w:rPr>
              <w:t xml:space="preserve">VCTE™ for MAFLD is funded differently to other causes of AF, negative impact resulting from VCTE™ being the only </w:t>
            </w:r>
            <w:r w:rsidR="00257616">
              <w:rPr>
                <w:rFonts w:cs="Calibri"/>
              </w:rPr>
              <w:t xml:space="preserve">funded </w:t>
            </w:r>
            <w:r w:rsidR="0014402F" w:rsidRPr="00F12C22">
              <w:rPr>
                <w:rFonts w:cs="Calibri"/>
              </w:rPr>
              <w:t>option for determination of AF</w:t>
            </w:r>
            <w:r>
              <w:rPr>
                <w:rFonts w:cs="Calibri"/>
              </w:rPr>
              <w:t>.</w:t>
            </w:r>
          </w:p>
          <w:p w14:paraId="6E0D6D77" w14:textId="7E71A3C2" w:rsidR="00E93285" w:rsidRPr="00F12C22" w:rsidRDefault="00B06C95" w:rsidP="00E31D34">
            <w:pPr>
              <w:pStyle w:val="ListParagraph"/>
              <w:numPr>
                <w:ilvl w:val="0"/>
                <w:numId w:val="17"/>
              </w:numPr>
              <w:spacing w:before="120" w:after="120" w:line="240" w:lineRule="auto"/>
              <w:ind w:left="371" w:hanging="371"/>
              <w:rPr>
                <w:rFonts w:cs="Arial"/>
              </w:rPr>
            </w:pPr>
            <w:r>
              <w:rPr>
                <w:rFonts w:cs="Arial"/>
              </w:rPr>
              <w:t>E</w:t>
            </w:r>
            <w:r w:rsidR="00E93285" w:rsidRPr="00F12C22">
              <w:rPr>
                <w:rFonts w:cs="Arial"/>
              </w:rPr>
              <w:t xml:space="preserve">fficacy/effectiveness (including, but not limited to, patient-relevant outcomes such as advanced fibrosis, progression of fibrosis, compensated and decompensated cirrhosis, health-related quality of life, mortality) – of </w:t>
            </w:r>
            <w:r w:rsidR="00E93285" w:rsidRPr="00F12C22">
              <w:rPr>
                <w:rFonts w:cs="Calibri"/>
              </w:rPr>
              <w:t xml:space="preserve">VCTE™ itself and of </w:t>
            </w:r>
            <w:r w:rsidR="002C7E0C" w:rsidRPr="00F12C22">
              <w:rPr>
                <w:rFonts w:cs="Calibri"/>
              </w:rPr>
              <w:t xml:space="preserve">and of </w:t>
            </w:r>
            <w:r w:rsidR="002C7E0C">
              <w:rPr>
                <w:rFonts w:cs="Calibri"/>
              </w:rPr>
              <w:t>subsequent management</w:t>
            </w:r>
            <w:r>
              <w:rPr>
                <w:rFonts w:cs="Calibri"/>
              </w:rPr>
              <w:t>.</w:t>
            </w:r>
            <w:r w:rsidR="00E93285" w:rsidRPr="00F12C22">
              <w:rPr>
                <w:rFonts w:cs="Arial"/>
              </w:rPr>
              <w:t xml:space="preserve"> </w:t>
            </w:r>
          </w:p>
          <w:p w14:paraId="142D63A5" w14:textId="033DCA50" w:rsidR="00E93285" w:rsidRPr="00F12C22" w:rsidRDefault="00B06C95" w:rsidP="00E31D34">
            <w:pPr>
              <w:pStyle w:val="ListParagraph"/>
              <w:numPr>
                <w:ilvl w:val="0"/>
                <w:numId w:val="17"/>
              </w:numPr>
              <w:spacing w:before="120" w:after="120" w:line="240" w:lineRule="auto"/>
              <w:ind w:left="371" w:hanging="371"/>
              <w:rPr>
                <w:rFonts w:cs="Arial"/>
              </w:rPr>
            </w:pPr>
            <w:r>
              <w:rPr>
                <w:rFonts w:cs="Arial"/>
              </w:rPr>
              <w:t>H</w:t>
            </w:r>
            <w:r w:rsidR="00E93285" w:rsidRPr="00F12C22">
              <w:rPr>
                <w:rFonts w:cs="Arial"/>
              </w:rPr>
              <w:t>ealth care resources</w:t>
            </w:r>
            <w:r>
              <w:rPr>
                <w:rFonts w:cs="Arial"/>
              </w:rPr>
              <w:t>.</w:t>
            </w:r>
          </w:p>
          <w:p w14:paraId="2C547CB2" w14:textId="049893A8" w:rsidR="00E93285" w:rsidRPr="00F12C22" w:rsidRDefault="00B06C95" w:rsidP="00E31D34">
            <w:pPr>
              <w:pStyle w:val="ListParagraph"/>
              <w:numPr>
                <w:ilvl w:val="0"/>
                <w:numId w:val="17"/>
              </w:numPr>
              <w:spacing w:before="120" w:after="120" w:line="240" w:lineRule="auto"/>
              <w:ind w:left="371" w:hanging="371"/>
              <w:rPr>
                <w:rFonts w:cs="Arial"/>
              </w:rPr>
            </w:pPr>
            <w:r>
              <w:rPr>
                <w:rFonts w:cs="Arial"/>
              </w:rPr>
              <w:t>C</w:t>
            </w:r>
            <w:r w:rsidR="00E93285" w:rsidRPr="00F12C22">
              <w:rPr>
                <w:rFonts w:cs="Arial"/>
              </w:rPr>
              <w:t>ost-effectiveness</w:t>
            </w:r>
            <w:r>
              <w:rPr>
                <w:rFonts w:cs="Arial"/>
              </w:rPr>
              <w:t>.</w:t>
            </w:r>
          </w:p>
          <w:p w14:paraId="4DF0C685" w14:textId="27330E36" w:rsidR="00AD5AA0" w:rsidRPr="00F12C22" w:rsidRDefault="00B06C95" w:rsidP="0005328B">
            <w:pPr>
              <w:pStyle w:val="ListParagraph"/>
              <w:numPr>
                <w:ilvl w:val="0"/>
                <w:numId w:val="17"/>
              </w:numPr>
              <w:spacing w:before="120" w:after="120" w:line="240" w:lineRule="auto"/>
              <w:ind w:left="371" w:hanging="371"/>
            </w:pPr>
            <w:r>
              <w:rPr>
                <w:rFonts w:cs="Arial"/>
              </w:rPr>
              <w:t>T</w:t>
            </w:r>
            <w:r w:rsidR="00E93285" w:rsidRPr="00F12C22">
              <w:rPr>
                <w:rFonts w:cs="Arial"/>
              </w:rPr>
              <w:t>otal Australian Government health care costs.</w:t>
            </w:r>
          </w:p>
        </w:tc>
      </w:tr>
      <w:tr w:rsidR="00F12C22" w:rsidRPr="00F12C22" w14:paraId="76B5388E" w14:textId="77777777">
        <w:tc>
          <w:tcPr>
            <w:tcW w:w="1005" w:type="pct"/>
            <w:tcBorders>
              <w:top w:val="single" w:sz="4" w:space="0" w:color="auto"/>
              <w:left w:val="single" w:sz="8" w:space="0" w:color="auto"/>
              <w:bottom w:val="single" w:sz="8" w:space="0" w:color="auto"/>
              <w:right w:val="single" w:sz="4" w:space="0" w:color="auto"/>
            </w:tcBorders>
          </w:tcPr>
          <w:p w14:paraId="01CB0F5F" w14:textId="77777777" w:rsidR="00AD5AA0" w:rsidRPr="00F12C22" w:rsidRDefault="00AD5AA0">
            <w:pPr>
              <w:spacing w:before="120" w:after="120" w:line="240" w:lineRule="auto"/>
              <w:rPr>
                <w:rFonts w:cs="Arial"/>
              </w:rPr>
            </w:pPr>
            <w:r w:rsidRPr="00F12C22">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66196143" w14:textId="0246B9E8" w:rsidR="00AD5AA0" w:rsidRPr="005C67C7" w:rsidRDefault="008A2BA2">
            <w:pPr>
              <w:spacing w:before="120" w:after="120" w:line="240" w:lineRule="auto"/>
            </w:pPr>
            <w:r w:rsidRPr="005C67C7">
              <w:t xml:space="preserve">What is the safety, effectiveness and cost-effectiveness of </w:t>
            </w:r>
            <w:r w:rsidRPr="00F12C22">
              <w:t xml:space="preserve">VCTE™ </w:t>
            </w:r>
            <w:r w:rsidRPr="005C67C7">
              <w:t xml:space="preserve">versus </w:t>
            </w:r>
            <w:r w:rsidR="002C7E0C">
              <w:t>standard of care</w:t>
            </w:r>
            <w:r w:rsidR="001812DC">
              <w:t xml:space="preserve"> </w:t>
            </w:r>
            <w:r w:rsidRPr="005C67C7">
              <w:t xml:space="preserve">in patients </w:t>
            </w:r>
            <w:r w:rsidR="0056204C" w:rsidRPr="005C67C7">
              <w:t xml:space="preserve">in specialist care </w:t>
            </w:r>
            <w:r w:rsidRPr="005C67C7">
              <w:t xml:space="preserve">with a diagnosis of (i) MAFLD, a FIB-4 score of 1.3 to 2.7 and LSM </w:t>
            </w:r>
            <w:r w:rsidRPr="005C67C7">
              <w:rPr>
                <w:rFonts w:cs="Calibri"/>
              </w:rPr>
              <w:t>≥</w:t>
            </w:r>
            <w:r w:rsidRPr="005C67C7">
              <w:t xml:space="preserve">8 kPa and (ii) MAFLD and a FIB-4 score of </w:t>
            </w:r>
            <w:r w:rsidR="0056204C" w:rsidRPr="005C67C7">
              <w:rPr>
                <w:rFonts w:cs="Calibri"/>
              </w:rPr>
              <w:t>≥</w:t>
            </w:r>
            <w:r w:rsidR="0056204C" w:rsidRPr="005C67C7">
              <w:t>1.3</w:t>
            </w:r>
            <w:r w:rsidR="00206C4A">
              <w:t xml:space="preserve"> for the detection and risk stratification of intermediate to advanced liver fibrosis</w:t>
            </w:r>
            <w:r w:rsidRPr="005C67C7">
              <w:t>?</w:t>
            </w:r>
          </w:p>
        </w:tc>
      </w:tr>
    </w:tbl>
    <w:p w14:paraId="5D5376EF" w14:textId="10962533" w:rsidR="006478E7" w:rsidRPr="00F12C22" w:rsidRDefault="00E770AA" w:rsidP="005C67C7">
      <w:pPr>
        <w:ind w:left="284" w:hanging="284"/>
      </w:pPr>
      <w:r w:rsidRPr="00F12C22">
        <w:rPr>
          <w:rFonts w:ascii="Arial Narrow" w:hAnsi="Arial Narrow"/>
          <w:sz w:val="16"/>
          <w:szCs w:val="16"/>
          <w:vertAlign w:val="superscript"/>
        </w:rPr>
        <w:t>a</w:t>
      </w:r>
      <w:r w:rsidRPr="00F12C22">
        <w:rPr>
          <w:rFonts w:ascii="Arial Narrow" w:hAnsi="Arial Narrow"/>
          <w:sz w:val="16"/>
          <w:szCs w:val="16"/>
          <w:vertAlign w:val="superscript"/>
        </w:rPr>
        <w:tab/>
      </w:r>
      <w:r w:rsidRPr="00F12C22">
        <w:rPr>
          <w:rFonts w:ascii="Arial Narrow" w:hAnsi="Arial Narrow"/>
          <w:sz w:val="16"/>
          <w:szCs w:val="16"/>
        </w:rPr>
        <w:t>(i) Elevated waist circumference:</w:t>
      </w:r>
      <w:r w:rsidRPr="00F12C22">
        <w:rPr>
          <w:rFonts w:ascii="Arial" w:hAnsi="Arial" w:cs="Arial"/>
          <w:sz w:val="16"/>
          <w:szCs w:val="16"/>
        </w:rPr>
        <w:t> </w:t>
      </w:r>
      <w:r w:rsidRPr="00F12C22">
        <w:rPr>
          <w:rFonts w:ascii="Arial Narrow" w:hAnsi="Arial Narrow" w:cs="Arial Narrow"/>
          <w:sz w:val="16"/>
          <w:szCs w:val="16"/>
        </w:rPr>
        <w:t>≥</w:t>
      </w:r>
      <w:r w:rsidRPr="00F12C22">
        <w:rPr>
          <w:rFonts w:ascii="Arial Narrow" w:hAnsi="Arial Narrow"/>
          <w:sz w:val="16"/>
          <w:szCs w:val="16"/>
        </w:rPr>
        <w:t xml:space="preserve">90 centimetres (cm) in males or </w:t>
      </w:r>
      <w:r w:rsidRPr="00F12C22">
        <w:rPr>
          <w:rFonts w:ascii="Arial Narrow" w:hAnsi="Arial Narrow" w:cs="Arial Narrow"/>
          <w:sz w:val="16"/>
          <w:szCs w:val="16"/>
        </w:rPr>
        <w:t>≥</w:t>
      </w:r>
      <w:r w:rsidRPr="00F12C22">
        <w:rPr>
          <w:rFonts w:ascii="Arial Narrow" w:hAnsi="Arial Narrow"/>
          <w:sz w:val="16"/>
          <w:szCs w:val="16"/>
        </w:rPr>
        <w:t>80 cm in females among the Asian population or</w:t>
      </w:r>
      <w:r w:rsidRPr="00F12C22">
        <w:rPr>
          <w:rFonts w:ascii="Arial" w:hAnsi="Arial" w:cs="Arial"/>
          <w:sz w:val="16"/>
          <w:szCs w:val="16"/>
        </w:rPr>
        <w:t> </w:t>
      </w:r>
      <w:r w:rsidRPr="00F12C22">
        <w:rPr>
          <w:rFonts w:ascii="Arial Narrow" w:hAnsi="Arial Narrow" w:cs="Arial Narrow"/>
          <w:sz w:val="16"/>
          <w:szCs w:val="16"/>
        </w:rPr>
        <w:t>≥</w:t>
      </w:r>
      <w:r w:rsidRPr="00F12C22">
        <w:rPr>
          <w:rFonts w:ascii="Arial Narrow" w:hAnsi="Arial Narrow"/>
          <w:sz w:val="16"/>
          <w:szCs w:val="16"/>
        </w:rPr>
        <w:t xml:space="preserve">102 cm in males or </w:t>
      </w:r>
      <w:r w:rsidRPr="00F12C22">
        <w:rPr>
          <w:rFonts w:ascii="Arial Narrow" w:hAnsi="Arial Narrow" w:cs="Arial Narrow"/>
          <w:sz w:val="16"/>
          <w:szCs w:val="16"/>
        </w:rPr>
        <w:t>≥</w:t>
      </w:r>
      <w:r w:rsidRPr="00F12C22">
        <w:rPr>
          <w:rFonts w:ascii="Arial Narrow" w:hAnsi="Arial Narrow"/>
          <w:sz w:val="16"/>
          <w:szCs w:val="16"/>
        </w:rPr>
        <w:t>88 cm in females among all other ethnicities. (ii) Blood pressure</w:t>
      </w:r>
      <w:r w:rsidRPr="00F12C22">
        <w:rPr>
          <w:rFonts w:ascii="Arial" w:hAnsi="Arial" w:cs="Arial"/>
          <w:sz w:val="16"/>
          <w:szCs w:val="16"/>
        </w:rPr>
        <w:t> </w:t>
      </w:r>
      <w:r w:rsidRPr="00F12C22">
        <w:rPr>
          <w:rFonts w:ascii="Arial Narrow" w:hAnsi="Arial Narrow" w:cs="Arial Narrow"/>
          <w:sz w:val="16"/>
          <w:szCs w:val="16"/>
        </w:rPr>
        <w:t>≥</w:t>
      </w:r>
      <w:r w:rsidRPr="00F12C22">
        <w:rPr>
          <w:rFonts w:ascii="Arial Narrow" w:hAnsi="Arial Narrow"/>
          <w:sz w:val="16"/>
          <w:szCs w:val="16"/>
        </w:rPr>
        <w:t>130/85 millimetres of mercury (mmHg) or need for antihypertensive therapy. (iii) Plasma triglycerides</w:t>
      </w:r>
      <w:r w:rsidRPr="00F12C22">
        <w:rPr>
          <w:rFonts w:ascii="Arial" w:hAnsi="Arial" w:cs="Arial"/>
          <w:sz w:val="16"/>
          <w:szCs w:val="16"/>
        </w:rPr>
        <w:t> </w:t>
      </w:r>
      <w:r w:rsidRPr="00F12C22">
        <w:rPr>
          <w:rFonts w:ascii="Arial Narrow" w:hAnsi="Arial Narrow" w:cs="Arial Narrow"/>
          <w:sz w:val="16"/>
          <w:szCs w:val="16"/>
        </w:rPr>
        <w:t>≥</w:t>
      </w:r>
      <w:r w:rsidRPr="00F12C22">
        <w:rPr>
          <w:rFonts w:ascii="Arial Narrow" w:hAnsi="Arial Narrow"/>
          <w:sz w:val="16"/>
          <w:szCs w:val="16"/>
        </w:rPr>
        <w:t>1.70 millimole per litre (mmol/L) or need for specific lipid-lowering therapy. (iv) Plasma HDL-cholesterol</w:t>
      </w:r>
      <w:r w:rsidRPr="00F12C22">
        <w:rPr>
          <w:rFonts w:ascii="Arial" w:hAnsi="Arial" w:cs="Arial"/>
          <w:sz w:val="16"/>
          <w:szCs w:val="16"/>
        </w:rPr>
        <w:t> </w:t>
      </w:r>
      <w:r w:rsidRPr="00F12C22">
        <w:rPr>
          <w:rFonts w:ascii="Arial Narrow" w:hAnsi="Arial Narrow"/>
          <w:sz w:val="16"/>
          <w:szCs w:val="16"/>
        </w:rPr>
        <w:t>&lt;1.0 mmol/L for males or</w:t>
      </w:r>
      <w:r w:rsidRPr="00F12C22">
        <w:rPr>
          <w:rFonts w:ascii="Arial" w:hAnsi="Arial" w:cs="Arial"/>
          <w:sz w:val="16"/>
          <w:szCs w:val="16"/>
        </w:rPr>
        <w:t> </w:t>
      </w:r>
      <w:r w:rsidRPr="00F12C22">
        <w:rPr>
          <w:rFonts w:ascii="Arial Narrow" w:hAnsi="Arial Narrow"/>
          <w:sz w:val="16"/>
          <w:szCs w:val="16"/>
        </w:rPr>
        <w:t>&lt;1.3 mmol/L for females or need for specific therapy. (v) Prediabetes according to standardised criteria. (vi) Homeostatic model assessment for insulin resistance (HOMA-IR) score</w:t>
      </w:r>
      <w:r w:rsidRPr="00F12C22">
        <w:rPr>
          <w:rFonts w:ascii="Arial" w:hAnsi="Arial" w:cs="Arial"/>
          <w:sz w:val="16"/>
          <w:szCs w:val="16"/>
        </w:rPr>
        <w:t> </w:t>
      </w:r>
      <w:r w:rsidRPr="00F12C22">
        <w:rPr>
          <w:rFonts w:ascii="Arial Narrow" w:hAnsi="Arial Narrow" w:cs="Arial Narrow"/>
          <w:sz w:val="16"/>
          <w:szCs w:val="16"/>
        </w:rPr>
        <w:t>≥</w:t>
      </w:r>
      <w:r w:rsidRPr="00F12C22">
        <w:rPr>
          <w:rFonts w:ascii="Arial Narrow" w:hAnsi="Arial Narrow"/>
          <w:sz w:val="16"/>
          <w:szCs w:val="16"/>
        </w:rPr>
        <w:t>2.5. (vii) Plasma high-sensitivity C-reactive protein (HS-CRP)</w:t>
      </w:r>
      <w:r w:rsidRPr="00F12C22">
        <w:rPr>
          <w:rFonts w:ascii="Arial" w:hAnsi="Arial" w:cs="Arial"/>
          <w:sz w:val="16"/>
          <w:szCs w:val="16"/>
        </w:rPr>
        <w:t> </w:t>
      </w:r>
      <w:r w:rsidRPr="00F12C22">
        <w:rPr>
          <w:rFonts w:ascii="Arial Narrow" w:hAnsi="Arial Narrow"/>
          <w:sz w:val="16"/>
          <w:szCs w:val="16"/>
        </w:rPr>
        <w:t>&gt;2 mg/L</w:t>
      </w:r>
    </w:p>
    <w:p w14:paraId="53297713" w14:textId="0DA7B658" w:rsidR="00912660" w:rsidRPr="005C67C7" w:rsidRDefault="00912660" w:rsidP="00713728">
      <w:pPr>
        <w:pStyle w:val="Heading2"/>
        <w:rPr>
          <w:color w:val="auto"/>
        </w:rPr>
      </w:pPr>
      <w:r w:rsidRPr="005C67C7">
        <w:rPr>
          <w:color w:val="auto"/>
        </w:rPr>
        <w:t>Purpose of application</w:t>
      </w:r>
    </w:p>
    <w:p w14:paraId="7108C3E8" w14:textId="0DE68363" w:rsidR="004E1BF1" w:rsidRPr="00F12C22" w:rsidRDefault="004C2C5E" w:rsidP="00A14691">
      <w:pPr>
        <w:spacing w:after="0"/>
        <w:rPr>
          <w:iCs/>
        </w:rPr>
      </w:pPr>
      <w:r w:rsidRPr="00F12C22">
        <w:rPr>
          <w:iCs/>
        </w:rPr>
        <w:t xml:space="preserve">An application </w:t>
      </w:r>
      <w:r w:rsidR="00C750E9" w:rsidRPr="00F12C22">
        <w:rPr>
          <w:iCs/>
        </w:rPr>
        <w:t xml:space="preserve">requesting </w:t>
      </w:r>
      <w:r w:rsidRPr="00F12C22">
        <w:rPr>
          <w:iCs/>
        </w:rPr>
        <w:t xml:space="preserve">Medicare Benefits Schedule (MBS) listing of </w:t>
      </w:r>
      <w:r w:rsidR="00D36921" w:rsidRPr="00F12C22">
        <w:rPr>
          <w:iCs/>
        </w:rPr>
        <w:t>Vibration-Controlled Transient Elastography (</w:t>
      </w:r>
      <w:r w:rsidR="00823CCA" w:rsidRPr="00F12C22">
        <w:rPr>
          <w:iCs/>
        </w:rPr>
        <w:t>VCTE™</w:t>
      </w:r>
      <w:r w:rsidR="00D36921" w:rsidRPr="00F12C22">
        <w:rPr>
          <w:iCs/>
        </w:rPr>
        <w:t xml:space="preserve">) </w:t>
      </w:r>
      <w:r w:rsidRPr="00F12C22">
        <w:rPr>
          <w:iCs/>
        </w:rPr>
        <w:t xml:space="preserve">for </w:t>
      </w:r>
      <w:r w:rsidR="00B429DB" w:rsidRPr="00F12C22">
        <w:rPr>
          <w:iCs/>
        </w:rPr>
        <w:t>identifying advanced fibrosis</w:t>
      </w:r>
      <w:r w:rsidR="00F265E9" w:rsidRPr="00F12C22">
        <w:rPr>
          <w:iCs/>
        </w:rPr>
        <w:t xml:space="preserve"> </w:t>
      </w:r>
      <w:r w:rsidR="00083789" w:rsidRPr="00F12C22">
        <w:rPr>
          <w:iCs/>
        </w:rPr>
        <w:t xml:space="preserve">(AF) </w:t>
      </w:r>
      <w:r w:rsidR="00B429DB" w:rsidRPr="00F12C22">
        <w:rPr>
          <w:iCs/>
        </w:rPr>
        <w:t>in patients with metabolic dysfunction-associated fatty liver disease</w:t>
      </w:r>
      <w:r w:rsidR="00F838F0" w:rsidRPr="00F12C22">
        <w:rPr>
          <w:iCs/>
        </w:rPr>
        <w:t xml:space="preserve"> (MAFLD)</w:t>
      </w:r>
      <w:r w:rsidR="00FF7855" w:rsidRPr="00F12C22">
        <w:rPr>
          <w:iCs/>
        </w:rPr>
        <w:t xml:space="preserve"> was received from </w:t>
      </w:r>
      <w:r w:rsidR="000A0814" w:rsidRPr="00F12C22">
        <w:rPr>
          <w:iCs/>
        </w:rPr>
        <w:t>Health Technology Analysts Pty Ltd</w:t>
      </w:r>
      <w:r w:rsidR="00FF7855" w:rsidRPr="00F12C22">
        <w:rPr>
          <w:iCs/>
        </w:rPr>
        <w:t xml:space="preserve"> by the Department of Health and Aged Care</w:t>
      </w:r>
      <w:r w:rsidRPr="00F12C22">
        <w:rPr>
          <w:iCs/>
        </w:rPr>
        <w:t>.</w:t>
      </w:r>
      <w:r w:rsidR="00CD7CDB" w:rsidRPr="00F12C22">
        <w:rPr>
          <w:iCs/>
        </w:rPr>
        <w:t xml:space="preserve"> The application identified two setting</w:t>
      </w:r>
      <w:r w:rsidR="00F245BA" w:rsidRPr="00F12C22">
        <w:rPr>
          <w:iCs/>
        </w:rPr>
        <w:t>s</w:t>
      </w:r>
      <w:r w:rsidR="00CD7CDB" w:rsidRPr="00F12C22">
        <w:rPr>
          <w:iCs/>
        </w:rPr>
        <w:t xml:space="preserve"> for the proposed technology</w:t>
      </w:r>
      <w:r w:rsidR="001B792C" w:rsidRPr="00F12C22">
        <w:rPr>
          <w:iCs/>
        </w:rPr>
        <w:t>:</w:t>
      </w:r>
      <w:r w:rsidR="00F838F0" w:rsidRPr="00F12C22">
        <w:rPr>
          <w:iCs/>
        </w:rPr>
        <w:t xml:space="preserve"> primary care</w:t>
      </w:r>
      <w:r w:rsidR="00F265E9" w:rsidRPr="00F12C22">
        <w:rPr>
          <w:iCs/>
        </w:rPr>
        <w:t xml:space="preserve"> (PICO </w:t>
      </w:r>
      <w:r w:rsidR="00344706">
        <w:rPr>
          <w:iCs/>
        </w:rPr>
        <w:t>s</w:t>
      </w:r>
      <w:r w:rsidR="00F265E9" w:rsidRPr="00F12C22">
        <w:rPr>
          <w:iCs/>
        </w:rPr>
        <w:t>et 1)</w:t>
      </w:r>
      <w:r w:rsidR="00F838F0" w:rsidRPr="00F12C22">
        <w:rPr>
          <w:iCs/>
        </w:rPr>
        <w:t xml:space="preserve"> and </w:t>
      </w:r>
      <w:r w:rsidR="00665AE8" w:rsidRPr="00F12C22">
        <w:rPr>
          <w:iCs/>
        </w:rPr>
        <w:t>specialist care</w:t>
      </w:r>
      <w:r w:rsidR="00F265E9" w:rsidRPr="00F12C22">
        <w:rPr>
          <w:iCs/>
        </w:rPr>
        <w:t xml:space="preserve"> (PICO </w:t>
      </w:r>
      <w:r w:rsidR="00344706">
        <w:rPr>
          <w:iCs/>
        </w:rPr>
        <w:t>s</w:t>
      </w:r>
      <w:r w:rsidR="00F265E9" w:rsidRPr="00F12C22">
        <w:rPr>
          <w:iCs/>
        </w:rPr>
        <w:t>et 2)</w:t>
      </w:r>
      <w:r w:rsidR="00665AE8" w:rsidRPr="00F12C22">
        <w:rPr>
          <w:iCs/>
        </w:rPr>
        <w:t xml:space="preserve">. </w:t>
      </w:r>
      <w:r w:rsidR="00E63977" w:rsidRPr="00F12C22">
        <w:rPr>
          <w:iCs/>
        </w:rPr>
        <w:t xml:space="preserve">The </w:t>
      </w:r>
      <w:r w:rsidR="00A15F32" w:rsidRPr="00F12C22">
        <w:rPr>
          <w:iCs/>
        </w:rPr>
        <w:t>a</w:t>
      </w:r>
      <w:r w:rsidR="00E63977" w:rsidRPr="00F12C22">
        <w:rPr>
          <w:iCs/>
        </w:rPr>
        <w:t>pplica</w:t>
      </w:r>
      <w:r w:rsidR="00A15F32" w:rsidRPr="00F12C22">
        <w:rPr>
          <w:iCs/>
        </w:rPr>
        <w:t>tion</w:t>
      </w:r>
      <w:r w:rsidR="00E63977" w:rsidRPr="00F12C22">
        <w:rPr>
          <w:iCs/>
        </w:rPr>
        <w:t xml:space="preserve"> claim</w:t>
      </w:r>
      <w:r w:rsidR="00483008">
        <w:rPr>
          <w:iCs/>
        </w:rPr>
        <w:t>ed that</w:t>
      </w:r>
      <w:r w:rsidR="00E63977" w:rsidRPr="00F12C22">
        <w:rPr>
          <w:iCs/>
        </w:rPr>
        <w:t xml:space="preserve"> </w:t>
      </w:r>
      <w:r w:rsidR="00823CCA" w:rsidRPr="00F12C22">
        <w:rPr>
          <w:iCs/>
        </w:rPr>
        <w:t>VCTE™</w:t>
      </w:r>
      <w:r w:rsidR="00E63E72" w:rsidRPr="00F12C22">
        <w:rPr>
          <w:iCs/>
        </w:rPr>
        <w:t xml:space="preserve"> </w:t>
      </w:r>
      <w:r w:rsidR="00823CCA" w:rsidRPr="00F12C22">
        <w:rPr>
          <w:iCs/>
        </w:rPr>
        <w:t>is</w:t>
      </w:r>
      <w:r w:rsidR="00DA6C62" w:rsidRPr="00F12C22">
        <w:rPr>
          <w:iCs/>
        </w:rPr>
        <w:t xml:space="preserve"> </w:t>
      </w:r>
      <w:r w:rsidR="00E63E72" w:rsidRPr="00F12C22">
        <w:rPr>
          <w:iCs/>
        </w:rPr>
        <w:t xml:space="preserve">superior to ultrasound </w:t>
      </w:r>
      <w:r w:rsidR="00A14691" w:rsidRPr="00F12C22">
        <w:rPr>
          <w:iCs/>
        </w:rPr>
        <w:t xml:space="preserve">alone </w:t>
      </w:r>
      <w:r w:rsidR="00E63E72" w:rsidRPr="00F12C22">
        <w:rPr>
          <w:iCs/>
        </w:rPr>
        <w:t xml:space="preserve">for the detection and risk stratification of intermediate </w:t>
      </w:r>
      <w:r w:rsidR="004E1BF1" w:rsidRPr="00F12C22">
        <w:rPr>
          <w:iCs/>
        </w:rPr>
        <w:t xml:space="preserve">(F2 [significant fibrosis]) </w:t>
      </w:r>
      <w:r w:rsidR="00E63E72" w:rsidRPr="00F12C22">
        <w:rPr>
          <w:iCs/>
        </w:rPr>
        <w:t xml:space="preserve">to </w:t>
      </w:r>
      <w:r w:rsidR="00083789" w:rsidRPr="00F12C22">
        <w:rPr>
          <w:iCs/>
        </w:rPr>
        <w:t>AF</w:t>
      </w:r>
      <w:r w:rsidR="00213F14" w:rsidRPr="00F12C22">
        <w:rPr>
          <w:iCs/>
        </w:rPr>
        <w:t xml:space="preserve"> (</w:t>
      </w:r>
      <w:r w:rsidR="004E1BF1" w:rsidRPr="00F12C22">
        <w:rPr>
          <w:iCs/>
        </w:rPr>
        <w:t>F3 [</w:t>
      </w:r>
      <w:r w:rsidR="00083789" w:rsidRPr="00F12C22">
        <w:rPr>
          <w:iCs/>
        </w:rPr>
        <w:t>AF</w:t>
      </w:r>
      <w:r w:rsidR="004E1BF1" w:rsidRPr="00F12C22">
        <w:rPr>
          <w:iCs/>
        </w:rPr>
        <w:t>] to F4 [equivalent to cirrhosis])</w:t>
      </w:r>
      <w:r w:rsidR="00E50C01" w:rsidRPr="00F12C22">
        <w:rPr>
          <w:iCs/>
        </w:rPr>
        <w:t xml:space="preserve"> in </w:t>
      </w:r>
      <w:r w:rsidR="00823CCA" w:rsidRPr="00F12C22">
        <w:rPr>
          <w:iCs/>
        </w:rPr>
        <w:t xml:space="preserve">the </w:t>
      </w:r>
      <w:r w:rsidR="00745C2E" w:rsidRPr="00F12C22">
        <w:rPr>
          <w:iCs/>
        </w:rPr>
        <w:t xml:space="preserve">MAFLD </w:t>
      </w:r>
      <w:r w:rsidR="00F16A7F" w:rsidRPr="00F12C22">
        <w:rPr>
          <w:iCs/>
        </w:rPr>
        <w:t>population</w:t>
      </w:r>
      <w:r w:rsidR="00634BFD" w:rsidRPr="00F12C22">
        <w:rPr>
          <w:iCs/>
        </w:rPr>
        <w:t xml:space="preserve">. </w:t>
      </w:r>
    </w:p>
    <w:p w14:paraId="18E66948" w14:textId="77777777" w:rsidR="00D73332" w:rsidRPr="005C67C7" w:rsidRDefault="00D73332" w:rsidP="00FD4C65">
      <w:pPr>
        <w:pStyle w:val="Heading2"/>
        <w:rPr>
          <w:color w:val="auto"/>
        </w:rPr>
      </w:pPr>
      <w:r w:rsidRPr="005C67C7">
        <w:rPr>
          <w:color w:val="auto"/>
        </w:rPr>
        <w:t xml:space="preserve">PICO </w:t>
      </w:r>
      <w:r w:rsidR="00FD4E33" w:rsidRPr="005C67C7">
        <w:rPr>
          <w:color w:val="auto"/>
        </w:rPr>
        <w:t xml:space="preserve">criteria </w:t>
      </w:r>
    </w:p>
    <w:p w14:paraId="06B30611" w14:textId="77777777" w:rsidR="007D6B83" w:rsidRPr="00F12C22" w:rsidRDefault="007D6B83" w:rsidP="00D917C4">
      <w:pPr>
        <w:pStyle w:val="Heading3"/>
      </w:pPr>
      <w:r w:rsidRPr="00D917C4">
        <w:t>Population</w:t>
      </w:r>
    </w:p>
    <w:p w14:paraId="645C43B1" w14:textId="56955B4A" w:rsidR="00A14691" w:rsidRPr="00F12C22" w:rsidRDefault="007E7B83" w:rsidP="000A5649">
      <w:pPr>
        <w:spacing w:after="240"/>
        <w:rPr>
          <w:iCs/>
        </w:rPr>
      </w:pPr>
      <w:r w:rsidRPr="00F12C22">
        <w:rPr>
          <w:iCs/>
        </w:rPr>
        <w:t xml:space="preserve">The </w:t>
      </w:r>
      <w:r w:rsidR="00800AAD">
        <w:rPr>
          <w:iCs/>
        </w:rPr>
        <w:t>proposed</w:t>
      </w:r>
      <w:r w:rsidR="00800AAD" w:rsidRPr="00F12C22">
        <w:rPr>
          <w:iCs/>
        </w:rPr>
        <w:t xml:space="preserve"> </w:t>
      </w:r>
      <w:r w:rsidRPr="00F12C22">
        <w:rPr>
          <w:iCs/>
        </w:rPr>
        <w:t>population</w:t>
      </w:r>
      <w:r w:rsidR="00800AAD">
        <w:rPr>
          <w:iCs/>
        </w:rPr>
        <w:t xml:space="preserve">s in PICO sets 1 and 2 </w:t>
      </w:r>
      <w:r w:rsidR="00BC787A">
        <w:rPr>
          <w:iCs/>
        </w:rPr>
        <w:t>are limited to</w:t>
      </w:r>
      <w:r w:rsidR="00357B9B" w:rsidRPr="00F12C22">
        <w:rPr>
          <w:iCs/>
        </w:rPr>
        <w:t xml:space="preserve"> </w:t>
      </w:r>
      <w:r w:rsidR="008D34A4" w:rsidRPr="00F12C22">
        <w:rPr>
          <w:iCs/>
        </w:rPr>
        <w:t xml:space="preserve">patients with </w:t>
      </w:r>
      <w:r w:rsidR="00A40775" w:rsidRPr="00F12C22">
        <w:rPr>
          <w:iCs/>
        </w:rPr>
        <w:t xml:space="preserve">a diagnosis of </w:t>
      </w:r>
      <w:r w:rsidR="008D34A4" w:rsidRPr="00F12C22">
        <w:rPr>
          <w:iCs/>
        </w:rPr>
        <w:t>MAFLD</w:t>
      </w:r>
      <w:r w:rsidR="00BC787A">
        <w:rPr>
          <w:iCs/>
        </w:rPr>
        <w:t xml:space="preserve">, </w:t>
      </w:r>
      <w:r w:rsidR="00CC3E9E">
        <w:rPr>
          <w:iCs/>
        </w:rPr>
        <w:t>who</w:t>
      </w:r>
      <w:r w:rsidR="00BC787A">
        <w:rPr>
          <w:iCs/>
        </w:rPr>
        <w:t xml:space="preserve"> are further </w:t>
      </w:r>
      <w:r w:rsidR="00D56128">
        <w:rPr>
          <w:iCs/>
        </w:rPr>
        <w:t>categorised using</w:t>
      </w:r>
      <w:r w:rsidR="00BC787A">
        <w:rPr>
          <w:iCs/>
        </w:rPr>
        <w:t xml:space="preserve"> specific Fibrosis-4 </w:t>
      </w:r>
      <w:r w:rsidR="009A1C46">
        <w:rPr>
          <w:iCs/>
        </w:rPr>
        <w:t xml:space="preserve">index (FIB-4) test </w:t>
      </w:r>
      <w:r w:rsidR="00D56128">
        <w:rPr>
          <w:iCs/>
        </w:rPr>
        <w:t>thresholds</w:t>
      </w:r>
      <w:r w:rsidR="009A1C46">
        <w:rPr>
          <w:iCs/>
        </w:rPr>
        <w:t>.</w:t>
      </w:r>
      <w:r w:rsidR="00A14691" w:rsidRPr="00F12C22">
        <w:rPr>
          <w:iCs/>
        </w:rPr>
        <w:t xml:space="preserve"> The prerequisite </w:t>
      </w:r>
      <w:r w:rsidR="00A40775" w:rsidRPr="00F12C22">
        <w:rPr>
          <w:iCs/>
        </w:rPr>
        <w:t>(FIB-4) score</w:t>
      </w:r>
      <w:r w:rsidR="009A1C46">
        <w:rPr>
          <w:iCs/>
        </w:rPr>
        <w:t>s</w:t>
      </w:r>
      <w:r w:rsidR="00A40775" w:rsidRPr="00F12C22">
        <w:rPr>
          <w:iCs/>
        </w:rPr>
        <w:t xml:space="preserve"> </w:t>
      </w:r>
      <w:r w:rsidR="009A1C46">
        <w:rPr>
          <w:iCs/>
        </w:rPr>
        <w:t>are</w:t>
      </w:r>
      <w:r w:rsidR="00A14691" w:rsidRPr="00F12C22">
        <w:rPr>
          <w:iCs/>
        </w:rPr>
        <w:t xml:space="preserve"> intended to</w:t>
      </w:r>
      <w:r w:rsidR="004D6C46" w:rsidRPr="00F12C22">
        <w:rPr>
          <w:iCs/>
        </w:rPr>
        <w:t>:</w:t>
      </w:r>
      <w:r w:rsidR="00A14691" w:rsidRPr="00F12C22">
        <w:rPr>
          <w:iCs/>
        </w:rPr>
        <w:t xml:space="preserve"> </w:t>
      </w:r>
    </w:p>
    <w:p w14:paraId="48898796" w14:textId="1799F286" w:rsidR="00A14691" w:rsidRPr="00F12C22" w:rsidRDefault="009A1C46" w:rsidP="00E31D34">
      <w:pPr>
        <w:pStyle w:val="ListParagraph"/>
        <w:numPr>
          <w:ilvl w:val="0"/>
          <w:numId w:val="20"/>
        </w:numPr>
        <w:spacing w:after="240"/>
        <w:ind w:left="426" w:hanging="426"/>
        <w:rPr>
          <w:iCs/>
        </w:rPr>
      </w:pPr>
      <w:r>
        <w:rPr>
          <w:iCs/>
        </w:rPr>
        <w:t>S</w:t>
      </w:r>
      <w:r w:rsidR="00A14691" w:rsidRPr="00F12C22">
        <w:rPr>
          <w:iCs/>
        </w:rPr>
        <w:t xml:space="preserve">tratify patients according to risk of </w:t>
      </w:r>
      <w:r w:rsidR="000A4A3F" w:rsidRPr="00F12C22">
        <w:rPr>
          <w:iCs/>
        </w:rPr>
        <w:t>AF</w:t>
      </w:r>
      <w:r>
        <w:rPr>
          <w:iCs/>
        </w:rPr>
        <w:t>.</w:t>
      </w:r>
    </w:p>
    <w:p w14:paraId="7A1F3E28" w14:textId="0622F4E5" w:rsidR="00A14691" w:rsidRPr="00F12C22" w:rsidRDefault="009A1C46" w:rsidP="00E31D34">
      <w:pPr>
        <w:pStyle w:val="ListParagraph"/>
        <w:numPr>
          <w:ilvl w:val="0"/>
          <w:numId w:val="20"/>
        </w:numPr>
        <w:spacing w:after="240"/>
        <w:ind w:left="426" w:hanging="426"/>
        <w:rPr>
          <w:iCs/>
        </w:rPr>
      </w:pPr>
      <w:r>
        <w:rPr>
          <w:iCs/>
        </w:rPr>
        <w:t>D</w:t>
      </w:r>
      <w:r w:rsidR="00A14691" w:rsidRPr="00F12C22">
        <w:rPr>
          <w:iCs/>
        </w:rPr>
        <w:t xml:space="preserve">etermine eligibility for </w:t>
      </w:r>
      <w:r w:rsidR="004D6C46" w:rsidRPr="00F12C22">
        <w:t>VCTE™</w:t>
      </w:r>
      <w:r w:rsidR="00A14691" w:rsidRPr="00F12C22">
        <w:rPr>
          <w:iCs/>
        </w:rPr>
        <w:t xml:space="preserve"> (either in primary or specialist care)</w:t>
      </w:r>
      <w:r>
        <w:rPr>
          <w:iCs/>
        </w:rPr>
        <w:t>.</w:t>
      </w:r>
    </w:p>
    <w:p w14:paraId="48E62FB0" w14:textId="3ADC0232" w:rsidR="00A14691" w:rsidRPr="00F12C22" w:rsidRDefault="009A1C46" w:rsidP="00E31D34">
      <w:pPr>
        <w:pStyle w:val="ListParagraph"/>
        <w:numPr>
          <w:ilvl w:val="0"/>
          <w:numId w:val="20"/>
        </w:numPr>
        <w:spacing w:after="240"/>
        <w:ind w:left="426" w:hanging="426"/>
        <w:rPr>
          <w:iCs/>
        </w:rPr>
      </w:pPr>
      <w:r>
        <w:rPr>
          <w:iCs/>
        </w:rPr>
        <w:t>D</w:t>
      </w:r>
      <w:r w:rsidR="00A14691" w:rsidRPr="00F12C22">
        <w:rPr>
          <w:iCs/>
        </w:rPr>
        <w:t xml:space="preserve">etermine whether subsequent management of the patient should occur in primary or </w:t>
      </w:r>
      <w:r w:rsidR="000F3FF8">
        <w:rPr>
          <w:iCs/>
        </w:rPr>
        <w:t>specialist</w:t>
      </w:r>
      <w:r w:rsidR="000F3FF8" w:rsidRPr="00F12C22">
        <w:rPr>
          <w:iCs/>
        </w:rPr>
        <w:t xml:space="preserve"> </w:t>
      </w:r>
      <w:r w:rsidR="00A14691" w:rsidRPr="00F12C22">
        <w:rPr>
          <w:iCs/>
        </w:rPr>
        <w:t>care.</w:t>
      </w:r>
    </w:p>
    <w:p w14:paraId="30D54635" w14:textId="2C485F5A" w:rsidR="004D6C46" w:rsidRPr="00F12C22" w:rsidRDefault="004D6C46" w:rsidP="00153CCD">
      <w:pPr>
        <w:spacing w:after="240"/>
      </w:pPr>
      <w:r w:rsidRPr="00F12C22">
        <w:rPr>
          <w:iCs/>
        </w:rPr>
        <w:t>The application pro</w:t>
      </w:r>
      <w:r w:rsidR="00964F90" w:rsidRPr="00F12C22">
        <w:rPr>
          <w:iCs/>
        </w:rPr>
        <w:t>po</w:t>
      </w:r>
      <w:r w:rsidRPr="00F12C22">
        <w:rPr>
          <w:iCs/>
        </w:rPr>
        <w:t>se</w:t>
      </w:r>
      <w:r w:rsidR="00C54C9E">
        <w:rPr>
          <w:iCs/>
        </w:rPr>
        <w:t>d</w:t>
      </w:r>
      <w:r w:rsidRPr="00F12C22">
        <w:rPr>
          <w:iCs/>
        </w:rPr>
        <w:t xml:space="preserve"> the FIB-4 cut-offs</w:t>
      </w:r>
      <w:r w:rsidR="00976C1B">
        <w:rPr>
          <w:iCs/>
        </w:rPr>
        <w:t xml:space="preserve"> presented in </w:t>
      </w:r>
      <w:r w:rsidR="00976C1B" w:rsidRPr="00F12C22">
        <w:fldChar w:fldCharType="begin"/>
      </w:r>
      <w:r w:rsidR="00976C1B" w:rsidRPr="00F12C22">
        <w:instrText xml:space="preserve"> REF _Ref193325008 \h </w:instrText>
      </w:r>
      <w:r w:rsidR="00976C1B" w:rsidRPr="00F12C22">
        <w:fldChar w:fldCharType="separate"/>
      </w:r>
      <w:r w:rsidR="008B40C7" w:rsidRPr="00F12C22">
        <w:t xml:space="preserve">Table </w:t>
      </w:r>
      <w:r w:rsidR="008B40C7">
        <w:rPr>
          <w:noProof/>
        </w:rPr>
        <w:t>3</w:t>
      </w:r>
      <w:r w:rsidR="00976C1B" w:rsidRPr="00F12C22">
        <w:fldChar w:fldCharType="end"/>
      </w:r>
      <w:r w:rsidR="005A6370">
        <w:t xml:space="preserve"> </w:t>
      </w:r>
      <w:r w:rsidR="00EE3A9A">
        <w:t>to stratify the</w:t>
      </w:r>
      <w:r w:rsidR="005A6370">
        <w:t xml:space="preserve"> different populations</w:t>
      </w:r>
      <w:r w:rsidRPr="00F12C22">
        <w:rPr>
          <w:iCs/>
        </w:rPr>
        <w:t>, with details of the</w:t>
      </w:r>
      <w:r w:rsidR="00964F90" w:rsidRPr="00F12C22">
        <w:rPr>
          <w:iCs/>
        </w:rPr>
        <w:t xml:space="preserve"> associated</w:t>
      </w:r>
      <w:r w:rsidRPr="00F12C22">
        <w:rPr>
          <w:iCs/>
        </w:rPr>
        <w:t xml:space="preserve"> risk of </w:t>
      </w:r>
      <w:r w:rsidR="000A4A3F" w:rsidRPr="00F12C22">
        <w:rPr>
          <w:iCs/>
        </w:rPr>
        <w:t>AF</w:t>
      </w:r>
      <w:r w:rsidRPr="00F12C22">
        <w:rPr>
          <w:iCs/>
        </w:rPr>
        <w:t xml:space="preserve">, eligibility for </w:t>
      </w:r>
      <w:r w:rsidRPr="00F12C22">
        <w:t xml:space="preserve">VCTE™ </w:t>
      </w:r>
      <w:r w:rsidR="00F80178" w:rsidRPr="00F12C22">
        <w:t xml:space="preserve">(in </w:t>
      </w:r>
      <w:r w:rsidR="001B0D66" w:rsidRPr="00F12C22">
        <w:t xml:space="preserve">the </w:t>
      </w:r>
      <w:r w:rsidR="00F80178" w:rsidRPr="00F12C22">
        <w:t xml:space="preserve">primary </w:t>
      </w:r>
      <w:r w:rsidR="001B0D66" w:rsidRPr="00F12C22">
        <w:t xml:space="preserve">care </w:t>
      </w:r>
      <w:r w:rsidR="00F80178" w:rsidRPr="00F12C22">
        <w:t xml:space="preserve">or specialist setting) </w:t>
      </w:r>
      <w:r w:rsidRPr="00F12C22">
        <w:t xml:space="preserve">and recommended subsequent management </w:t>
      </w:r>
      <w:r w:rsidR="00F80178" w:rsidRPr="00F12C22">
        <w:t>of the patient</w:t>
      </w:r>
      <w:r w:rsidR="00964F90" w:rsidRPr="00F12C22">
        <w:t xml:space="preserve"> </w:t>
      </w:r>
      <w:r w:rsidR="001B0D66" w:rsidRPr="00F12C22">
        <w:t>(in the primary care or specialist setting)</w:t>
      </w:r>
      <w:r w:rsidR="00964F90" w:rsidRPr="00F12C22">
        <w:t>. Management of patients, according to the requested item descriptors, includes (i) c</w:t>
      </w:r>
      <w:r w:rsidR="00153CCD" w:rsidRPr="00F12C22">
        <w:t>ollecting relevant information, including taking a patient history; (ii) initiating interventions and referrals as indicated; (iii) implementing a management plan</w:t>
      </w:r>
      <w:r w:rsidR="00C970B5">
        <w:t>;</w:t>
      </w:r>
      <w:r w:rsidR="00153CCD" w:rsidRPr="00F12C22">
        <w:t xml:space="preserve"> and (iv) providing the patient with preventative health care advice and information</w:t>
      </w:r>
      <w:r w:rsidR="00964F90" w:rsidRPr="00F12C22">
        <w:t>.</w:t>
      </w:r>
    </w:p>
    <w:p w14:paraId="71F12ECE" w14:textId="77777777" w:rsidR="00022C35" w:rsidRDefault="00022C35">
      <w:pPr>
        <w:spacing w:after="160" w:line="259" w:lineRule="auto"/>
        <w:rPr>
          <w:rFonts w:ascii="Arial Narrow" w:eastAsia="Times New Roman" w:hAnsi="Arial Narrow" w:cs="Tahoma"/>
          <w:b/>
          <w:sz w:val="20"/>
          <w:szCs w:val="20"/>
          <w:lang w:val="en-GB" w:eastAsia="ja-JP"/>
        </w:rPr>
      </w:pPr>
      <w:bookmarkStart w:id="3" w:name="_Ref193325008"/>
      <w:r>
        <w:br w:type="page"/>
      </w:r>
    </w:p>
    <w:p w14:paraId="6783A678" w14:textId="6B1DD13E" w:rsidR="00153CCD" w:rsidRPr="00F12C22" w:rsidRDefault="00153CCD" w:rsidP="005C67C7">
      <w:pPr>
        <w:pStyle w:val="Caption"/>
      </w:pPr>
      <w:r w:rsidRPr="00F12C22">
        <w:lastRenderedPageBreak/>
        <w:t xml:space="preserve">Table </w:t>
      </w:r>
      <w:r w:rsidRPr="00F12C22">
        <w:fldChar w:fldCharType="begin"/>
      </w:r>
      <w:r w:rsidRPr="00F12C22">
        <w:instrText xml:space="preserve"> SEQ Table \* ARABIC </w:instrText>
      </w:r>
      <w:r w:rsidRPr="00F12C22">
        <w:fldChar w:fldCharType="separate"/>
      </w:r>
      <w:r w:rsidR="00D917C4">
        <w:rPr>
          <w:noProof/>
        </w:rPr>
        <w:t>3</w:t>
      </w:r>
      <w:r w:rsidRPr="00F12C22">
        <w:fldChar w:fldCharType="end"/>
      </w:r>
      <w:bookmarkEnd w:id="3"/>
      <w:r w:rsidRPr="00F12C22">
        <w:tab/>
        <w:t>FIB-4 Index score</w:t>
      </w:r>
      <w:r w:rsidR="002A703D" w:rsidRPr="00F12C22">
        <w:t xml:space="preserve"> and associated </w:t>
      </w:r>
      <w:r w:rsidR="000A4A3F" w:rsidRPr="00F12C22">
        <w:t>AF</w:t>
      </w:r>
      <w:r w:rsidR="002A703D" w:rsidRPr="00F12C22">
        <w:t xml:space="preserve"> risk</w:t>
      </w:r>
      <w:r w:rsidRPr="00F12C22">
        <w:t xml:space="preserve"> </w:t>
      </w:r>
    </w:p>
    <w:tbl>
      <w:tblPr>
        <w:tblStyle w:val="TableGrid"/>
        <w:tblW w:w="0" w:type="auto"/>
        <w:tblInd w:w="0" w:type="dxa"/>
        <w:tblCellMar>
          <w:left w:w="28" w:type="dxa"/>
          <w:right w:w="28" w:type="dxa"/>
        </w:tblCellMar>
        <w:tblLook w:val="04A0" w:firstRow="1" w:lastRow="0" w:firstColumn="1" w:lastColumn="0" w:noHBand="0" w:noVBand="1"/>
        <w:tblCaption w:val="FIB-4 Index score and associated AF risk "/>
        <w:tblDescription w:val="FIB-4 Index score and associated AF risk "/>
      </w:tblPr>
      <w:tblGrid>
        <w:gridCol w:w="1555"/>
        <w:gridCol w:w="1984"/>
        <w:gridCol w:w="2693"/>
        <w:gridCol w:w="2127"/>
        <w:gridCol w:w="1212"/>
      </w:tblGrid>
      <w:tr w:rsidR="00F12C22" w:rsidRPr="00F12C22" w14:paraId="767DA984" w14:textId="77777777" w:rsidTr="002A703D">
        <w:tc>
          <w:tcPr>
            <w:tcW w:w="1555" w:type="dxa"/>
          </w:tcPr>
          <w:p w14:paraId="49196A33" w14:textId="6EFCE9D5" w:rsidR="00F80178" w:rsidRPr="005C67C7" w:rsidRDefault="00F80178" w:rsidP="005C67C7">
            <w:pPr>
              <w:spacing w:before="40" w:after="40" w:line="240" w:lineRule="auto"/>
              <w:rPr>
                <w:rFonts w:ascii="Arial Narrow" w:hAnsi="Arial Narrow"/>
                <w:b/>
                <w:bCs/>
                <w:sz w:val="20"/>
                <w:szCs w:val="18"/>
              </w:rPr>
            </w:pPr>
            <w:r w:rsidRPr="005C67C7">
              <w:rPr>
                <w:rFonts w:ascii="Arial Narrow" w:hAnsi="Arial Narrow"/>
                <w:b/>
                <w:bCs/>
                <w:sz w:val="20"/>
                <w:szCs w:val="18"/>
              </w:rPr>
              <w:t>FIB-4 Index score</w:t>
            </w:r>
          </w:p>
        </w:tc>
        <w:tc>
          <w:tcPr>
            <w:tcW w:w="1984" w:type="dxa"/>
          </w:tcPr>
          <w:p w14:paraId="6F0C083B" w14:textId="2A3B513D" w:rsidR="00F80178" w:rsidRPr="005C67C7" w:rsidRDefault="000A4A3F" w:rsidP="005C67C7">
            <w:pPr>
              <w:spacing w:before="40" w:after="40" w:line="240" w:lineRule="auto"/>
              <w:jc w:val="center"/>
              <w:rPr>
                <w:rFonts w:ascii="Arial Narrow" w:hAnsi="Arial Narrow"/>
                <w:b/>
                <w:bCs/>
                <w:sz w:val="20"/>
                <w:szCs w:val="18"/>
              </w:rPr>
            </w:pPr>
            <w:r w:rsidRPr="00F12C22">
              <w:rPr>
                <w:rFonts w:ascii="Arial Narrow" w:hAnsi="Arial Narrow"/>
                <w:b/>
                <w:bCs/>
                <w:sz w:val="20"/>
                <w:szCs w:val="18"/>
              </w:rPr>
              <w:t>AF</w:t>
            </w:r>
            <w:r w:rsidR="00FB775E" w:rsidRPr="00F12C22">
              <w:rPr>
                <w:rFonts w:ascii="Arial Narrow" w:hAnsi="Arial Narrow"/>
                <w:b/>
                <w:bCs/>
                <w:sz w:val="20"/>
                <w:szCs w:val="18"/>
              </w:rPr>
              <w:t xml:space="preserve"> </w:t>
            </w:r>
            <w:r w:rsidR="00153CCD" w:rsidRPr="005C67C7">
              <w:rPr>
                <w:rFonts w:ascii="Arial Narrow" w:hAnsi="Arial Narrow"/>
                <w:b/>
                <w:bCs/>
                <w:sz w:val="20"/>
                <w:szCs w:val="18"/>
              </w:rPr>
              <w:t>risk</w:t>
            </w:r>
          </w:p>
        </w:tc>
        <w:tc>
          <w:tcPr>
            <w:tcW w:w="2693" w:type="dxa"/>
          </w:tcPr>
          <w:p w14:paraId="3BA4BA3E" w14:textId="563BBDF5" w:rsidR="00F80178" w:rsidRPr="005C67C7" w:rsidRDefault="00153CCD" w:rsidP="005C67C7">
            <w:pPr>
              <w:spacing w:before="40" w:after="40" w:line="240" w:lineRule="auto"/>
              <w:jc w:val="center"/>
              <w:rPr>
                <w:rFonts w:ascii="Arial Narrow" w:hAnsi="Arial Narrow"/>
                <w:b/>
                <w:bCs/>
                <w:sz w:val="20"/>
                <w:szCs w:val="18"/>
              </w:rPr>
            </w:pPr>
            <w:r w:rsidRPr="005C67C7">
              <w:rPr>
                <w:rFonts w:ascii="Arial Narrow" w:hAnsi="Arial Narrow"/>
                <w:b/>
                <w:bCs/>
                <w:sz w:val="20"/>
                <w:szCs w:val="18"/>
              </w:rPr>
              <w:t>Eligible for VCTE™</w:t>
            </w:r>
          </w:p>
        </w:tc>
        <w:tc>
          <w:tcPr>
            <w:tcW w:w="2127" w:type="dxa"/>
          </w:tcPr>
          <w:p w14:paraId="3989AB46" w14:textId="4A88C9AD" w:rsidR="00F80178" w:rsidRPr="005C67C7" w:rsidRDefault="00153CCD" w:rsidP="005C67C7">
            <w:pPr>
              <w:spacing w:before="40" w:after="40" w:line="240" w:lineRule="auto"/>
              <w:jc w:val="center"/>
              <w:rPr>
                <w:rFonts w:ascii="Arial Narrow" w:hAnsi="Arial Narrow"/>
                <w:b/>
                <w:bCs/>
                <w:sz w:val="20"/>
                <w:szCs w:val="18"/>
              </w:rPr>
            </w:pPr>
            <w:r w:rsidRPr="005C67C7">
              <w:rPr>
                <w:rFonts w:ascii="Arial Narrow" w:hAnsi="Arial Narrow"/>
                <w:b/>
                <w:bCs/>
                <w:sz w:val="20"/>
                <w:szCs w:val="18"/>
              </w:rPr>
              <w:t>Management</w:t>
            </w:r>
          </w:p>
        </w:tc>
        <w:tc>
          <w:tcPr>
            <w:tcW w:w="1212" w:type="dxa"/>
          </w:tcPr>
          <w:p w14:paraId="717C7298" w14:textId="3A840D95" w:rsidR="00F80178" w:rsidRPr="005C67C7" w:rsidRDefault="00153CCD" w:rsidP="005C67C7">
            <w:pPr>
              <w:spacing w:before="40" w:after="40" w:line="240" w:lineRule="auto"/>
              <w:jc w:val="center"/>
              <w:rPr>
                <w:rFonts w:ascii="Arial Narrow" w:hAnsi="Arial Narrow"/>
                <w:b/>
                <w:bCs/>
                <w:sz w:val="20"/>
                <w:szCs w:val="18"/>
              </w:rPr>
            </w:pPr>
            <w:r w:rsidRPr="005C67C7">
              <w:rPr>
                <w:rFonts w:ascii="Arial Narrow" w:hAnsi="Arial Narrow"/>
                <w:b/>
                <w:bCs/>
                <w:sz w:val="20"/>
                <w:szCs w:val="18"/>
              </w:rPr>
              <w:t>PICO Set</w:t>
            </w:r>
          </w:p>
        </w:tc>
      </w:tr>
      <w:tr w:rsidR="00F12C22" w:rsidRPr="00F12C22" w14:paraId="35DFE0E8" w14:textId="77777777" w:rsidTr="000E2D43">
        <w:tc>
          <w:tcPr>
            <w:tcW w:w="1555" w:type="dxa"/>
            <w:vAlign w:val="center"/>
          </w:tcPr>
          <w:p w14:paraId="4EDF157B" w14:textId="0FB146A3" w:rsidR="00F80178" w:rsidRPr="005C67C7" w:rsidRDefault="00153CCD" w:rsidP="000E2D43">
            <w:pPr>
              <w:spacing w:before="40" w:after="40" w:line="240" w:lineRule="auto"/>
              <w:jc w:val="center"/>
              <w:rPr>
                <w:rFonts w:ascii="Arial Narrow" w:hAnsi="Arial Narrow"/>
                <w:sz w:val="20"/>
                <w:szCs w:val="18"/>
              </w:rPr>
            </w:pPr>
            <w:r w:rsidRPr="00F12C22">
              <w:rPr>
                <w:rFonts w:ascii="Arial Narrow" w:hAnsi="Arial Narrow"/>
                <w:sz w:val="20"/>
                <w:szCs w:val="18"/>
              </w:rPr>
              <w:t>&lt;1.3</w:t>
            </w:r>
          </w:p>
        </w:tc>
        <w:tc>
          <w:tcPr>
            <w:tcW w:w="1984" w:type="dxa"/>
          </w:tcPr>
          <w:p w14:paraId="5F47F8E2" w14:textId="7CADDA4B"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Low</w:t>
            </w:r>
          </w:p>
        </w:tc>
        <w:tc>
          <w:tcPr>
            <w:tcW w:w="2693" w:type="dxa"/>
          </w:tcPr>
          <w:p w14:paraId="6723D0D6" w14:textId="349C7764"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No</w:t>
            </w:r>
          </w:p>
        </w:tc>
        <w:tc>
          <w:tcPr>
            <w:tcW w:w="2127" w:type="dxa"/>
          </w:tcPr>
          <w:p w14:paraId="640FA0AB" w14:textId="4EF22DDF"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Primary care</w:t>
            </w:r>
          </w:p>
        </w:tc>
        <w:tc>
          <w:tcPr>
            <w:tcW w:w="1212" w:type="dxa"/>
          </w:tcPr>
          <w:p w14:paraId="4693B4C9" w14:textId="5EDBD8BB"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w:t>
            </w:r>
          </w:p>
        </w:tc>
      </w:tr>
      <w:tr w:rsidR="00F12C22" w:rsidRPr="00F12C22" w14:paraId="1F3524FB" w14:textId="77777777" w:rsidTr="000E2D43">
        <w:tc>
          <w:tcPr>
            <w:tcW w:w="1555" w:type="dxa"/>
            <w:vAlign w:val="center"/>
          </w:tcPr>
          <w:p w14:paraId="1B6521E2" w14:textId="459D543E" w:rsidR="00F80178" w:rsidRPr="005C67C7" w:rsidRDefault="00153CCD" w:rsidP="000E2D43">
            <w:pPr>
              <w:spacing w:before="40" w:after="40" w:line="240" w:lineRule="auto"/>
              <w:jc w:val="center"/>
              <w:rPr>
                <w:rFonts w:ascii="Arial Narrow" w:hAnsi="Arial Narrow"/>
                <w:sz w:val="20"/>
                <w:szCs w:val="18"/>
              </w:rPr>
            </w:pPr>
            <w:r w:rsidRPr="00F12C22">
              <w:rPr>
                <w:rFonts w:ascii="Arial Narrow" w:hAnsi="Arial Narrow"/>
                <w:sz w:val="20"/>
                <w:szCs w:val="18"/>
              </w:rPr>
              <w:t>1.3-2.7</w:t>
            </w:r>
          </w:p>
        </w:tc>
        <w:tc>
          <w:tcPr>
            <w:tcW w:w="1984" w:type="dxa"/>
          </w:tcPr>
          <w:p w14:paraId="11D19600" w14:textId="192A14A8"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Indeterminate</w:t>
            </w:r>
          </w:p>
        </w:tc>
        <w:tc>
          <w:tcPr>
            <w:tcW w:w="2693" w:type="dxa"/>
          </w:tcPr>
          <w:p w14:paraId="307428A3" w14:textId="711A862F" w:rsidR="00F80178" w:rsidRPr="005C67C7" w:rsidRDefault="00153CCD" w:rsidP="005C67C7">
            <w:pPr>
              <w:spacing w:before="40" w:after="40" w:line="240" w:lineRule="auto"/>
              <w:jc w:val="center"/>
              <w:rPr>
                <w:rFonts w:ascii="Arial Narrow" w:hAnsi="Arial Narrow"/>
                <w:sz w:val="20"/>
                <w:szCs w:val="18"/>
                <w:vertAlign w:val="superscript"/>
              </w:rPr>
            </w:pPr>
            <w:r w:rsidRPr="00F12C22">
              <w:rPr>
                <w:rFonts w:ascii="Arial Narrow" w:hAnsi="Arial Narrow"/>
                <w:sz w:val="20"/>
                <w:szCs w:val="18"/>
              </w:rPr>
              <w:t>Yes, primary care</w:t>
            </w:r>
            <w:r w:rsidR="00E92C75" w:rsidRPr="00F12C22">
              <w:rPr>
                <w:rFonts w:ascii="Arial Narrow" w:hAnsi="Arial Narrow"/>
                <w:sz w:val="20"/>
                <w:szCs w:val="18"/>
              </w:rPr>
              <w:t xml:space="preserve"> or specialist care</w:t>
            </w:r>
            <w:r w:rsidR="00506ED0" w:rsidRPr="00F12C22">
              <w:rPr>
                <w:rFonts w:ascii="Arial Narrow" w:hAnsi="Arial Narrow"/>
                <w:sz w:val="20"/>
                <w:szCs w:val="18"/>
                <w:vertAlign w:val="superscript"/>
              </w:rPr>
              <w:t>a</w:t>
            </w:r>
          </w:p>
        </w:tc>
        <w:tc>
          <w:tcPr>
            <w:tcW w:w="2127" w:type="dxa"/>
          </w:tcPr>
          <w:p w14:paraId="7347B640" w14:textId="5A87544A"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Primary or specialist care</w:t>
            </w:r>
          </w:p>
        </w:tc>
        <w:tc>
          <w:tcPr>
            <w:tcW w:w="1212" w:type="dxa"/>
          </w:tcPr>
          <w:p w14:paraId="2127A891" w14:textId="67581335"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PICO Set 1</w:t>
            </w:r>
            <w:r w:rsidR="002A703D" w:rsidRPr="00F12C22">
              <w:rPr>
                <w:rFonts w:ascii="Arial Narrow" w:hAnsi="Arial Narrow"/>
                <w:sz w:val="20"/>
                <w:szCs w:val="18"/>
              </w:rPr>
              <w:t xml:space="preserve"> &amp;</w:t>
            </w:r>
            <w:r w:rsidR="00020B2F" w:rsidRPr="00F12C22">
              <w:rPr>
                <w:rFonts w:ascii="Arial Narrow" w:hAnsi="Arial Narrow"/>
                <w:sz w:val="20"/>
                <w:szCs w:val="18"/>
              </w:rPr>
              <w:t xml:space="preserve"> </w:t>
            </w:r>
            <w:r w:rsidR="002A703D" w:rsidRPr="00F12C22">
              <w:rPr>
                <w:rFonts w:ascii="Arial Narrow" w:hAnsi="Arial Narrow"/>
                <w:sz w:val="20"/>
                <w:szCs w:val="18"/>
              </w:rPr>
              <w:t>2</w:t>
            </w:r>
          </w:p>
        </w:tc>
      </w:tr>
      <w:tr w:rsidR="00F12C22" w:rsidRPr="00F12C22" w14:paraId="410BFB79" w14:textId="77777777" w:rsidTr="000E2D43">
        <w:tc>
          <w:tcPr>
            <w:tcW w:w="1555" w:type="dxa"/>
            <w:vAlign w:val="center"/>
          </w:tcPr>
          <w:p w14:paraId="3D3863A1" w14:textId="6D017154" w:rsidR="00F80178" w:rsidRPr="005C67C7" w:rsidRDefault="00153CCD" w:rsidP="000E2D43">
            <w:pPr>
              <w:spacing w:before="40" w:after="40" w:line="240" w:lineRule="auto"/>
              <w:jc w:val="center"/>
              <w:rPr>
                <w:rFonts w:ascii="Arial Narrow" w:hAnsi="Arial Narrow"/>
                <w:sz w:val="20"/>
                <w:szCs w:val="18"/>
              </w:rPr>
            </w:pPr>
            <w:r w:rsidRPr="00F12C22">
              <w:rPr>
                <w:rFonts w:ascii="Arial Narrow" w:hAnsi="Arial Narrow"/>
                <w:sz w:val="20"/>
                <w:szCs w:val="18"/>
              </w:rPr>
              <w:t>&gt;2.7</w:t>
            </w:r>
          </w:p>
        </w:tc>
        <w:tc>
          <w:tcPr>
            <w:tcW w:w="1984" w:type="dxa"/>
          </w:tcPr>
          <w:p w14:paraId="3752EDE2" w14:textId="5AD8B5C9"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High</w:t>
            </w:r>
          </w:p>
        </w:tc>
        <w:tc>
          <w:tcPr>
            <w:tcW w:w="2693" w:type="dxa"/>
          </w:tcPr>
          <w:p w14:paraId="037CBB24" w14:textId="49FE8F14"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Yes, specialist care</w:t>
            </w:r>
          </w:p>
        </w:tc>
        <w:tc>
          <w:tcPr>
            <w:tcW w:w="2127" w:type="dxa"/>
          </w:tcPr>
          <w:p w14:paraId="632404DB" w14:textId="2EB98343"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Specialist care</w:t>
            </w:r>
          </w:p>
        </w:tc>
        <w:tc>
          <w:tcPr>
            <w:tcW w:w="1212" w:type="dxa"/>
          </w:tcPr>
          <w:p w14:paraId="77DB28E9" w14:textId="7C8FD04D" w:rsidR="00F80178" w:rsidRPr="005C67C7" w:rsidRDefault="00153CCD" w:rsidP="005C67C7">
            <w:pPr>
              <w:spacing w:before="40" w:after="40" w:line="240" w:lineRule="auto"/>
              <w:jc w:val="center"/>
              <w:rPr>
                <w:rFonts w:ascii="Arial Narrow" w:hAnsi="Arial Narrow"/>
                <w:sz w:val="20"/>
                <w:szCs w:val="18"/>
              </w:rPr>
            </w:pPr>
            <w:r w:rsidRPr="00F12C22">
              <w:rPr>
                <w:rFonts w:ascii="Arial Narrow" w:hAnsi="Arial Narrow"/>
                <w:sz w:val="20"/>
                <w:szCs w:val="18"/>
              </w:rPr>
              <w:t>PICO Set 2</w:t>
            </w:r>
          </w:p>
        </w:tc>
      </w:tr>
    </w:tbl>
    <w:p w14:paraId="6E6D387E" w14:textId="2D1AFFFF" w:rsidR="00F80178" w:rsidRPr="00F12C22" w:rsidRDefault="00506ED0" w:rsidP="005C67C7">
      <w:pPr>
        <w:tabs>
          <w:tab w:val="left" w:pos="284"/>
        </w:tabs>
        <w:spacing w:after="0"/>
        <w:rPr>
          <w:rFonts w:ascii="Arial Narrow" w:hAnsi="Arial Narrow"/>
          <w:sz w:val="18"/>
          <w:szCs w:val="18"/>
        </w:rPr>
      </w:pPr>
      <w:r w:rsidRPr="00F12C22">
        <w:rPr>
          <w:rFonts w:ascii="Arial Narrow" w:hAnsi="Arial Narrow"/>
          <w:sz w:val="18"/>
          <w:szCs w:val="18"/>
          <w:vertAlign w:val="superscript"/>
        </w:rPr>
        <w:t>a</w:t>
      </w:r>
      <w:r w:rsidRPr="00F12C22">
        <w:rPr>
          <w:rFonts w:ascii="Arial Narrow" w:hAnsi="Arial Narrow"/>
          <w:sz w:val="18"/>
          <w:szCs w:val="18"/>
        </w:rPr>
        <w:tab/>
        <w:t xml:space="preserve">VCTE™ conducted in specialist care if no access to </w:t>
      </w:r>
      <w:r w:rsidRPr="005C67C7">
        <w:rPr>
          <w:rFonts w:ascii="Arial Narrow" w:hAnsi="Arial Narrow"/>
          <w:sz w:val="18"/>
          <w:szCs w:val="18"/>
        </w:rPr>
        <w:t>VCTE™ in</w:t>
      </w:r>
      <w:r w:rsidRPr="00F12C22">
        <w:rPr>
          <w:rFonts w:ascii="Arial Narrow" w:hAnsi="Arial Narrow"/>
          <w:sz w:val="18"/>
          <w:szCs w:val="18"/>
        </w:rPr>
        <w:t xml:space="preserve"> </w:t>
      </w:r>
      <w:r w:rsidRPr="005C67C7">
        <w:rPr>
          <w:rFonts w:ascii="Arial Narrow" w:hAnsi="Arial Narrow"/>
          <w:sz w:val="18"/>
          <w:szCs w:val="18"/>
        </w:rPr>
        <w:t>primary care setting</w:t>
      </w:r>
    </w:p>
    <w:p w14:paraId="33EBD4E7" w14:textId="0DB1BCEC" w:rsidR="000A4A3F" w:rsidRPr="005C67C7" w:rsidRDefault="000A4A3F" w:rsidP="005C67C7">
      <w:pPr>
        <w:tabs>
          <w:tab w:val="left" w:pos="284"/>
        </w:tabs>
        <w:spacing w:after="240"/>
        <w:rPr>
          <w:rFonts w:ascii="Arial Narrow" w:hAnsi="Arial Narrow"/>
          <w:sz w:val="18"/>
          <w:szCs w:val="18"/>
        </w:rPr>
      </w:pPr>
      <w:r w:rsidRPr="00F12C22">
        <w:rPr>
          <w:rFonts w:ascii="Arial Narrow" w:hAnsi="Arial Narrow"/>
          <w:sz w:val="18"/>
          <w:szCs w:val="18"/>
        </w:rPr>
        <w:t>AF = advance</w:t>
      </w:r>
      <w:r w:rsidR="00D75023">
        <w:rPr>
          <w:rFonts w:ascii="Arial Narrow" w:hAnsi="Arial Narrow"/>
          <w:sz w:val="18"/>
          <w:szCs w:val="18"/>
        </w:rPr>
        <w:t>d</w:t>
      </w:r>
      <w:r w:rsidRPr="00F12C22">
        <w:rPr>
          <w:rFonts w:ascii="Arial Narrow" w:hAnsi="Arial Narrow"/>
          <w:sz w:val="18"/>
          <w:szCs w:val="18"/>
        </w:rPr>
        <w:t xml:space="preserve"> fibrosis; VCTE™ </w:t>
      </w:r>
      <w:r w:rsidR="000F3FF8">
        <w:rPr>
          <w:rFonts w:ascii="Arial Narrow" w:hAnsi="Arial Narrow"/>
          <w:sz w:val="18"/>
          <w:szCs w:val="18"/>
        </w:rPr>
        <w:t>=</w:t>
      </w:r>
      <w:r w:rsidRPr="00F12C22">
        <w:rPr>
          <w:rFonts w:ascii="Arial Narrow" w:hAnsi="Arial Narrow"/>
          <w:sz w:val="18"/>
          <w:szCs w:val="18"/>
        </w:rPr>
        <w:t xml:space="preserve"> vibration controlled transient elastography</w:t>
      </w:r>
    </w:p>
    <w:p w14:paraId="42820861" w14:textId="39FD275C" w:rsidR="00F276E5" w:rsidRDefault="00BD5703" w:rsidP="00552A07">
      <w:r>
        <w:t>Patients with a FIB-4 score below 1.3</w:t>
      </w:r>
      <w:r w:rsidR="00712936">
        <w:t xml:space="preserve"> are considered to be</w:t>
      </w:r>
      <w:r w:rsidR="003C7BC0">
        <w:t xml:space="preserve"> at low risk fo</w:t>
      </w:r>
      <w:r w:rsidR="00097EB4">
        <w:t>r AF and are out of scope of th</w:t>
      </w:r>
      <w:r w:rsidR="003448EB">
        <w:t>is</w:t>
      </w:r>
      <w:r w:rsidR="00097EB4">
        <w:t xml:space="preserve"> application.</w:t>
      </w:r>
    </w:p>
    <w:p w14:paraId="4841CAF7" w14:textId="2BE10EF0" w:rsidR="004F7202" w:rsidRPr="00F12C22" w:rsidRDefault="005D7E3E" w:rsidP="00552A07">
      <w:r>
        <w:t>P</w:t>
      </w:r>
      <w:r w:rsidR="004D6C46" w:rsidRPr="00F12C22">
        <w:t xml:space="preserve">atients with </w:t>
      </w:r>
      <w:r w:rsidR="007208BB">
        <w:t>a</w:t>
      </w:r>
      <w:r w:rsidR="00801B37">
        <w:t xml:space="preserve"> </w:t>
      </w:r>
      <w:r w:rsidR="00552A07" w:rsidRPr="00F12C22">
        <w:t xml:space="preserve">FIB-4 test result </w:t>
      </w:r>
      <w:r w:rsidR="007208BB">
        <w:t xml:space="preserve">of </w:t>
      </w:r>
      <w:r w:rsidR="00552A07" w:rsidRPr="00F12C22">
        <w:t>1.3-2.7</w:t>
      </w:r>
      <w:r>
        <w:t xml:space="preserve"> </w:t>
      </w:r>
      <w:r w:rsidRPr="00F12C22">
        <w:t xml:space="preserve">are </w:t>
      </w:r>
      <w:r w:rsidR="00270C82">
        <w:t>considered at</w:t>
      </w:r>
      <w:r w:rsidR="00270C82" w:rsidRPr="00F12C22">
        <w:t xml:space="preserve"> indeterminate</w:t>
      </w:r>
      <w:r w:rsidR="00270C82">
        <w:t xml:space="preserve"> risk of AF, and </w:t>
      </w:r>
      <w:r w:rsidR="00990461">
        <w:t xml:space="preserve">VCTE™ would be conducted (typically in primary care) to determine </w:t>
      </w:r>
      <w:r w:rsidR="002455DC">
        <w:t>if AF was present. These patients would be</w:t>
      </w:r>
      <w:r w:rsidR="00270C82" w:rsidRPr="00F12C22">
        <w:t xml:space="preserve"> </w:t>
      </w:r>
      <w:r>
        <w:rPr>
          <w:rFonts w:cs="Arial"/>
        </w:rPr>
        <w:t>directed</w:t>
      </w:r>
      <w:r w:rsidRPr="00F12C22">
        <w:t xml:space="preserve"> to management in primary care or under specialist care based on the </w:t>
      </w:r>
      <w:r>
        <w:t xml:space="preserve">result of </w:t>
      </w:r>
      <w:r w:rsidRPr="00F12C22">
        <w:t>VCTE™</w:t>
      </w:r>
      <w:r>
        <w:t>:</w:t>
      </w:r>
    </w:p>
    <w:p w14:paraId="7F487491" w14:textId="7C99F863" w:rsidR="00153CCD" w:rsidRPr="00F12C22" w:rsidRDefault="0066432C" w:rsidP="008B40C7">
      <w:pPr>
        <w:pStyle w:val="ListParagraph"/>
        <w:numPr>
          <w:ilvl w:val="0"/>
          <w:numId w:val="19"/>
        </w:numPr>
        <w:spacing w:after="240"/>
        <w:ind w:left="284" w:hanging="284"/>
        <w:contextualSpacing w:val="0"/>
      </w:pPr>
      <w:r w:rsidRPr="003534A6">
        <w:rPr>
          <w:u w:val="single"/>
        </w:rPr>
        <w:t>PICO set 1:</w:t>
      </w:r>
      <w:r>
        <w:t xml:space="preserve"> </w:t>
      </w:r>
      <w:r w:rsidR="00564C1B">
        <w:rPr>
          <w:rFonts w:cs="Arial"/>
        </w:rPr>
        <w:t>Patients with l</w:t>
      </w:r>
      <w:r w:rsidR="00153CCD" w:rsidRPr="00F12C22">
        <w:rPr>
          <w:rFonts w:cs="Arial"/>
        </w:rPr>
        <w:t xml:space="preserve">iver stiffness measurement (LSM) of &lt;8 kilopascals (kPa) by </w:t>
      </w:r>
      <w:r w:rsidR="00153CCD" w:rsidRPr="00F12C22">
        <w:t xml:space="preserve">VCTE™ performed in primary care </w:t>
      </w:r>
      <w:r w:rsidR="00014899" w:rsidRPr="00F12C22">
        <w:t xml:space="preserve">are considered low risk of </w:t>
      </w:r>
      <w:r w:rsidR="00083789" w:rsidRPr="00F12C22">
        <w:t>AF</w:t>
      </w:r>
      <w:r w:rsidR="00014899" w:rsidRPr="00F12C22">
        <w:t xml:space="preserve"> and </w:t>
      </w:r>
      <w:r w:rsidR="00806C3C">
        <w:rPr>
          <w:iCs/>
        </w:rPr>
        <w:t>would continue to be</w:t>
      </w:r>
      <w:r w:rsidR="00806C3C" w:rsidRPr="00F12C22">
        <w:rPr>
          <w:iCs/>
        </w:rPr>
        <w:t xml:space="preserve"> </w:t>
      </w:r>
      <w:r w:rsidR="00014899" w:rsidRPr="00F12C22">
        <w:rPr>
          <w:iCs/>
        </w:rPr>
        <w:t>managed</w:t>
      </w:r>
      <w:r w:rsidR="00153CCD" w:rsidRPr="00F12C22">
        <w:rPr>
          <w:iCs/>
        </w:rPr>
        <w:t xml:space="preserve"> in primary care</w:t>
      </w:r>
      <w:r w:rsidR="00A97C89">
        <w:rPr>
          <w:iCs/>
        </w:rPr>
        <w:t xml:space="preserve">. Patients with </w:t>
      </w:r>
      <w:r w:rsidR="00153CCD" w:rsidRPr="00A97C89">
        <w:rPr>
          <w:rFonts w:cs="Arial"/>
        </w:rPr>
        <w:t xml:space="preserve">LSM of </w:t>
      </w:r>
      <w:r w:rsidR="00153CCD" w:rsidRPr="00A97C89">
        <w:rPr>
          <w:rFonts w:cs="Calibri"/>
        </w:rPr>
        <w:t>≥</w:t>
      </w:r>
      <w:r w:rsidR="00153CCD" w:rsidRPr="00A97C89">
        <w:rPr>
          <w:rFonts w:cs="Arial"/>
        </w:rPr>
        <w:t xml:space="preserve">8 kPa by </w:t>
      </w:r>
      <w:r w:rsidR="00153CCD" w:rsidRPr="00F12C22">
        <w:t>VCTE™</w:t>
      </w:r>
      <w:r w:rsidR="00153CCD" w:rsidRPr="00A97C89">
        <w:rPr>
          <w:iCs/>
        </w:rPr>
        <w:t xml:space="preserve"> performed in primary care</w:t>
      </w:r>
      <w:r w:rsidRPr="00A97C89">
        <w:rPr>
          <w:iCs/>
        </w:rPr>
        <w:t xml:space="preserve"> </w:t>
      </w:r>
      <w:r w:rsidR="00964F90" w:rsidRPr="00A97C89">
        <w:rPr>
          <w:iCs/>
        </w:rPr>
        <w:t xml:space="preserve">are considered at high risk of </w:t>
      </w:r>
      <w:r w:rsidR="00083789" w:rsidRPr="00A97C89">
        <w:rPr>
          <w:iCs/>
        </w:rPr>
        <w:t>AF</w:t>
      </w:r>
      <w:r w:rsidR="00964F90" w:rsidRPr="00A97C89">
        <w:rPr>
          <w:iCs/>
        </w:rPr>
        <w:t xml:space="preserve"> and </w:t>
      </w:r>
      <w:r w:rsidR="00806C3C" w:rsidRPr="00A97C89">
        <w:rPr>
          <w:iCs/>
        </w:rPr>
        <w:t xml:space="preserve">would be </w:t>
      </w:r>
      <w:r w:rsidR="00153CCD" w:rsidRPr="00A97C89">
        <w:rPr>
          <w:iCs/>
        </w:rPr>
        <w:t>escalated to specialist care</w:t>
      </w:r>
      <w:r w:rsidR="00014899" w:rsidRPr="00A97C89">
        <w:rPr>
          <w:iCs/>
        </w:rPr>
        <w:t xml:space="preserve"> for management</w:t>
      </w:r>
      <w:r w:rsidR="00153CCD" w:rsidRPr="00A97C89">
        <w:rPr>
          <w:iCs/>
        </w:rPr>
        <w:t>.</w:t>
      </w:r>
      <w:r w:rsidR="00964F90" w:rsidRPr="00A97C89">
        <w:rPr>
          <w:iCs/>
        </w:rPr>
        <w:t xml:space="preserve"> It is not clear whether </w:t>
      </w:r>
      <w:r w:rsidR="00AF7F0D">
        <w:rPr>
          <w:iCs/>
        </w:rPr>
        <w:t>these</w:t>
      </w:r>
      <w:r w:rsidR="00AF7F0D" w:rsidRPr="00A97C89">
        <w:rPr>
          <w:iCs/>
        </w:rPr>
        <w:t xml:space="preserve"> </w:t>
      </w:r>
      <w:r w:rsidR="00964F90" w:rsidRPr="00A97C89">
        <w:rPr>
          <w:iCs/>
        </w:rPr>
        <w:t xml:space="preserve">patients would </w:t>
      </w:r>
      <w:r w:rsidR="00AF7F0D">
        <w:rPr>
          <w:iCs/>
        </w:rPr>
        <w:t xml:space="preserve">all continue </w:t>
      </w:r>
      <w:r w:rsidR="001B0D66" w:rsidRPr="00A97C89">
        <w:rPr>
          <w:iCs/>
        </w:rPr>
        <w:t xml:space="preserve">under specialist care as the applicant’s clinical expert noted that liver </w:t>
      </w:r>
      <w:r w:rsidR="001B0D66" w:rsidRPr="00F12C22">
        <w:t>stiffness is not</w:t>
      </w:r>
      <w:r w:rsidR="00934476">
        <w:t xml:space="preserve"> a definitive diagnosis of </w:t>
      </w:r>
      <w:r w:rsidR="001B0D66" w:rsidRPr="00F12C22">
        <w:t>fibrosis</w:t>
      </w:r>
      <w:r w:rsidR="002E5FA9">
        <w:t>,</w:t>
      </w:r>
      <w:r w:rsidR="00344706">
        <w:t xml:space="preserve"> although it correlates with fibrosis stage</w:t>
      </w:r>
      <w:r w:rsidR="00934476">
        <w:t xml:space="preserve"> and referral for a secondary assessment</w:t>
      </w:r>
      <w:r w:rsidR="006E6238">
        <w:t xml:space="preserve"> with a specialist is advised</w:t>
      </w:r>
      <w:r w:rsidR="001B0D66" w:rsidRPr="00F12C22">
        <w:t>.</w:t>
      </w:r>
    </w:p>
    <w:p w14:paraId="60ED1D39" w14:textId="5266CB8C" w:rsidR="004F7202" w:rsidRDefault="00806C3C" w:rsidP="00F60965">
      <w:pPr>
        <w:pStyle w:val="ListParagraph"/>
        <w:numPr>
          <w:ilvl w:val="0"/>
          <w:numId w:val="19"/>
        </w:numPr>
        <w:spacing w:after="240"/>
        <w:ind w:left="284" w:hanging="284"/>
        <w:contextualSpacing w:val="0"/>
      </w:pPr>
      <w:r>
        <w:rPr>
          <w:u w:val="single"/>
        </w:rPr>
        <w:t>PICO set 2:</w:t>
      </w:r>
      <w:r w:rsidR="0005621F">
        <w:t xml:space="preserve"> </w:t>
      </w:r>
      <w:r w:rsidR="004F7202" w:rsidRPr="00F12C22">
        <w:t xml:space="preserve">VCTE™ may be undertaken in specialist care, should a primary care practitioner not have access to VCTE™. </w:t>
      </w:r>
      <w:r w:rsidR="003910C7" w:rsidRPr="00F12C22">
        <w:t>If</w:t>
      </w:r>
      <w:r w:rsidR="004F7202" w:rsidRPr="00F12C22">
        <w:t xml:space="preserve"> undergoing </w:t>
      </w:r>
      <w:r w:rsidR="003910C7" w:rsidRPr="00F12C22">
        <w:t xml:space="preserve">VCTE™ in specialist care, </w:t>
      </w:r>
      <w:r w:rsidR="004D221F" w:rsidRPr="00F12C22">
        <w:t xml:space="preserve">based on the clinical algorithm (see </w:t>
      </w:r>
      <w:r w:rsidR="00BC1B24">
        <w:t>5</w:t>
      </w:r>
      <w:r w:rsidR="004D221F" w:rsidRPr="00F12C22">
        <w:t>)</w:t>
      </w:r>
      <w:r w:rsidR="003910C7" w:rsidRPr="00F12C22">
        <w:t xml:space="preserve"> those with LSM &lt;8 kPa would </w:t>
      </w:r>
      <w:r w:rsidR="006C7757">
        <w:t>return to</w:t>
      </w:r>
      <w:r w:rsidR="003910C7" w:rsidRPr="00F12C22">
        <w:t xml:space="preserve"> primary care </w:t>
      </w:r>
      <w:r w:rsidR="006C7757">
        <w:t xml:space="preserve">for management </w:t>
      </w:r>
      <w:r w:rsidR="003910C7" w:rsidRPr="00F12C22">
        <w:t xml:space="preserve">and those with LSM </w:t>
      </w:r>
      <w:r w:rsidR="003910C7" w:rsidRPr="00F12C22">
        <w:rPr>
          <w:rFonts w:cs="Calibri"/>
        </w:rPr>
        <w:t>≥</w:t>
      </w:r>
      <w:r w:rsidR="003910C7" w:rsidRPr="00F12C22">
        <w:rPr>
          <w:rFonts w:cs="Arial"/>
        </w:rPr>
        <w:t xml:space="preserve">8 kPa would be managed under specialist care (if </w:t>
      </w:r>
      <w:r w:rsidR="00083789" w:rsidRPr="00F12C22">
        <w:rPr>
          <w:rFonts w:cs="Arial"/>
        </w:rPr>
        <w:t>AF</w:t>
      </w:r>
      <w:r w:rsidR="003910C7" w:rsidRPr="00F12C22">
        <w:rPr>
          <w:rFonts w:cs="Arial"/>
        </w:rPr>
        <w:t xml:space="preserve"> was present</w:t>
      </w:r>
      <w:r w:rsidR="004D221F" w:rsidRPr="00F12C22">
        <w:rPr>
          <w:rFonts w:cs="Arial"/>
        </w:rPr>
        <w:t>)</w:t>
      </w:r>
      <w:r w:rsidR="00020B2F" w:rsidRPr="00F12C22">
        <w:rPr>
          <w:rFonts w:cs="Arial"/>
        </w:rPr>
        <w:t>.</w:t>
      </w:r>
    </w:p>
    <w:p w14:paraId="21C2AFAD" w14:textId="5FC2639B" w:rsidR="00C45DB8" w:rsidRPr="00185EB0" w:rsidRDefault="00C45DB8" w:rsidP="001B0D66">
      <w:r>
        <w:t xml:space="preserve">Patients with a FIB-4 score &gt;2.7 are considered to be at high risk of AF, and </w:t>
      </w:r>
      <w:r w:rsidR="00185EB0">
        <w:t xml:space="preserve">are included within </w:t>
      </w:r>
      <w:r w:rsidR="00185EB0" w:rsidRPr="00185EB0">
        <w:rPr>
          <w:u w:val="single"/>
        </w:rPr>
        <w:t>PICO set 2</w:t>
      </w:r>
      <w:r w:rsidR="00185EB0">
        <w:rPr>
          <w:u w:val="single"/>
        </w:rPr>
        <w:t>.</w:t>
      </w:r>
    </w:p>
    <w:p w14:paraId="57BE3109" w14:textId="6C320975" w:rsidR="00153CCD" w:rsidRPr="00F12C22" w:rsidRDefault="00153CCD" w:rsidP="001B0D66">
      <w:r w:rsidRPr="00F12C22">
        <w:t xml:space="preserve">The applicant has clarified that the proposed items are focused solely on initial risk stratification and identification of </w:t>
      </w:r>
      <w:r w:rsidR="00083789" w:rsidRPr="00F12C22">
        <w:t>AF</w:t>
      </w:r>
      <w:r w:rsidRPr="00F12C22">
        <w:t xml:space="preserve"> for clinical decision making, rather than ongoing </w:t>
      </w:r>
      <w:r w:rsidR="00346D1B" w:rsidRPr="00F12C22">
        <w:t>monitoring</w:t>
      </w:r>
      <w:r w:rsidR="00346D1B">
        <w:t xml:space="preserve"> of</w:t>
      </w:r>
      <w:r w:rsidR="00346D1B" w:rsidRPr="00F12C22">
        <w:t xml:space="preserve"> </w:t>
      </w:r>
      <w:r w:rsidRPr="00F12C22">
        <w:t xml:space="preserve">fibrosis. </w:t>
      </w:r>
      <w:r w:rsidR="0008698D">
        <w:t>Repeat testing is for the purpose of identif</w:t>
      </w:r>
      <w:r w:rsidR="008B6B0B">
        <w:t xml:space="preserve">ying AF in patients </w:t>
      </w:r>
      <w:r w:rsidR="00340A30">
        <w:t xml:space="preserve">in whom it was not present </w:t>
      </w:r>
      <w:r w:rsidR="006F0828">
        <w:t xml:space="preserve">at earlier tests. </w:t>
      </w:r>
      <w:r w:rsidR="00445049" w:rsidRPr="00F12C22">
        <w:t>Although this is the stated intent</w:t>
      </w:r>
      <w:r w:rsidR="00DE2641">
        <w:t>ion</w:t>
      </w:r>
      <w:r w:rsidR="00445049" w:rsidRPr="00F12C22">
        <w:t xml:space="preserve">, the item descriptors allow for repeat testing every </w:t>
      </w:r>
      <w:r w:rsidR="004F7202" w:rsidRPr="00F12C22">
        <w:t>3</w:t>
      </w:r>
      <w:r w:rsidR="00445049" w:rsidRPr="00F12C22">
        <w:t xml:space="preserve"> years</w:t>
      </w:r>
      <w:r w:rsidR="001B0D66" w:rsidRPr="00F12C22">
        <w:t xml:space="preserve"> </w:t>
      </w:r>
      <w:r w:rsidR="002A703D" w:rsidRPr="00F12C22">
        <w:t>and do not preclude the use of VCTE™ to monitor progression of fibrosis</w:t>
      </w:r>
      <w:r w:rsidR="006F0828">
        <w:t xml:space="preserve"> (</w:t>
      </w:r>
      <w:r w:rsidR="001B0D66" w:rsidRPr="00F12C22">
        <w:t>see discussion under ‘Proposal for public funding’</w:t>
      </w:r>
      <w:r w:rsidR="006F0828">
        <w:t>)</w:t>
      </w:r>
      <w:r w:rsidR="00445049" w:rsidRPr="00F12C22">
        <w:t xml:space="preserve">. </w:t>
      </w:r>
    </w:p>
    <w:p w14:paraId="4E685371" w14:textId="684D8458" w:rsidR="00562CB7" w:rsidRPr="005C67C7" w:rsidRDefault="00562CB7" w:rsidP="002F41B4">
      <w:pPr>
        <w:pStyle w:val="Heading4"/>
      </w:pPr>
      <w:r w:rsidRPr="005C67C7">
        <w:t xml:space="preserve">Metabolic dysfunction-associated fatty </w:t>
      </w:r>
      <w:r w:rsidRPr="00F42687">
        <w:t>liver</w:t>
      </w:r>
      <w:r w:rsidRPr="005C67C7">
        <w:t xml:space="preserve"> disease (MAFLD)</w:t>
      </w:r>
      <w:r w:rsidR="0030249B">
        <w:t xml:space="preserve"> – PICO sets 1 and 2</w:t>
      </w:r>
    </w:p>
    <w:p w14:paraId="48D7B3B4" w14:textId="0EF77CDF" w:rsidR="00E920FE" w:rsidRPr="00F12C22" w:rsidRDefault="00AA64B6" w:rsidP="000A5649">
      <w:pPr>
        <w:spacing w:after="240"/>
        <w:rPr>
          <w:iCs/>
        </w:rPr>
      </w:pPr>
      <w:r w:rsidRPr="00F12C22">
        <w:rPr>
          <w:iCs/>
        </w:rPr>
        <w:t>MAFLD is characterised by excessive fat accumulation</w:t>
      </w:r>
      <w:r w:rsidR="002A703D" w:rsidRPr="00F12C22">
        <w:rPr>
          <w:iCs/>
        </w:rPr>
        <w:t xml:space="preserve"> </w:t>
      </w:r>
      <w:r w:rsidRPr="00F12C22">
        <w:rPr>
          <w:iCs/>
        </w:rPr>
        <w:t xml:space="preserve">in the liver </w:t>
      </w:r>
      <w:r w:rsidR="002A703D" w:rsidRPr="00F12C22">
        <w:rPr>
          <w:iCs/>
        </w:rPr>
        <w:t>(called hepatic steatosis)</w:t>
      </w:r>
      <w:r w:rsidR="006E4315" w:rsidRPr="00F12C22">
        <w:rPr>
          <w:iCs/>
        </w:rPr>
        <w:t>. Individuals with MAFLD have</w:t>
      </w:r>
      <w:r w:rsidR="002A703D" w:rsidRPr="00F12C22">
        <w:rPr>
          <w:iCs/>
        </w:rPr>
        <w:t xml:space="preserve"> </w:t>
      </w:r>
      <w:r w:rsidR="00977D2E" w:rsidRPr="00F12C22">
        <w:rPr>
          <w:iCs/>
        </w:rPr>
        <w:t>≥5% hepatosteatosis</w:t>
      </w:r>
      <w:r w:rsidR="006E4315" w:rsidRPr="00F12C22">
        <w:rPr>
          <w:iCs/>
        </w:rPr>
        <w:t xml:space="preserve"> and</w:t>
      </w:r>
      <w:r w:rsidR="002A703D" w:rsidRPr="00F12C22">
        <w:rPr>
          <w:iCs/>
        </w:rPr>
        <w:t xml:space="preserve"> </w:t>
      </w:r>
      <w:r w:rsidR="0082263D" w:rsidRPr="00F12C22">
        <w:rPr>
          <w:iCs/>
        </w:rPr>
        <w:t>at least one of the following:</w:t>
      </w:r>
    </w:p>
    <w:p w14:paraId="5F509BE1" w14:textId="319AF777" w:rsidR="00E920FE" w:rsidRPr="00F12C22" w:rsidRDefault="00E920FE" w:rsidP="00E31D34">
      <w:pPr>
        <w:pStyle w:val="ListParagraph"/>
        <w:numPr>
          <w:ilvl w:val="0"/>
          <w:numId w:val="4"/>
        </w:numPr>
        <w:spacing w:after="240"/>
        <w:ind w:left="284" w:hanging="284"/>
      </w:pPr>
      <w:r w:rsidRPr="00F12C22">
        <w:t>O</w:t>
      </w:r>
      <w:r w:rsidR="0082263D" w:rsidRPr="00F12C22">
        <w:t>verweight according to body mass index (BMI</w:t>
      </w:r>
      <w:r w:rsidR="6B819029" w:rsidRPr="00F12C22">
        <w:t>), i.e.</w:t>
      </w:r>
      <w:r w:rsidR="004F7202" w:rsidRPr="00F12C22">
        <w:t>,</w:t>
      </w:r>
      <w:r w:rsidR="6B819029" w:rsidRPr="00F12C22">
        <w:t xml:space="preserve"> BMI</w:t>
      </w:r>
      <w:r w:rsidRPr="00F12C22">
        <w:t xml:space="preserve"> ≥23 </w:t>
      </w:r>
      <w:r w:rsidR="001F7072" w:rsidRPr="00F12C22">
        <w:t>kilograms per metre squared (</w:t>
      </w:r>
      <w:r w:rsidRPr="00F12C22">
        <w:t>kg/m</w:t>
      </w:r>
      <w:r w:rsidRPr="00F12C22">
        <w:rPr>
          <w:vertAlign w:val="superscript"/>
        </w:rPr>
        <w:t>2</w:t>
      </w:r>
      <w:r w:rsidR="001F7072" w:rsidRPr="00F12C22">
        <w:t>)</w:t>
      </w:r>
      <w:r w:rsidRPr="00F12C22">
        <w:t xml:space="preserve"> (Asian population) or </w:t>
      </w:r>
      <w:r w:rsidR="0D0623D1" w:rsidRPr="00F12C22">
        <w:t xml:space="preserve">BMI </w:t>
      </w:r>
      <w:r w:rsidRPr="00F12C22">
        <w:t>≥25 kg/m</w:t>
      </w:r>
      <w:r w:rsidRPr="00F12C22">
        <w:rPr>
          <w:vertAlign w:val="superscript"/>
        </w:rPr>
        <w:t>2</w:t>
      </w:r>
      <w:r w:rsidRPr="00F12C22">
        <w:t xml:space="preserve"> (all other ethnicities)</w:t>
      </w:r>
      <w:r w:rsidR="1DA1B49F" w:rsidRPr="00F12C22">
        <w:t>.</w:t>
      </w:r>
      <w:r w:rsidR="0082263D" w:rsidRPr="00F12C22">
        <w:t xml:space="preserve"> </w:t>
      </w:r>
    </w:p>
    <w:p w14:paraId="65EFB589" w14:textId="3BAB6D06" w:rsidR="00E920FE" w:rsidRPr="00F12C22" w:rsidRDefault="00E920FE" w:rsidP="00E31D34">
      <w:pPr>
        <w:pStyle w:val="ListParagraph"/>
        <w:numPr>
          <w:ilvl w:val="0"/>
          <w:numId w:val="4"/>
        </w:numPr>
        <w:spacing w:after="240"/>
        <w:ind w:left="284" w:hanging="284"/>
      </w:pPr>
      <w:r w:rsidRPr="00F12C22">
        <w:t>T</w:t>
      </w:r>
      <w:r w:rsidR="0082263D" w:rsidRPr="00F12C22">
        <w:t>ype 2 diabetes mellitus (T2DM) as per standard diagnostic criteria</w:t>
      </w:r>
      <w:r w:rsidR="63C57C7C" w:rsidRPr="00F12C22">
        <w:t>.</w:t>
      </w:r>
      <w:r w:rsidR="0082263D" w:rsidRPr="00F12C22">
        <w:t xml:space="preserve"> </w:t>
      </w:r>
    </w:p>
    <w:p w14:paraId="49AB70ED" w14:textId="12B78FAA" w:rsidR="00977D2E" w:rsidRPr="00F12C22" w:rsidRDefault="00E920FE" w:rsidP="00E31D34">
      <w:pPr>
        <w:pStyle w:val="ListParagraph"/>
        <w:numPr>
          <w:ilvl w:val="0"/>
          <w:numId w:val="4"/>
        </w:numPr>
        <w:spacing w:after="0"/>
        <w:ind w:left="284" w:hanging="284"/>
        <w:rPr>
          <w:iCs/>
        </w:rPr>
      </w:pPr>
      <w:r w:rsidRPr="00F12C22">
        <w:rPr>
          <w:iCs/>
        </w:rPr>
        <w:t>M</w:t>
      </w:r>
      <w:r w:rsidR="0082263D" w:rsidRPr="00F12C22">
        <w:rPr>
          <w:iCs/>
        </w:rPr>
        <w:t xml:space="preserve">etabolic ‘dysfunction’ defined by presence of at least </w:t>
      </w:r>
      <w:r w:rsidR="00801DB1" w:rsidRPr="00F12C22">
        <w:rPr>
          <w:iCs/>
        </w:rPr>
        <w:t xml:space="preserve">2 </w:t>
      </w:r>
      <w:r w:rsidR="0082263D" w:rsidRPr="00F12C22">
        <w:rPr>
          <w:iCs/>
        </w:rPr>
        <w:t xml:space="preserve">of </w:t>
      </w:r>
      <w:r w:rsidR="00801DB1" w:rsidRPr="00F12C22">
        <w:rPr>
          <w:iCs/>
        </w:rPr>
        <w:t xml:space="preserve">7 </w:t>
      </w:r>
      <w:r w:rsidR="0082263D" w:rsidRPr="00F12C22">
        <w:rPr>
          <w:iCs/>
        </w:rPr>
        <w:t>clinical and biochemical criteria</w:t>
      </w:r>
      <w:r w:rsidR="00A70FAC" w:rsidRPr="00F12C22">
        <w:rPr>
          <w:iCs/>
        </w:rPr>
        <w:t>:</w:t>
      </w:r>
    </w:p>
    <w:p w14:paraId="51180A6A" w14:textId="29D07E3B" w:rsidR="00977D2E" w:rsidRPr="00F12C22" w:rsidRDefault="00977D2E" w:rsidP="00E31D34">
      <w:pPr>
        <w:pStyle w:val="ListParagraph"/>
        <w:numPr>
          <w:ilvl w:val="0"/>
          <w:numId w:val="5"/>
        </w:numPr>
        <w:tabs>
          <w:tab w:val="left" w:pos="993"/>
        </w:tabs>
        <w:spacing w:after="0"/>
        <w:ind w:left="993" w:hanging="709"/>
      </w:pPr>
      <w:r w:rsidRPr="00F12C22">
        <w:t xml:space="preserve">Elevated waist circumference: ≥90 </w:t>
      </w:r>
      <w:r w:rsidR="005C469A" w:rsidRPr="00F12C22">
        <w:t>centimetres (</w:t>
      </w:r>
      <w:r w:rsidRPr="00F12C22">
        <w:t>cm</w:t>
      </w:r>
      <w:r w:rsidR="005C469A" w:rsidRPr="00F12C22">
        <w:t xml:space="preserve">) in males or </w:t>
      </w:r>
      <w:r w:rsidR="2F571608" w:rsidRPr="00F12C22">
        <w:t>≥</w:t>
      </w:r>
      <w:r w:rsidRPr="00F12C22">
        <w:t xml:space="preserve">80 cm </w:t>
      </w:r>
      <w:r w:rsidR="005C469A" w:rsidRPr="00F12C22">
        <w:t xml:space="preserve">in </w:t>
      </w:r>
      <w:r w:rsidRPr="00F12C22">
        <w:t xml:space="preserve">females among </w:t>
      </w:r>
      <w:r w:rsidR="005C469A" w:rsidRPr="00F12C22">
        <w:t xml:space="preserve">the </w:t>
      </w:r>
      <w:r w:rsidRPr="00F12C22">
        <w:t>Asian population</w:t>
      </w:r>
      <w:r w:rsidR="00E920FE" w:rsidRPr="00F12C22">
        <w:t xml:space="preserve"> </w:t>
      </w:r>
      <w:r w:rsidRPr="00F12C22">
        <w:t>or ≥102 cm</w:t>
      </w:r>
      <w:r w:rsidR="005C469A" w:rsidRPr="00F12C22">
        <w:t xml:space="preserve"> in males or </w:t>
      </w:r>
      <w:r w:rsidR="52B07E29" w:rsidRPr="00F12C22">
        <w:t>≥</w:t>
      </w:r>
      <w:r w:rsidRPr="00F12C22">
        <w:t xml:space="preserve">88 cm </w:t>
      </w:r>
      <w:r w:rsidR="005C469A" w:rsidRPr="00F12C22">
        <w:t xml:space="preserve">in </w:t>
      </w:r>
      <w:r w:rsidRPr="00F12C22">
        <w:t>females among all other ethnicities</w:t>
      </w:r>
      <w:r w:rsidR="3C81D320" w:rsidRPr="00F12C22">
        <w:t>.</w:t>
      </w:r>
    </w:p>
    <w:p w14:paraId="225467F1" w14:textId="3E877925" w:rsidR="00977D2E" w:rsidRPr="00F12C22" w:rsidRDefault="00977D2E" w:rsidP="00E31D34">
      <w:pPr>
        <w:pStyle w:val="ListParagraph"/>
        <w:numPr>
          <w:ilvl w:val="0"/>
          <w:numId w:val="5"/>
        </w:numPr>
        <w:tabs>
          <w:tab w:val="left" w:pos="993"/>
        </w:tabs>
        <w:spacing w:after="0"/>
        <w:ind w:left="993" w:hanging="709"/>
      </w:pPr>
      <w:r w:rsidRPr="00F12C22">
        <w:lastRenderedPageBreak/>
        <w:t xml:space="preserve">Blood pressure ≥130/85 </w:t>
      </w:r>
      <w:r w:rsidR="001F7072" w:rsidRPr="00F12C22">
        <w:t>millimetre</w:t>
      </w:r>
      <w:r w:rsidR="00DC72E7" w:rsidRPr="00F12C22">
        <w:t>s</w:t>
      </w:r>
      <w:r w:rsidR="001F7072" w:rsidRPr="00F12C22">
        <w:t xml:space="preserve"> of mercury (</w:t>
      </w:r>
      <w:r w:rsidRPr="00F12C22">
        <w:t>mmHg</w:t>
      </w:r>
      <w:r w:rsidR="001F7072" w:rsidRPr="00F12C22">
        <w:t>)</w:t>
      </w:r>
      <w:r w:rsidRPr="00F12C22">
        <w:t xml:space="preserve"> or need for antihypertensive therapy</w:t>
      </w:r>
      <w:r w:rsidR="29C7B424" w:rsidRPr="00F12C22">
        <w:t>.</w:t>
      </w:r>
    </w:p>
    <w:p w14:paraId="1B243D74" w14:textId="6E3F66DE" w:rsidR="00977D2E" w:rsidRPr="00F12C22" w:rsidRDefault="00977D2E" w:rsidP="00E31D34">
      <w:pPr>
        <w:pStyle w:val="ListParagraph"/>
        <w:numPr>
          <w:ilvl w:val="0"/>
          <w:numId w:val="5"/>
        </w:numPr>
        <w:tabs>
          <w:tab w:val="left" w:pos="993"/>
        </w:tabs>
        <w:spacing w:after="0"/>
        <w:ind w:left="993" w:hanging="709"/>
      </w:pPr>
      <w:r w:rsidRPr="00F12C22">
        <w:t xml:space="preserve">Plasma triglycerides ≥1.70 </w:t>
      </w:r>
      <w:r w:rsidR="001F7072" w:rsidRPr="00F12C22">
        <w:t>millimole per litre (</w:t>
      </w:r>
      <w:r w:rsidRPr="00F12C22">
        <w:t>mmol/L</w:t>
      </w:r>
      <w:r w:rsidR="001F7072" w:rsidRPr="00F12C22">
        <w:t>)</w:t>
      </w:r>
      <w:r w:rsidRPr="00F12C22">
        <w:t xml:space="preserve"> or need for specific lipid-lowering therapy</w:t>
      </w:r>
      <w:r w:rsidR="36A561FF" w:rsidRPr="00F12C22">
        <w:t>.</w:t>
      </w:r>
    </w:p>
    <w:p w14:paraId="585647C2" w14:textId="115A381B" w:rsidR="00977D2E" w:rsidRPr="00F12C22" w:rsidRDefault="00977D2E" w:rsidP="00E31D34">
      <w:pPr>
        <w:pStyle w:val="ListParagraph"/>
        <w:numPr>
          <w:ilvl w:val="0"/>
          <w:numId w:val="5"/>
        </w:numPr>
        <w:tabs>
          <w:tab w:val="left" w:pos="993"/>
        </w:tabs>
        <w:spacing w:after="0"/>
        <w:ind w:left="993" w:hanging="709"/>
      </w:pPr>
      <w:r w:rsidRPr="00F12C22">
        <w:t>Plasma HDL-cholesterol &lt;1.0 mmol/L for males or &lt;1.3 mmol/L for females or need for</w:t>
      </w:r>
      <w:r w:rsidR="005C469A" w:rsidRPr="00F12C22">
        <w:t xml:space="preserve"> </w:t>
      </w:r>
      <w:r w:rsidRPr="00F12C22">
        <w:t>specific therapy</w:t>
      </w:r>
      <w:r w:rsidR="35F5A9AD" w:rsidRPr="00F12C22">
        <w:t>.</w:t>
      </w:r>
    </w:p>
    <w:p w14:paraId="010BB54C" w14:textId="4D271530" w:rsidR="00977D2E" w:rsidRPr="00F12C22" w:rsidRDefault="00977D2E" w:rsidP="00E31D34">
      <w:pPr>
        <w:pStyle w:val="ListParagraph"/>
        <w:numPr>
          <w:ilvl w:val="0"/>
          <w:numId w:val="5"/>
        </w:numPr>
        <w:tabs>
          <w:tab w:val="left" w:pos="993"/>
        </w:tabs>
        <w:spacing w:after="0"/>
        <w:ind w:left="993" w:hanging="709"/>
      </w:pPr>
      <w:r w:rsidRPr="00F12C22">
        <w:t>Prediabetes according to standardised criteria</w:t>
      </w:r>
      <w:r w:rsidR="1A034961" w:rsidRPr="00F12C22">
        <w:t>.</w:t>
      </w:r>
    </w:p>
    <w:p w14:paraId="3936D397" w14:textId="6F64A0CF" w:rsidR="00977D2E" w:rsidRPr="00F12C22" w:rsidRDefault="001F7072" w:rsidP="00E31D34">
      <w:pPr>
        <w:pStyle w:val="ListParagraph"/>
        <w:numPr>
          <w:ilvl w:val="0"/>
          <w:numId w:val="5"/>
        </w:numPr>
        <w:tabs>
          <w:tab w:val="left" w:pos="993"/>
        </w:tabs>
        <w:spacing w:after="0"/>
        <w:ind w:left="993" w:hanging="709"/>
      </w:pPr>
      <w:r w:rsidRPr="00F12C22">
        <w:t>Homeostatic model assessment for insulin resistance (</w:t>
      </w:r>
      <w:r w:rsidR="00977D2E" w:rsidRPr="00F12C22">
        <w:t>HOMA-IR</w:t>
      </w:r>
      <w:r w:rsidRPr="00F12C22">
        <w:t>)</w:t>
      </w:r>
      <w:r w:rsidR="00977D2E" w:rsidRPr="00F12C22">
        <w:t xml:space="preserve"> score ≥2.5</w:t>
      </w:r>
      <w:r w:rsidR="51DBAE97" w:rsidRPr="00F12C22">
        <w:t>.</w:t>
      </w:r>
    </w:p>
    <w:p w14:paraId="49B5D6EA" w14:textId="7EB10FE0" w:rsidR="00A738D1" w:rsidRPr="00F12C22" w:rsidRDefault="00977D2E" w:rsidP="00E31D34">
      <w:pPr>
        <w:pStyle w:val="ListParagraph"/>
        <w:numPr>
          <w:ilvl w:val="0"/>
          <w:numId w:val="5"/>
        </w:numPr>
        <w:tabs>
          <w:tab w:val="left" w:pos="993"/>
        </w:tabs>
        <w:spacing w:after="240"/>
        <w:ind w:left="993" w:hanging="709"/>
        <w:contextualSpacing w:val="0"/>
        <w:rPr>
          <w:iCs/>
        </w:rPr>
      </w:pPr>
      <w:r w:rsidRPr="00F12C22">
        <w:rPr>
          <w:iCs/>
        </w:rPr>
        <w:t xml:space="preserve">Plasma </w:t>
      </w:r>
      <w:r w:rsidR="001F7072" w:rsidRPr="00F12C22">
        <w:rPr>
          <w:iCs/>
        </w:rPr>
        <w:t>high-sensitivity C-reactive protein (</w:t>
      </w:r>
      <w:r w:rsidRPr="00F12C22">
        <w:rPr>
          <w:iCs/>
        </w:rPr>
        <w:t>HS-CRP</w:t>
      </w:r>
      <w:r w:rsidR="001F7072" w:rsidRPr="00F12C22">
        <w:rPr>
          <w:iCs/>
        </w:rPr>
        <w:t>)</w:t>
      </w:r>
      <w:r w:rsidRPr="00F12C22">
        <w:rPr>
          <w:iCs/>
        </w:rPr>
        <w:t> &gt;2 mg/L</w:t>
      </w:r>
      <w:r w:rsidR="005C469A" w:rsidRPr="00F12C22">
        <w:rPr>
          <w:i/>
        </w:rPr>
        <w:t>.</w:t>
      </w:r>
    </w:p>
    <w:p w14:paraId="508C357B" w14:textId="1496DD0A" w:rsidR="006E4315" w:rsidRPr="00F12C22" w:rsidRDefault="0002601F" w:rsidP="00C86C34">
      <w:pPr>
        <w:spacing w:after="240"/>
        <w:rPr>
          <w:iCs/>
        </w:rPr>
      </w:pPr>
      <w:r>
        <w:rPr>
          <w:iCs/>
        </w:rPr>
        <w:t xml:space="preserve">The predecessor term for MAFLD was </w:t>
      </w:r>
      <w:r w:rsidRPr="00F12C22">
        <w:rPr>
          <w:iCs/>
        </w:rPr>
        <w:t xml:space="preserve">non-alcoholic fatty liver disease (NAFLD). </w:t>
      </w:r>
      <w:r w:rsidR="001D686D" w:rsidRPr="00F12C22">
        <w:rPr>
          <w:iCs/>
        </w:rPr>
        <w:t xml:space="preserve">NAFLD is defined as the presence of ≥5% hepatosteatosis in the absence of significant ongoing or recent alcohol consumption and other known causes of liver disease. MAFLD is a relatively new term designed to better reflect the aetiology of liver disease with ‘positive’ inclusion criteria compared with NAFLD. </w:t>
      </w:r>
      <w:r w:rsidR="00C86C34" w:rsidRPr="002F41B4">
        <w:rPr>
          <w:iCs/>
        </w:rPr>
        <w:t>Eslam (2020</w:t>
      </w:r>
      <w:r w:rsidR="00451D02">
        <w:rPr>
          <w:iCs/>
        </w:rPr>
        <w:t>a</w:t>
      </w:r>
      <w:r w:rsidR="00C86C34" w:rsidRPr="002F41B4">
        <w:rPr>
          <w:iCs/>
        </w:rPr>
        <w:t>)</w:t>
      </w:r>
      <w:r w:rsidR="00C86C34" w:rsidRPr="00F12C22">
        <w:rPr>
          <w:iCs/>
        </w:rPr>
        <w:t xml:space="preserve"> describe</w:t>
      </w:r>
      <w:r w:rsidR="00AB6E36">
        <w:rPr>
          <w:iCs/>
        </w:rPr>
        <w:t>d</w:t>
      </w:r>
      <w:r w:rsidR="00C86C34" w:rsidRPr="00F12C22">
        <w:rPr>
          <w:iCs/>
        </w:rPr>
        <w:t xml:space="preserve"> that </w:t>
      </w:r>
      <w:r w:rsidR="006E4315" w:rsidRPr="00F12C22">
        <w:rPr>
          <w:iCs/>
        </w:rPr>
        <w:t xml:space="preserve">MAFLD </w:t>
      </w:r>
      <w:r w:rsidR="00C86C34" w:rsidRPr="00F12C22">
        <w:rPr>
          <w:iCs/>
        </w:rPr>
        <w:t xml:space="preserve">can be diagnosed irrespective of alcohol consumption and </w:t>
      </w:r>
      <w:r w:rsidR="006E4315" w:rsidRPr="00F12C22">
        <w:rPr>
          <w:iCs/>
        </w:rPr>
        <w:t xml:space="preserve">can coexist with </w:t>
      </w:r>
      <w:r w:rsidR="00C86C34" w:rsidRPr="00F12C22">
        <w:rPr>
          <w:iCs/>
        </w:rPr>
        <w:t xml:space="preserve">concomitant liver diseases such as </w:t>
      </w:r>
      <w:r w:rsidR="006E4315" w:rsidRPr="00F12C22">
        <w:rPr>
          <w:iCs/>
        </w:rPr>
        <w:t>hepatitis B or C</w:t>
      </w:r>
      <w:r w:rsidR="00C86C34" w:rsidRPr="00F12C22">
        <w:rPr>
          <w:iCs/>
        </w:rPr>
        <w:t xml:space="preserve"> infection</w:t>
      </w:r>
      <w:r w:rsidR="006E4315" w:rsidRPr="00F12C22">
        <w:rPr>
          <w:iCs/>
        </w:rPr>
        <w:t>.</w:t>
      </w:r>
      <w:r w:rsidR="00C86C34" w:rsidRPr="00F12C22">
        <w:rPr>
          <w:iCs/>
        </w:rPr>
        <w:t xml:space="preserve"> </w:t>
      </w:r>
      <w:r w:rsidR="00FE2526" w:rsidRPr="00F12C22">
        <w:rPr>
          <w:iCs/>
        </w:rPr>
        <w:t xml:space="preserve">The key difference between </w:t>
      </w:r>
      <w:r w:rsidR="00BD63F9">
        <w:rPr>
          <w:iCs/>
        </w:rPr>
        <w:t>NAFLD and MAFLD</w:t>
      </w:r>
      <w:r w:rsidR="00FE2526" w:rsidRPr="00F12C22">
        <w:rPr>
          <w:iCs/>
        </w:rPr>
        <w:t xml:space="preserve"> is the inclusion of concomitant causes of liver disease under the definition of MAFLD.</w:t>
      </w:r>
      <w:r w:rsidR="008F052C" w:rsidRPr="00F12C22">
        <w:rPr>
          <w:iCs/>
        </w:rPr>
        <w:t xml:space="preserve"> The application stated that most people with NAFLD (&gt;80%) also fulfil diagnostic criteria for MAFLD, and levels of non-invasive liver fibrosis test results are similar between the two definitions </w:t>
      </w:r>
      <w:r w:rsidR="008F052C" w:rsidRPr="002F41B4">
        <w:rPr>
          <w:iCs/>
        </w:rPr>
        <w:t>(Kemp 2022, Lim 2023). It is</w:t>
      </w:r>
      <w:r w:rsidR="008F052C" w:rsidRPr="00F12C22">
        <w:rPr>
          <w:iCs/>
        </w:rPr>
        <w:t xml:space="preserve"> implied that the evidence in the NAFLD population is likely to be applicable to the MAFLD population. </w:t>
      </w:r>
      <w:r w:rsidR="00363FA8" w:rsidRPr="00F12C22">
        <w:rPr>
          <w:iCs/>
        </w:rPr>
        <w:t xml:space="preserve">One </w:t>
      </w:r>
      <w:r w:rsidR="00363FA8" w:rsidRPr="002F41B4">
        <w:rPr>
          <w:iCs/>
        </w:rPr>
        <w:t>study (Vaz 2023a)</w:t>
      </w:r>
      <w:r w:rsidR="00363FA8" w:rsidRPr="00F12C22">
        <w:rPr>
          <w:iCs/>
        </w:rPr>
        <w:t xml:space="preserve"> found that the change in diagnostic criteria has impacted the understanding of the epidemiology and natural history of fatty liver disease</w:t>
      </w:r>
      <w:r w:rsidR="002F41B4">
        <w:rPr>
          <w:iCs/>
        </w:rPr>
        <w:t>;</w:t>
      </w:r>
      <w:r w:rsidR="00363FA8" w:rsidRPr="00F12C22">
        <w:rPr>
          <w:iCs/>
        </w:rPr>
        <w:t xml:space="preserve"> </w:t>
      </w:r>
      <w:r w:rsidR="002F41B4">
        <w:rPr>
          <w:iCs/>
        </w:rPr>
        <w:t>s</w:t>
      </w:r>
      <w:r w:rsidR="00363FA8" w:rsidRPr="00F12C22">
        <w:rPr>
          <w:iCs/>
        </w:rPr>
        <w:t>ubstitution of NAFLD for MAFLD has led to an increased prevalence of fatty liver disease, with a heightened risk for overall mortality. Importantly, there is an apparent difference in predictors of overall mortality between these fatty liver conditions.</w:t>
      </w:r>
    </w:p>
    <w:p w14:paraId="12D76F7F" w14:textId="77777777" w:rsidR="00A90C1F" w:rsidRDefault="008F052C" w:rsidP="008F052C">
      <w:pPr>
        <w:spacing w:after="240"/>
        <w:rPr>
          <w:iCs/>
        </w:rPr>
      </w:pPr>
      <w:r w:rsidRPr="00F12C22">
        <w:rPr>
          <w:iCs/>
        </w:rPr>
        <w:t xml:space="preserve">Throughout this PICO Confirmation document, references are made to </w:t>
      </w:r>
      <w:r w:rsidR="00914EF8">
        <w:rPr>
          <w:iCs/>
        </w:rPr>
        <w:t xml:space="preserve">both </w:t>
      </w:r>
      <w:r w:rsidRPr="00F12C22">
        <w:rPr>
          <w:iCs/>
        </w:rPr>
        <w:t xml:space="preserve">MAFLD and NAFLD. Where studies </w:t>
      </w:r>
      <w:r w:rsidR="10574192">
        <w:t xml:space="preserve">have </w:t>
      </w:r>
      <w:r>
        <w:t>refer</w:t>
      </w:r>
      <w:r w:rsidR="00914EF8">
        <w:t>red</w:t>
      </w:r>
      <w:r w:rsidRPr="00F12C22">
        <w:rPr>
          <w:iCs/>
        </w:rPr>
        <w:t xml:space="preserve"> to the population as NAFLD, they are described as such below</w:t>
      </w:r>
      <w:r w:rsidR="00233B63">
        <w:rPr>
          <w:iCs/>
        </w:rPr>
        <w:t>; however, the evidence presented by these studies has been taken to be relevant to or representative of the MAFLD population</w:t>
      </w:r>
      <w:r w:rsidRPr="00F12C22">
        <w:rPr>
          <w:iCs/>
        </w:rPr>
        <w:t xml:space="preserve">. </w:t>
      </w:r>
      <w:r w:rsidR="00AD6334">
        <w:rPr>
          <w:iCs/>
        </w:rPr>
        <w:t>For consistency and simplicity,</w:t>
      </w:r>
      <w:r w:rsidRPr="00F12C22">
        <w:rPr>
          <w:iCs/>
        </w:rPr>
        <w:t xml:space="preserve"> the Gastroenterological Society of Australia (GESA) MAFLD consensus statement (</w:t>
      </w:r>
      <w:r w:rsidRPr="002F41B4">
        <w:rPr>
          <w:iCs/>
        </w:rPr>
        <w:t>GESA 2024</w:t>
      </w:r>
      <w:r w:rsidRPr="00F12C22">
        <w:rPr>
          <w:iCs/>
        </w:rPr>
        <w:t>) use</w:t>
      </w:r>
      <w:r w:rsidR="002745CE">
        <w:rPr>
          <w:iCs/>
        </w:rPr>
        <w:t>s</w:t>
      </w:r>
      <w:r w:rsidRPr="00F12C22">
        <w:rPr>
          <w:iCs/>
        </w:rPr>
        <w:t xml:space="preserve"> </w:t>
      </w:r>
      <w:r w:rsidR="00AD6334">
        <w:rPr>
          <w:iCs/>
        </w:rPr>
        <w:t xml:space="preserve">only </w:t>
      </w:r>
      <w:r w:rsidRPr="00F12C22">
        <w:rPr>
          <w:iCs/>
        </w:rPr>
        <w:t>the term MAFLD throughout</w:t>
      </w:r>
      <w:r w:rsidR="00AD6334">
        <w:rPr>
          <w:iCs/>
        </w:rPr>
        <w:t>, but does acknowledge</w:t>
      </w:r>
      <w:r w:rsidRPr="00F12C22">
        <w:rPr>
          <w:iCs/>
        </w:rPr>
        <w:t xml:space="preserve"> that the </w:t>
      </w:r>
      <w:r w:rsidR="0063008A">
        <w:rPr>
          <w:iCs/>
        </w:rPr>
        <w:t>consensus statement</w:t>
      </w:r>
      <w:r w:rsidR="0063008A" w:rsidRPr="00F12C22">
        <w:rPr>
          <w:iCs/>
        </w:rPr>
        <w:t xml:space="preserve"> </w:t>
      </w:r>
      <w:r w:rsidRPr="00F12C22">
        <w:rPr>
          <w:iCs/>
        </w:rPr>
        <w:t xml:space="preserve">will need to be updated as new data emerge in the context of the newer </w:t>
      </w:r>
      <w:r w:rsidR="00547001">
        <w:rPr>
          <w:iCs/>
        </w:rPr>
        <w:t>term MAFLD and its updated</w:t>
      </w:r>
      <w:r w:rsidRPr="00F12C22">
        <w:rPr>
          <w:iCs/>
        </w:rPr>
        <w:t xml:space="preserve"> definition</w:t>
      </w:r>
      <w:r w:rsidR="00547001">
        <w:rPr>
          <w:iCs/>
        </w:rPr>
        <w:t xml:space="preserve"> (</w:t>
      </w:r>
      <w:r w:rsidR="000432E3">
        <w:rPr>
          <w:iCs/>
        </w:rPr>
        <w:t>rather than relying only on older</w:t>
      </w:r>
      <w:r w:rsidR="00547001">
        <w:rPr>
          <w:iCs/>
        </w:rPr>
        <w:t xml:space="preserve"> NAFLD</w:t>
      </w:r>
      <w:r w:rsidR="000432E3">
        <w:rPr>
          <w:iCs/>
        </w:rPr>
        <w:t xml:space="preserve"> data</w:t>
      </w:r>
      <w:r w:rsidR="00547001">
        <w:rPr>
          <w:iCs/>
        </w:rPr>
        <w:t>)</w:t>
      </w:r>
      <w:r w:rsidRPr="00F12C22">
        <w:rPr>
          <w:iCs/>
        </w:rPr>
        <w:t>.</w:t>
      </w:r>
      <w:r w:rsidR="00363FA8" w:rsidRPr="00F12C22">
        <w:rPr>
          <w:iCs/>
        </w:rPr>
        <w:t xml:space="preserve"> </w:t>
      </w:r>
    </w:p>
    <w:p w14:paraId="44425597" w14:textId="5D38DC55" w:rsidR="008F052C" w:rsidRPr="005C67C7" w:rsidRDefault="00A90C1F" w:rsidP="008F052C">
      <w:pPr>
        <w:spacing w:after="240"/>
        <w:rPr>
          <w:i/>
        </w:rPr>
      </w:pPr>
      <w:r w:rsidRPr="00A90C1F">
        <w:rPr>
          <w:i/>
        </w:rPr>
        <w:t>PASC noted that, while the proposed populations for both PICO set 1 and 2 consist of patients diagnosed with MAFLD, there are references to NAFLD throughout the PICO confirmation. In terms of its preference regarding terminology, PASC considered it appropriate to refer to either MAFLD or NAFLD</w:t>
      </w:r>
      <w:r w:rsidR="006A19C6">
        <w:rPr>
          <w:i/>
        </w:rPr>
        <w:t xml:space="preserve"> in the PICO</w:t>
      </w:r>
      <w:r w:rsidR="00617C09">
        <w:rPr>
          <w:i/>
        </w:rPr>
        <w:t xml:space="preserve"> confirmation</w:t>
      </w:r>
      <w:r w:rsidRPr="00A90C1F">
        <w:rPr>
          <w:i/>
        </w:rPr>
        <w:t>, depending on what was used in the relevant literature, and to make clear any potential differences in patient definitions between the proposed population and the evidence base.</w:t>
      </w:r>
      <w:r>
        <w:rPr>
          <w:i/>
        </w:rPr>
        <w:t xml:space="preserve"> </w:t>
      </w:r>
      <w:r w:rsidR="006A19C6">
        <w:rPr>
          <w:i/>
        </w:rPr>
        <w:t>However, PASC considered that for simplicity and ease of reading, the</w:t>
      </w:r>
      <w:r w:rsidR="008067F9">
        <w:rPr>
          <w:i/>
        </w:rPr>
        <w:t xml:space="preserve"> assessment report could use the term ‘MAFLD’ only, provided th</w:t>
      </w:r>
      <w:r w:rsidR="000375F5">
        <w:rPr>
          <w:i/>
        </w:rPr>
        <w:t>e d</w:t>
      </w:r>
      <w:r w:rsidR="000E4B68">
        <w:rPr>
          <w:i/>
        </w:rPr>
        <w:t>ifference between these terms and their usage is appropriately explained.</w:t>
      </w:r>
    </w:p>
    <w:p w14:paraId="333F529F" w14:textId="78009F6D" w:rsidR="00FE2526" w:rsidRPr="00F12C22" w:rsidRDefault="00A15F32" w:rsidP="002F2580">
      <w:pPr>
        <w:spacing w:after="240"/>
        <w:rPr>
          <w:iCs/>
        </w:rPr>
      </w:pPr>
      <w:r w:rsidRPr="00F12C22">
        <w:rPr>
          <w:iCs/>
        </w:rPr>
        <w:t xml:space="preserve">The </w:t>
      </w:r>
      <w:r w:rsidR="009452A9" w:rsidRPr="00F12C22">
        <w:rPr>
          <w:iCs/>
        </w:rPr>
        <w:t>a</w:t>
      </w:r>
      <w:r w:rsidRPr="00F12C22">
        <w:rPr>
          <w:iCs/>
        </w:rPr>
        <w:t>ppli</w:t>
      </w:r>
      <w:r w:rsidR="009452A9" w:rsidRPr="00F12C22">
        <w:rPr>
          <w:iCs/>
        </w:rPr>
        <w:t>cation use</w:t>
      </w:r>
      <w:r w:rsidR="002724A7" w:rsidRPr="00F12C22">
        <w:rPr>
          <w:iCs/>
        </w:rPr>
        <w:t>d</w:t>
      </w:r>
      <w:r w:rsidR="009452A9" w:rsidRPr="00F12C22">
        <w:rPr>
          <w:iCs/>
        </w:rPr>
        <w:t xml:space="preserve"> </w:t>
      </w:r>
      <w:r w:rsidR="000948E6" w:rsidRPr="00F12C22">
        <w:rPr>
          <w:iCs/>
        </w:rPr>
        <w:t>the</w:t>
      </w:r>
      <w:r w:rsidR="00B126FA" w:rsidRPr="00F12C22">
        <w:rPr>
          <w:iCs/>
        </w:rPr>
        <w:t xml:space="preserve"> term </w:t>
      </w:r>
      <w:r w:rsidR="00A738D1" w:rsidRPr="00F12C22">
        <w:rPr>
          <w:iCs/>
        </w:rPr>
        <w:t xml:space="preserve">MAFLD </w:t>
      </w:r>
      <w:r w:rsidR="00B126FA" w:rsidRPr="00F12C22">
        <w:rPr>
          <w:iCs/>
        </w:rPr>
        <w:t xml:space="preserve">and its </w:t>
      </w:r>
      <w:r w:rsidR="00A738D1" w:rsidRPr="00F12C22">
        <w:rPr>
          <w:iCs/>
        </w:rPr>
        <w:t xml:space="preserve">diagnostic criteria </w:t>
      </w:r>
      <w:r w:rsidR="002063A3" w:rsidRPr="00F12C22">
        <w:rPr>
          <w:iCs/>
        </w:rPr>
        <w:t xml:space="preserve">to </w:t>
      </w:r>
      <w:r w:rsidR="00A738D1" w:rsidRPr="00F12C22">
        <w:rPr>
          <w:iCs/>
        </w:rPr>
        <w:t xml:space="preserve">align with current clinical consensus accepted by the Australian Liver Association and </w:t>
      </w:r>
      <w:r w:rsidR="00BD2528" w:rsidRPr="00F12C22">
        <w:rPr>
          <w:iCs/>
        </w:rPr>
        <w:t>reflected in</w:t>
      </w:r>
      <w:r w:rsidR="00A738D1" w:rsidRPr="00F12C22">
        <w:rPr>
          <w:iCs/>
        </w:rPr>
        <w:t xml:space="preserve"> </w:t>
      </w:r>
      <w:r w:rsidR="00403392" w:rsidRPr="00F12C22">
        <w:rPr>
          <w:iCs/>
        </w:rPr>
        <w:t xml:space="preserve">GESA </w:t>
      </w:r>
      <w:r w:rsidR="008F052C" w:rsidRPr="00F12C22">
        <w:rPr>
          <w:iCs/>
        </w:rPr>
        <w:t>(</w:t>
      </w:r>
      <w:r w:rsidR="00A738D1" w:rsidRPr="00F12C22">
        <w:rPr>
          <w:iCs/>
        </w:rPr>
        <w:t>2024)</w:t>
      </w:r>
      <w:r w:rsidR="00731767" w:rsidRPr="00F12C22">
        <w:rPr>
          <w:iCs/>
        </w:rPr>
        <w:t>.</w:t>
      </w:r>
    </w:p>
    <w:p w14:paraId="4803A5E8" w14:textId="5F76090C" w:rsidR="000029A8" w:rsidRPr="00F12C22" w:rsidRDefault="003C1913" w:rsidP="002F2580">
      <w:pPr>
        <w:spacing w:after="240"/>
        <w:rPr>
          <w:iCs/>
        </w:rPr>
      </w:pPr>
      <w:r w:rsidRPr="00F12C22">
        <w:rPr>
          <w:iCs/>
        </w:rPr>
        <w:t xml:space="preserve">The application also differentiated </w:t>
      </w:r>
      <w:r w:rsidR="004532D0" w:rsidRPr="00F12C22">
        <w:rPr>
          <w:iCs/>
        </w:rPr>
        <w:t>MAFLD from</w:t>
      </w:r>
      <w:r w:rsidR="004532D0" w:rsidRPr="00F12C22">
        <w:t xml:space="preserve"> </w:t>
      </w:r>
      <w:r w:rsidR="004532D0" w:rsidRPr="00F12C22">
        <w:rPr>
          <w:iCs/>
        </w:rPr>
        <w:t>metabolic</w:t>
      </w:r>
      <w:r w:rsidR="00C86C34" w:rsidRPr="00F12C22">
        <w:rPr>
          <w:iCs/>
        </w:rPr>
        <w:t xml:space="preserve"> dysfunction</w:t>
      </w:r>
      <w:r w:rsidR="004532D0" w:rsidRPr="00F12C22">
        <w:rPr>
          <w:iCs/>
        </w:rPr>
        <w:t xml:space="preserve">-associated </w:t>
      </w:r>
      <w:r w:rsidR="005C469A" w:rsidRPr="00F12C22">
        <w:rPr>
          <w:iCs/>
        </w:rPr>
        <w:t>s</w:t>
      </w:r>
      <w:r w:rsidR="004532D0" w:rsidRPr="00F12C22">
        <w:rPr>
          <w:iCs/>
        </w:rPr>
        <w:t>teatotic liver disease (MASLD)</w:t>
      </w:r>
      <w:r w:rsidR="00F0151E" w:rsidRPr="00F12C22">
        <w:rPr>
          <w:iCs/>
        </w:rPr>
        <w:t>. MASLD</w:t>
      </w:r>
      <w:r w:rsidR="0055474F" w:rsidRPr="00F12C22">
        <w:rPr>
          <w:iCs/>
        </w:rPr>
        <w:t>, similar to NAFLD,</w:t>
      </w:r>
      <w:r w:rsidR="00F0151E" w:rsidRPr="00F12C22">
        <w:rPr>
          <w:iCs/>
        </w:rPr>
        <w:t xml:space="preserve"> requires exclusion of excessive alcohol consumption (defined as ≥20 </w:t>
      </w:r>
      <w:r w:rsidR="002B1DAB" w:rsidRPr="00F12C22">
        <w:rPr>
          <w:iCs/>
        </w:rPr>
        <w:lastRenderedPageBreak/>
        <w:t>grams (</w:t>
      </w:r>
      <w:r w:rsidR="00F0151E" w:rsidRPr="00F12C22">
        <w:rPr>
          <w:iCs/>
        </w:rPr>
        <w:t>g</w:t>
      </w:r>
      <w:r w:rsidR="002B1DAB" w:rsidRPr="00F12C22">
        <w:rPr>
          <w:iCs/>
        </w:rPr>
        <w:t>)</w:t>
      </w:r>
      <w:r w:rsidR="00F0151E" w:rsidRPr="00F12C22">
        <w:rPr>
          <w:iCs/>
        </w:rPr>
        <w:t>/day for women and ≥30 g/day for men) and alternative</w:t>
      </w:r>
      <w:r w:rsidR="009870A6" w:rsidRPr="00F12C22">
        <w:rPr>
          <w:iCs/>
        </w:rPr>
        <w:t xml:space="preserve"> (e.g.</w:t>
      </w:r>
      <w:r w:rsidR="00D464A3">
        <w:rPr>
          <w:iCs/>
        </w:rPr>
        <w:t>,</w:t>
      </w:r>
      <w:r w:rsidR="009870A6" w:rsidRPr="00F12C22">
        <w:t xml:space="preserve"> </w:t>
      </w:r>
      <w:r w:rsidR="00895738" w:rsidRPr="00F12C22">
        <w:t>hemochromatosis</w:t>
      </w:r>
      <w:r w:rsidR="00FF477D" w:rsidRPr="00F12C22">
        <w:t xml:space="preserve">, </w:t>
      </w:r>
      <w:r w:rsidR="009870A6" w:rsidRPr="00F12C22">
        <w:rPr>
          <w:iCs/>
        </w:rPr>
        <w:t>hepatitis-related) liver disease</w:t>
      </w:r>
      <w:r w:rsidR="00CB4898" w:rsidRPr="00F12C22">
        <w:rPr>
          <w:iCs/>
        </w:rPr>
        <w:t>s</w:t>
      </w:r>
      <w:r w:rsidR="0055474F" w:rsidRPr="00F12C22">
        <w:rPr>
          <w:iCs/>
        </w:rPr>
        <w:t>.</w:t>
      </w:r>
      <w:r w:rsidR="00F94A03" w:rsidRPr="00F12C22">
        <w:rPr>
          <w:iCs/>
        </w:rPr>
        <w:t xml:space="preserve"> </w:t>
      </w:r>
    </w:p>
    <w:p w14:paraId="59DDC21F" w14:textId="7C2D6316" w:rsidR="00D917C4" w:rsidRPr="00F12C22" w:rsidRDefault="008B23CA" w:rsidP="005C67C7">
      <w:pPr>
        <w:rPr>
          <w:iCs/>
        </w:rPr>
      </w:pPr>
      <w:r w:rsidRPr="00F12C22">
        <w:t xml:space="preserve">By definition, MAFLD is associated with several metabolic conditions, including obesity, </w:t>
      </w:r>
      <w:r w:rsidR="00DC72E7" w:rsidRPr="00F12C22">
        <w:t>T2DM</w:t>
      </w:r>
      <w:r w:rsidRPr="00F12C22">
        <w:t>, dyslipidaemia and hypertension. The relationship between MAFLD and these metabolic conditions is bidirectional: the presence of these conditions increases the risk of MAFLD development, as well as progression to advanced liver disease, but, conversely, the presence of MAFLD is associated with an increased likelihood of developing coexisting metabolic conditions</w:t>
      </w:r>
      <w:r w:rsidR="0083590B" w:rsidRPr="00F12C22">
        <w:t xml:space="preserve">. </w:t>
      </w:r>
      <w:r w:rsidR="00C56861" w:rsidRPr="00F12C22">
        <w:t>Due to shared risk factors and pathogenic mechanisms, MAFLD is also associated with increased risk of cardiovascular disease (CVD), chronic kidney disease (CKD) and obstructive sleep apnoea (OSA). Given the increased prevalence and incidence of these conditions and their impact on MAFLD severity, it is recommended that patients with MAFLD are routinely screened for these comorbidities. Furthermore, it is important to recognise that quality of life and disease</w:t>
      </w:r>
      <w:r w:rsidR="00175282" w:rsidRPr="00F12C22">
        <w:t>-</w:t>
      </w:r>
      <w:r w:rsidR="00C56861" w:rsidRPr="00F12C22">
        <w:t>related morbidity in people with MAFLD may be dominated by coexisting metabolic conditions, rather</w:t>
      </w:r>
      <w:r w:rsidR="009569E5" w:rsidRPr="00F12C22">
        <w:t xml:space="preserve"> than by MAFLD itself, emphasising the need to assess and manage these conditions</w:t>
      </w:r>
      <w:r w:rsidR="002D067D" w:rsidRPr="00F12C22">
        <w:t xml:space="preserve"> according to</w:t>
      </w:r>
      <w:r w:rsidR="004C4B94" w:rsidRPr="00F12C22">
        <w:t xml:space="preserve"> Australian </w:t>
      </w:r>
      <w:r w:rsidR="00FB0A45" w:rsidRPr="00F12C22">
        <w:t>condition-specific</w:t>
      </w:r>
      <w:r w:rsidR="004C4B94" w:rsidRPr="00F12C22">
        <w:t xml:space="preserve"> management algorithms</w:t>
      </w:r>
      <w:r w:rsidR="0059711F" w:rsidRPr="00F12C22">
        <w:t xml:space="preserve"> (e.g.</w:t>
      </w:r>
      <w:r w:rsidR="00D464A3">
        <w:t>,</w:t>
      </w:r>
      <w:r w:rsidR="0059711F" w:rsidRPr="00F12C22">
        <w:t xml:space="preserve"> </w:t>
      </w:r>
      <w:r w:rsidR="00D818F3" w:rsidRPr="00F12C22">
        <w:t>t</w:t>
      </w:r>
      <w:r w:rsidR="00AD3E83" w:rsidRPr="00F12C22">
        <w:t>he Australian Obesity Management Algorithm</w:t>
      </w:r>
      <w:r w:rsidR="00D818F3" w:rsidRPr="00F12C22">
        <w:t xml:space="preserve"> and the Australian Type 2 Diabetes Risk Assessment Tool </w:t>
      </w:r>
      <w:r w:rsidR="008601FE" w:rsidRPr="00F12C22">
        <w:t xml:space="preserve">(GESA </w:t>
      </w:r>
      <w:r w:rsidR="00DC72E7" w:rsidRPr="00F12C22">
        <w:t>2024</w:t>
      </w:r>
      <w:r w:rsidR="008601FE" w:rsidRPr="00F12C22">
        <w:t>)</w:t>
      </w:r>
      <w:r w:rsidR="0040299E">
        <w:t>)</w:t>
      </w:r>
      <w:r w:rsidR="009569E5" w:rsidRPr="00F12C22">
        <w:t>.</w:t>
      </w:r>
      <w:r w:rsidR="005C469A" w:rsidRPr="00F12C22">
        <w:fldChar w:fldCharType="begin"/>
      </w:r>
      <w:r w:rsidR="005C469A" w:rsidRPr="00F12C22">
        <w:instrText xml:space="preserve"> REF _Ref192722267 \h </w:instrText>
      </w:r>
      <w:r w:rsidR="005C469A" w:rsidRPr="00F12C22">
        <w:fldChar w:fldCharType="separate"/>
      </w:r>
    </w:p>
    <w:p w14:paraId="3FB063DE" w14:textId="5150BEEC" w:rsidR="005971FE" w:rsidRPr="00F12C22" w:rsidRDefault="00D917C4" w:rsidP="005971FE">
      <w:pPr>
        <w:spacing w:after="240"/>
      </w:pPr>
      <w:r w:rsidRPr="00F12C22">
        <w:t xml:space="preserve">Figure </w:t>
      </w:r>
      <w:r>
        <w:rPr>
          <w:noProof/>
        </w:rPr>
        <w:t>1</w:t>
      </w:r>
      <w:r w:rsidR="005C469A" w:rsidRPr="00F12C22">
        <w:rPr>
          <w:iCs/>
        </w:rPr>
        <w:fldChar w:fldCharType="end"/>
      </w:r>
      <w:r w:rsidR="00760FDD" w:rsidRPr="00F12C22">
        <w:rPr>
          <w:iCs/>
        </w:rPr>
        <w:t xml:space="preserve"> </w:t>
      </w:r>
      <w:r w:rsidR="00D11088" w:rsidRPr="00F12C22">
        <w:rPr>
          <w:iCs/>
        </w:rPr>
        <w:t>depict</w:t>
      </w:r>
      <w:r w:rsidR="002D6E3E" w:rsidRPr="00F12C22">
        <w:rPr>
          <w:iCs/>
        </w:rPr>
        <w:t>s</w:t>
      </w:r>
      <w:r w:rsidR="00701285">
        <w:rPr>
          <w:iCs/>
        </w:rPr>
        <w:t xml:space="preserve"> GESA’s assessment algorithm for patients presenting with MAFLD, including</w:t>
      </w:r>
      <w:r w:rsidR="00D11088" w:rsidRPr="00F12C22">
        <w:rPr>
          <w:iCs/>
        </w:rPr>
        <w:t xml:space="preserve"> </w:t>
      </w:r>
      <w:r w:rsidR="0006799A" w:rsidRPr="00F12C22">
        <w:rPr>
          <w:iCs/>
        </w:rPr>
        <w:t>metabolic conditions associated with MAFLD</w:t>
      </w:r>
      <w:r w:rsidR="00D11088" w:rsidRPr="00F12C22">
        <w:t>.</w:t>
      </w:r>
    </w:p>
    <w:p w14:paraId="72333B0B" w14:textId="011F6F9A" w:rsidR="005C469A" w:rsidRPr="00F12C22" w:rsidRDefault="005C469A" w:rsidP="005C469A">
      <w:pPr>
        <w:pStyle w:val="Caption"/>
        <w:rPr>
          <w:iCs/>
        </w:rPr>
      </w:pPr>
      <w:r w:rsidRPr="00F12C22">
        <w:rPr>
          <w:iCs/>
          <w:noProof/>
        </w:rPr>
        <w:drawing>
          <wp:inline distT="0" distB="0" distL="0" distR="0" wp14:anchorId="42B94DBF" wp14:editId="53B9D0B6">
            <wp:extent cx="6083935" cy="2894330"/>
            <wp:effectExtent l="0" t="0" r="0" b="1270"/>
            <wp:docPr id="1379939132" name="Picture 1" descr="Assessment algorithm for a patient presenting with MAF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39132" name="Picture 1" descr="Assessment algorithm for a patient presenting with MAFLD"/>
                    <pic:cNvPicPr/>
                  </pic:nvPicPr>
                  <pic:blipFill>
                    <a:blip r:embed="rId8">
                      <a:extLst>
                        <a:ext uri="{28A0092B-C50C-407E-A947-70E740481C1C}">
                          <a14:useLocalDpi xmlns:a14="http://schemas.microsoft.com/office/drawing/2010/main" val="0"/>
                        </a:ext>
                      </a:extLst>
                    </a:blip>
                    <a:stretch>
                      <a:fillRect/>
                    </a:stretch>
                  </pic:blipFill>
                  <pic:spPr>
                    <a:xfrm>
                      <a:off x="0" y="0"/>
                      <a:ext cx="6083935" cy="2894330"/>
                    </a:xfrm>
                    <a:prstGeom prst="rect">
                      <a:avLst/>
                    </a:prstGeom>
                  </pic:spPr>
                </pic:pic>
              </a:graphicData>
            </a:graphic>
          </wp:inline>
        </w:drawing>
      </w:r>
      <w:bookmarkStart w:id="4" w:name="_Ref192722267"/>
    </w:p>
    <w:p w14:paraId="2CD0961D" w14:textId="25C4AAF9" w:rsidR="005C469A" w:rsidRPr="00F12C22" w:rsidRDefault="005C469A" w:rsidP="005C469A">
      <w:pPr>
        <w:pStyle w:val="Caption"/>
        <w:spacing w:before="0" w:after="0"/>
        <w:rPr>
          <w:iCs/>
        </w:rPr>
      </w:pPr>
      <w:bookmarkStart w:id="5" w:name="_Ref193077042"/>
      <w:r w:rsidRPr="00F12C22">
        <w:t xml:space="preserve">Figure </w:t>
      </w:r>
      <w:r w:rsidRPr="00F12C22">
        <w:fldChar w:fldCharType="begin"/>
      </w:r>
      <w:r w:rsidRPr="00F12C22">
        <w:instrText xml:space="preserve"> SEQ Figure \* ARABIC </w:instrText>
      </w:r>
      <w:r w:rsidRPr="00F12C22">
        <w:fldChar w:fldCharType="separate"/>
      </w:r>
      <w:r w:rsidR="00280F06">
        <w:rPr>
          <w:noProof/>
        </w:rPr>
        <w:t>1</w:t>
      </w:r>
      <w:r w:rsidRPr="00F12C22">
        <w:fldChar w:fldCharType="end"/>
      </w:r>
      <w:bookmarkEnd w:id="4"/>
      <w:bookmarkEnd w:id="5"/>
      <w:r w:rsidR="00B0693C" w:rsidRPr="00F12C22">
        <w:rPr>
          <w:iCs/>
        </w:rPr>
        <w:tab/>
      </w:r>
      <w:r w:rsidRPr="00F12C22">
        <w:rPr>
          <w:iCs/>
        </w:rPr>
        <w:t>Assessment algorithm for a patient presenting with MAFLD</w:t>
      </w:r>
    </w:p>
    <w:p w14:paraId="2107B1F1" w14:textId="285D50B2" w:rsidR="00E269AE" w:rsidRPr="00F12C22" w:rsidRDefault="00E269AE" w:rsidP="00022C35">
      <w:pPr>
        <w:pStyle w:val="Caption"/>
        <w:spacing w:before="0" w:after="200"/>
        <w:rPr>
          <w:b w:val="0"/>
          <w:bCs/>
          <w:sz w:val="18"/>
          <w:szCs w:val="18"/>
        </w:rPr>
      </w:pPr>
      <w:r w:rsidRPr="00F12C22">
        <w:rPr>
          <w:b w:val="0"/>
          <w:bCs/>
          <w:iCs/>
          <w:sz w:val="18"/>
          <w:szCs w:val="18"/>
        </w:rPr>
        <w:t>Source: Figure 2, p25 GESA 2024</w:t>
      </w:r>
    </w:p>
    <w:p w14:paraId="62C4A092" w14:textId="69E7C2C5" w:rsidR="00562CB7" w:rsidRPr="00D917C4" w:rsidRDefault="00FE2526" w:rsidP="005C67C7">
      <w:pPr>
        <w:pStyle w:val="Heading4"/>
      </w:pPr>
      <w:r w:rsidRPr="00D917C4">
        <w:t xml:space="preserve">Diagnosis of MAFLD and determination </w:t>
      </w:r>
      <w:r w:rsidR="00F44F65" w:rsidRPr="00D917C4">
        <w:t xml:space="preserve">of </w:t>
      </w:r>
      <w:r w:rsidRPr="00D917C4">
        <w:t>≥5% hepatosteatosis</w:t>
      </w:r>
      <w:r w:rsidRPr="00D917C4" w:rsidDel="00FE2526">
        <w:t xml:space="preserve"> </w:t>
      </w:r>
    </w:p>
    <w:p w14:paraId="0D64F5BA" w14:textId="7E21B406" w:rsidR="00B9509A" w:rsidRPr="00F12C22" w:rsidRDefault="00B55EAD" w:rsidP="00941FFC">
      <w:r w:rsidRPr="00F12C22">
        <w:t xml:space="preserve">The </w:t>
      </w:r>
      <w:r w:rsidR="00562CB7" w:rsidRPr="00F12C22">
        <w:t xml:space="preserve">applicant’s clinical </w:t>
      </w:r>
      <w:r w:rsidRPr="00F12C22">
        <w:t>expert advised that v</w:t>
      </w:r>
      <w:r w:rsidR="00145C00" w:rsidRPr="00F12C22">
        <w:t xml:space="preserve">ery few </w:t>
      </w:r>
      <w:r w:rsidR="00A90C1F">
        <w:t>general practitioners (</w:t>
      </w:r>
      <w:r w:rsidR="00145C00" w:rsidRPr="00F12C22">
        <w:t>GPs</w:t>
      </w:r>
      <w:r w:rsidR="00A90C1F">
        <w:t>)</w:t>
      </w:r>
      <w:r w:rsidR="00145C00" w:rsidRPr="00F12C22">
        <w:t xml:space="preserve"> currently screen for MAFLD. </w:t>
      </w:r>
      <w:r w:rsidR="00D10A29" w:rsidRPr="00F12C22">
        <w:t>However,</w:t>
      </w:r>
      <w:r w:rsidR="00145C00" w:rsidRPr="00F12C22">
        <w:t xml:space="preserve"> those who do</w:t>
      </w:r>
      <w:r w:rsidR="007320B8" w:rsidRPr="00F12C22">
        <w:t xml:space="preserve"> </w:t>
      </w:r>
      <w:r w:rsidR="004E6ACB" w:rsidRPr="00F12C22">
        <w:t xml:space="preserve">would </w:t>
      </w:r>
      <w:r w:rsidR="007320B8" w:rsidRPr="00F12C22">
        <w:t>administer a</w:t>
      </w:r>
      <w:r w:rsidR="00145C00" w:rsidRPr="00F12C22">
        <w:t xml:space="preserve"> </w:t>
      </w:r>
      <w:r w:rsidR="007867BD" w:rsidRPr="00F12C22">
        <w:t>l</w:t>
      </w:r>
      <w:r w:rsidR="002318A8" w:rsidRPr="00F12C22">
        <w:t xml:space="preserve">iver </w:t>
      </w:r>
      <w:r w:rsidR="007867BD" w:rsidRPr="00F12C22">
        <w:t>f</w:t>
      </w:r>
      <w:r w:rsidR="002318A8" w:rsidRPr="00F12C22">
        <w:t xml:space="preserve">unction </w:t>
      </w:r>
      <w:r w:rsidR="006E5F39" w:rsidRPr="00F12C22">
        <w:t>test</w:t>
      </w:r>
      <w:r w:rsidR="003B6241" w:rsidRPr="00F12C22">
        <w:t xml:space="preserve"> (LFT)</w:t>
      </w:r>
      <w:r w:rsidR="002318A8" w:rsidRPr="00F12C22">
        <w:t xml:space="preserve"> </w:t>
      </w:r>
      <w:r w:rsidR="00B9509A" w:rsidRPr="00F12C22">
        <w:t xml:space="preserve">in the first instance. While there may be little direct screening for MAFLD, LFTs are routinely used in </w:t>
      </w:r>
      <w:r w:rsidR="0266F9B2">
        <w:t>clinical practice</w:t>
      </w:r>
      <w:r w:rsidR="00B9509A" w:rsidRPr="00F12C22">
        <w:t xml:space="preserve"> </w:t>
      </w:r>
      <w:r w:rsidR="68CDDC88">
        <w:t>during the assessment and management of</w:t>
      </w:r>
      <w:r w:rsidR="112B63B8">
        <w:t xml:space="preserve"> </w:t>
      </w:r>
      <w:r w:rsidR="00B9509A" w:rsidRPr="00F12C22">
        <w:t>CVD and T2DM, such that there may be incidental assessment/diagnoses.</w:t>
      </w:r>
      <w:r w:rsidR="000C0C94" w:rsidRPr="00F12C22">
        <w:t xml:space="preserve"> </w:t>
      </w:r>
    </w:p>
    <w:p w14:paraId="456BDC05" w14:textId="7A923C07" w:rsidR="001A2249" w:rsidRPr="00F12C22" w:rsidRDefault="003043C9" w:rsidP="00941FFC">
      <w:r w:rsidRPr="00F12C22">
        <w:t>S</w:t>
      </w:r>
      <w:r w:rsidR="000C0C94" w:rsidRPr="00F12C22">
        <w:t xml:space="preserve">tandard </w:t>
      </w:r>
      <w:r w:rsidR="56785577" w:rsidRPr="00F12C22">
        <w:t>LFT</w:t>
      </w:r>
      <w:r w:rsidR="18A3345A" w:rsidRPr="00F12C22">
        <w:t>s</w:t>
      </w:r>
      <w:r w:rsidR="000C0C94" w:rsidRPr="00F12C22">
        <w:t xml:space="preserve"> includ</w:t>
      </w:r>
      <w:r w:rsidR="001967B7" w:rsidRPr="00F12C22">
        <w:t>e</w:t>
      </w:r>
      <w:r w:rsidR="000C0C94" w:rsidRPr="00F12C22">
        <w:t xml:space="preserve"> measurement of</w:t>
      </w:r>
      <w:r w:rsidR="00BA4E99" w:rsidRPr="00F12C22">
        <w:t xml:space="preserve"> </w:t>
      </w:r>
      <w:r w:rsidR="00AE0418" w:rsidRPr="00F12C22">
        <w:t xml:space="preserve">bilirubin, </w:t>
      </w:r>
      <w:r w:rsidR="00BA4E99" w:rsidRPr="00F12C22">
        <w:t>alanine transaminase</w:t>
      </w:r>
      <w:r w:rsidR="00AE0418" w:rsidRPr="00F12C22">
        <w:t xml:space="preserve"> (ALT)</w:t>
      </w:r>
      <w:r w:rsidR="6D9A2FC3" w:rsidRPr="00F12C22">
        <w:t>,</w:t>
      </w:r>
      <w:r w:rsidR="00631A0B" w:rsidRPr="00F12C22">
        <w:t xml:space="preserve"> </w:t>
      </w:r>
      <w:r w:rsidR="6D9A2FC3" w:rsidRPr="00F12C22">
        <w:rPr>
          <w:rFonts w:cs="Calibri"/>
        </w:rPr>
        <w:t xml:space="preserve">aspartate </w:t>
      </w:r>
      <w:r w:rsidR="004C357F" w:rsidRPr="00F12C22">
        <w:rPr>
          <w:rFonts w:cs="Calibri"/>
        </w:rPr>
        <w:t>transaminase</w:t>
      </w:r>
      <w:r w:rsidR="6D9A2FC3" w:rsidRPr="00F12C22">
        <w:rPr>
          <w:rFonts w:cs="Calibri"/>
        </w:rPr>
        <w:t xml:space="preserve"> (AST),</w:t>
      </w:r>
      <w:r w:rsidR="00631A0B" w:rsidRPr="00F12C22">
        <w:t xml:space="preserve"> </w:t>
      </w:r>
      <w:r w:rsidR="004C357F" w:rsidRPr="00F12C22">
        <w:t xml:space="preserve">alkaline phosphatase </w:t>
      </w:r>
      <w:r w:rsidR="00D54EAF" w:rsidRPr="00F12C22">
        <w:t xml:space="preserve">(ALP) </w:t>
      </w:r>
      <w:r w:rsidR="00631A0B" w:rsidRPr="00F12C22">
        <w:t>and</w:t>
      </w:r>
      <w:r w:rsidR="000C0C94" w:rsidRPr="00F12C22">
        <w:t xml:space="preserve"> albumin levels</w:t>
      </w:r>
      <w:r w:rsidR="6354DEDE" w:rsidRPr="00F12C22">
        <w:t>.</w:t>
      </w:r>
      <w:r w:rsidR="000C0C94" w:rsidRPr="00F12C22">
        <w:t xml:space="preserve"> </w:t>
      </w:r>
      <w:r w:rsidR="5FACDFB2" w:rsidRPr="00F12C22">
        <w:t xml:space="preserve">Other relevant tests include high-density lipoprotein, </w:t>
      </w:r>
      <w:r w:rsidR="5FACDFB2" w:rsidRPr="00F12C22">
        <w:lastRenderedPageBreak/>
        <w:t xml:space="preserve">triglycerides and platelets. </w:t>
      </w:r>
      <w:r w:rsidR="002541A2" w:rsidRPr="00F12C22">
        <w:t>In particular</w:t>
      </w:r>
      <w:r w:rsidR="00342839" w:rsidRPr="00F12C22">
        <w:t>,</w:t>
      </w:r>
      <w:r w:rsidR="002541A2" w:rsidRPr="00F12C22">
        <w:t xml:space="preserve"> </w:t>
      </w:r>
      <w:r w:rsidR="00887DED" w:rsidRPr="00F12C22">
        <w:t>e</w:t>
      </w:r>
      <w:r w:rsidR="007C08E5" w:rsidRPr="00F12C22">
        <w:t xml:space="preserve">levated </w:t>
      </w:r>
      <w:r w:rsidR="00CA442D" w:rsidRPr="00F12C22">
        <w:t>ALT</w:t>
      </w:r>
      <w:r w:rsidR="00566CDF" w:rsidRPr="00F12C22">
        <w:t xml:space="preserve"> </w:t>
      </w:r>
      <w:r w:rsidR="000F02E3" w:rsidRPr="00F12C22">
        <w:t xml:space="preserve">and AST </w:t>
      </w:r>
      <w:r w:rsidR="007C08E5" w:rsidRPr="00F12C22">
        <w:t>(</w:t>
      </w:r>
      <w:r w:rsidR="000F02E3" w:rsidRPr="00F12C22">
        <w:t xml:space="preserve">both </w:t>
      </w:r>
      <w:r w:rsidR="007C08E5" w:rsidRPr="00F12C22">
        <w:t>≥2 times the upper limit of normal)</w:t>
      </w:r>
      <w:r w:rsidR="009D6FEA" w:rsidRPr="00F12C22">
        <w:t>,</w:t>
      </w:r>
      <w:r w:rsidR="000F02E3" w:rsidRPr="00F12C22">
        <w:t xml:space="preserve"> </w:t>
      </w:r>
      <w:r w:rsidR="00A42D63" w:rsidRPr="00F12C22">
        <w:t>low</w:t>
      </w:r>
      <w:r w:rsidR="003751D1" w:rsidRPr="00F12C22">
        <w:t>er</w:t>
      </w:r>
      <w:r w:rsidR="00A42D63" w:rsidRPr="00F12C22">
        <w:t xml:space="preserve"> </w:t>
      </w:r>
      <w:r w:rsidR="003751D1" w:rsidRPr="00F12C22">
        <w:t>platelets</w:t>
      </w:r>
      <w:r w:rsidR="00EC1997" w:rsidRPr="00F12C22">
        <w:t>, low high-density lipoprotein</w:t>
      </w:r>
      <w:r w:rsidR="002F2B81" w:rsidRPr="00F12C22">
        <w:t xml:space="preserve"> and triglycerides </w:t>
      </w:r>
      <w:r w:rsidR="00DF27D7" w:rsidRPr="00F12C22">
        <w:rPr>
          <w:rFonts w:cs="Calibri"/>
        </w:rPr>
        <w:t>≥</w:t>
      </w:r>
      <w:r w:rsidR="002F2B81" w:rsidRPr="00F12C22">
        <w:t>1.7mmol/L</w:t>
      </w:r>
      <w:r w:rsidR="005A2326" w:rsidRPr="00F12C22">
        <w:t xml:space="preserve"> </w:t>
      </w:r>
      <w:r w:rsidR="00DD4589" w:rsidRPr="00F12C22">
        <w:t>are</w:t>
      </w:r>
      <w:r w:rsidR="005A2326" w:rsidRPr="00F12C22">
        <w:t xml:space="preserve"> </w:t>
      </w:r>
      <w:r w:rsidR="009E0E56" w:rsidRPr="00F12C22">
        <w:t xml:space="preserve">statistically </w:t>
      </w:r>
      <w:r w:rsidR="00FC4255" w:rsidRPr="00F12C22">
        <w:t xml:space="preserve">significant </w:t>
      </w:r>
      <w:r w:rsidR="00DD4589" w:rsidRPr="00F12C22">
        <w:t>risk</w:t>
      </w:r>
      <w:r w:rsidR="00C17470" w:rsidRPr="00F12C22">
        <w:t xml:space="preserve"> </w:t>
      </w:r>
      <w:r w:rsidR="003F1B67" w:rsidRPr="00F12C22">
        <w:t>factors</w:t>
      </w:r>
      <w:r w:rsidR="00AE1EAF" w:rsidRPr="00F12C22">
        <w:t xml:space="preserve"> of fatty liver disease</w:t>
      </w:r>
      <w:r w:rsidR="007C08E5" w:rsidRPr="00F12C22">
        <w:t xml:space="preserve"> </w:t>
      </w:r>
      <w:r w:rsidR="002F1AF6" w:rsidRPr="00F12C22">
        <w:t>(</w:t>
      </w:r>
      <w:r w:rsidR="00C4752D" w:rsidRPr="002F41B4">
        <w:t>Hossain 2009;</w:t>
      </w:r>
      <w:r w:rsidR="005B0F5D" w:rsidRPr="002F41B4">
        <w:t xml:space="preserve"> Noureddin 2013</w:t>
      </w:r>
      <w:r w:rsidR="005B0F5D" w:rsidRPr="00F12C22">
        <w:t>).</w:t>
      </w:r>
      <w:r w:rsidR="007C08E5" w:rsidRPr="00F12C22">
        <w:t xml:space="preserve"> </w:t>
      </w:r>
      <w:r w:rsidR="00A2690B" w:rsidRPr="00F12C22">
        <w:t xml:space="preserve">The </w:t>
      </w:r>
      <w:r w:rsidR="3935D2AB" w:rsidRPr="00F12C22">
        <w:t xml:space="preserve">applicant’s clinical </w:t>
      </w:r>
      <w:r w:rsidR="00A2690B" w:rsidRPr="00F12C22">
        <w:t xml:space="preserve">expert suggested that if a </w:t>
      </w:r>
      <w:r w:rsidR="55BDA653" w:rsidRPr="00F12C22">
        <w:t>LFT</w:t>
      </w:r>
      <w:r w:rsidR="00A2690B" w:rsidRPr="00F12C22">
        <w:t xml:space="preserve"> is abnormal, then </w:t>
      </w:r>
      <w:r w:rsidR="00F64A0A">
        <w:t xml:space="preserve">abdominal </w:t>
      </w:r>
      <w:r w:rsidR="00A2690B" w:rsidRPr="00F12C22">
        <w:t xml:space="preserve">ultrasound is </w:t>
      </w:r>
      <w:r w:rsidR="6A5B8585" w:rsidRPr="00F12C22">
        <w:t xml:space="preserve">typically </w:t>
      </w:r>
      <w:r w:rsidR="00A2690B" w:rsidRPr="00F12C22">
        <w:t>requested by a GP.</w:t>
      </w:r>
    </w:p>
    <w:p w14:paraId="30467CD7" w14:textId="42113537" w:rsidR="00D12044" w:rsidRPr="00F12C22" w:rsidRDefault="00C647DB" w:rsidP="008633B2">
      <w:pPr>
        <w:rPr>
          <w:b/>
        </w:rPr>
      </w:pPr>
      <w:r>
        <w:t>Liver</w:t>
      </w:r>
      <w:r w:rsidR="00D01D8B">
        <w:t xml:space="preserve"> u</w:t>
      </w:r>
      <w:r w:rsidR="00941FFC" w:rsidRPr="00F12C22">
        <w:t xml:space="preserve">ltrasound is used </w:t>
      </w:r>
      <w:r w:rsidR="00A2690B" w:rsidRPr="00F12C22">
        <w:t>to establish the presence of ≥5% hepatosteatosis</w:t>
      </w:r>
      <w:r w:rsidR="49AB52E3" w:rsidRPr="00F12C22">
        <w:t>, which is</w:t>
      </w:r>
      <w:r w:rsidR="00941FFC" w:rsidRPr="00F12C22">
        <w:t xml:space="preserve"> </w:t>
      </w:r>
      <w:r w:rsidR="000948E6" w:rsidRPr="00F12C22">
        <w:t xml:space="preserve">a requirement for the diagnosis of </w:t>
      </w:r>
      <w:r w:rsidR="00A2690B" w:rsidRPr="00F12C22">
        <w:t>MAFLD.</w:t>
      </w:r>
      <w:r w:rsidR="00834C40" w:rsidRPr="00F12C22">
        <w:t xml:space="preserve"> </w:t>
      </w:r>
      <w:r w:rsidR="00145C00" w:rsidRPr="00F12C22">
        <w:t>GESA</w:t>
      </w:r>
      <w:r w:rsidR="00155C8B" w:rsidRPr="00F12C22">
        <w:t xml:space="preserve"> </w:t>
      </w:r>
      <w:r w:rsidR="00562CB7" w:rsidRPr="00F12C22">
        <w:t xml:space="preserve">(2024) </w:t>
      </w:r>
      <w:r w:rsidR="008B2E3C" w:rsidRPr="00F12C22">
        <w:t xml:space="preserve">stated that ultrasound </w:t>
      </w:r>
      <w:r w:rsidR="00296618" w:rsidRPr="00F12C22">
        <w:t>has consistently demonstrated good to very good accuracy in the detection of fatty liver</w:t>
      </w:r>
      <w:r w:rsidR="00E46C36" w:rsidRPr="00F12C22">
        <w:t>, and is both inexpensive and readily available in the community</w:t>
      </w:r>
      <w:r w:rsidR="00296618" w:rsidRPr="00F12C22">
        <w:t>.</w:t>
      </w:r>
      <w:r w:rsidR="00145C00" w:rsidRPr="00F12C22">
        <w:t xml:space="preserve"> </w:t>
      </w:r>
      <w:r w:rsidR="00106312" w:rsidRPr="00F12C22">
        <w:t xml:space="preserve">In a moderate-quality updated systematic review and meta-analysis, the area under the curve (AUC), sensitivity and specificity of ultrasound </w:t>
      </w:r>
      <w:r w:rsidR="008633B2" w:rsidRPr="00F12C22">
        <w:t xml:space="preserve">compared with histology </w:t>
      </w:r>
      <w:r w:rsidR="74FE1B5D" w:rsidRPr="00F12C22">
        <w:t xml:space="preserve">for the detection of hepatic steatosis of ≥5% </w:t>
      </w:r>
      <w:r w:rsidR="00106312" w:rsidRPr="00F12C22">
        <w:t xml:space="preserve">were 0.87, 82% and 87%, respectively, and </w:t>
      </w:r>
      <w:r w:rsidR="2C01E8F3" w:rsidRPr="00F12C22">
        <w:t xml:space="preserve">for the detection of hepatic steatosis ≥30% were </w:t>
      </w:r>
      <w:r w:rsidR="00106312" w:rsidRPr="00F12C22">
        <w:t>0.92, 85% and 85%, respectively</w:t>
      </w:r>
      <w:r w:rsidR="00C97901" w:rsidRPr="00F12C22">
        <w:t xml:space="preserve"> (</w:t>
      </w:r>
      <w:r w:rsidR="005127C4" w:rsidRPr="00451D02">
        <w:t>Ballestri 2021).</w:t>
      </w:r>
      <w:r w:rsidR="00106312" w:rsidRPr="00F12C22">
        <w:t xml:space="preserve"> </w:t>
      </w:r>
      <w:r w:rsidR="00780F1D" w:rsidRPr="00F12C22">
        <w:t xml:space="preserve">However, liver ultrasound has its limitations </w:t>
      </w:r>
      <w:r w:rsidR="00B9509A" w:rsidRPr="00F12C22">
        <w:t>with</w:t>
      </w:r>
      <w:r w:rsidR="00780F1D" w:rsidRPr="00F12C22">
        <w:t xml:space="preserve"> reduced sensitivity in certain populations, including those with obesity</w:t>
      </w:r>
      <w:r w:rsidR="00492B6E" w:rsidRPr="00F12C22">
        <w:t xml:space="preserve"> (GESA </w:t>
      </w:r>
      <w:r w:rsidR="00562CB7" w:rsidRPr="00F12C22">
        <w:t>2024</w:t>
      </w:r>
      <w:r w:rsidR="00492B6E" w:rsidRPr="00F12C22">
        <w:t>)</w:t>
      </w:r>
      <w:r w:rsidR="00576DE0" w:rsidRPr="00F12C22">
        <w:t>.</w:t>
      </w:r>
    </w:p>
    <w:p w14:paraId="051BE92F" w14:textId="5541BDE1" w:rsidR="00986F93" w:rsidRPr="00F12C22" w:rsidRDefault="00D12044" w:rsidP="00562CB7">
      <w:pPr>
        <w:rPr>
          <w:b/>
        </w:rPr>
      </w:pPr>
      <w:r w:rsidRPr="00F12C22">
        <w:t xml:space="preserve">Alternatively, </w:t>
      </w:r>
      <w:r w:rsidR="00F4404E" w:rsidRPr="00F12C22">
        <w:t xml:space="preserve">hepatic steatosis can be detected </w:t>
      </w:r>
      <w:r w:rsidR="00D91BE1" w:rsidRPr="00F12C22">
        <w:t xml:space="preserve">with </w:t>
      </w:r>
      <w:r w:rsidRPr="00F12C22">
        <w:t xml:space="preserve">controlled attenuation parameter (CAP) using </w:t>
      </w:r>
      <w:r w:rsidR="00823CCA" w:rsidRPr="00F12C22">
        <w:t>VCTE™</w:t>
      </w:r>
      <w:r w:rsidR="00BB56AB" w:rsidRPr="00F12C22">
        <w:t>.</w:t>
      </w:r>
      <w:r w:rsidRPr="00F12C22">
        <w:t xml:space="preserve"> </w:t>
      </w:r>
      <w:r w:rsidR="002F1AE9" w:rsidRPr="00F12C22">
        <w:t xml:space="preserve">However, there are limited available data on the accuracy of CAP as a screening tool in the primary care setting (GESA </w:t>
      </w:r>
      <w:r w:rsidR="00562CB7" w:rsidRPr="00F12C22">
        <w:t>2024</w:t>
      </w:r>
      <w:r w:rsidR="002F1AE9" w:rsidRPr="00F12C22">
        <w:t xml:space="preserve">). </w:t>
      </w:r>
      <w:r w:rsidR="00D91BE1" w:rsidRPr="00F12C22">
        <w:t xml:space="preserve">CAP </w:t>
      </w:r>
      <w:r w:rsidR="00BB56AB" w:rsidRPr="00F12C22">
        <w:t>demonstrated good accuracy</w:t>
      </w:r>
      <w:r w:rsidRPr="00F12C22">
        <w:t xml:space="preserve"> in detecting any hepatic steatosis (i.e.</w:t>
      </w:r>
      <w:r w:rsidR="00D464A3">
        <w:t>,</w:t>
      </w:r>
      <w:r w:rsidRPr="00F12C22">
        <w:t xml:space="preserve"> grade S0 vs grades S1–3) in patients with MAFLD, with an AUC of 0.81 and summary sensitivity and specificity of 79% and 73%, respectively</w:t>
      </w:r>
      <w:r w:rsidR="00910E34" w:rsidRPr="00F12C22">
        <w:t xml:space="preserve">. </w:t>
      </w:r>
      <w:r w:rsidR="00DC06FF" w:rsidRPr="00F12C22">
        <w:t>In addition,</w:t>
      </w:r>
      <w:r w:rsidR="00910E34" w:rsidRPr="00F12C22">
        <w:t xml:space="preserve"> </w:t>
      </w:r>
      <w:r w:rsidR="00DC06FF" w:rsidRPr="00F12C22">
        <w:t xml:space="preserve">patients’ </w:t>
      </w:r>
      <w:r w:rsidR="002F1AE9" w:rsidRPr="00F12C22">
        <w:t xml:space="preserve">characteristics </w:t>
      </w:r>
      <w:r w:rsidR="00910E34" w:rsidRPr="00F12C22">
        <w:t>such as BMI and diabetes increase CAP readings independently of steatosis grade and should be considered when interpreting CAP results in patients with MAFLD</w:t>
      </w:r>
      <w:r w:rsidRPr="00F12C22">
        <w:t xml:space="preserve"> </w:t>
      </w:r>
      <w:r w:rsidR="006662A9" w:rsidRPr="00F12C22">
        <w:t>(</w:t>
      </w:r>
      <w:r w:rsidR="006662A9" w:rsidRPr="00451D02">
        <w:t>Petroff 2021)</w:t>
      </w:r>
      <w:r w:rsidR="00A73256" w:rsidRPr="00451D02">
        <w:t>.</w:t>
      </w:r>
      <w:r w:rsidR="0005758A" w:rsidRPr="00F12C22">
        <w:t xml:space="preserve"> The possibility of using </w:t>
      </w:r>
      <w:r w:rsidR="00823CCA" w:rsidRPr="00F12C22">
        <w:t>VCTE™</w:t>
      </w:r>
      <w:r w:rsidR="0005758A" w:rsidRPr="00F12C22">
        <w:t xml:space="preserve"> for </w:t>
      </w:r>
      <w:r w:rsidR="00A95BCD" w:rsidRPr="00F12C22">
        <w:t>detecting</w:t>
      </w:r>
      <w:r w:rsidR="0005758A" w:rsidRPr="00F12C22">
        <w:t xml:space="preserve"> </w:t>
      </w:r>
      <w:r w:rsidR="00A95BCD" w:rsidRPr="00F12C22">
        <w:t>hepatic steatosis was discussed at the pre-PASC teleconference</w:t>
      </w:r>
      <w:r w:rsidR="00345D57" w:rsidRPr="00F12C22">
        <w:t>;</w:t>
      </w:r>
      <w:r w:rsidR="00D308B8" w:rsidRPr="00F12C22">
        <w:t xml:space="preserve"> however</w:t>
      </w:r>
      <w:r w:rsidR="00345D57" w:rsidRPr="00F12C22">
        <w:t>,</w:t>
      </w:r>
      <w:r w:rsidR="00A95BCD" w:rsidRPr="00F12C22">
        <w:t xml:space="preserve"> </w:t>
      </w:r>
      <w:r w:rsidR="00562CB7" w:rsidRPr="00F12C22">
        <w:t>the applicant’s clinical expert opined</w:t>
      </w:r>
      <w:r w:rsidR="00A95BCD" w:rsidRPr="00F12C22">
        <w:t xml:space="preserve"> </w:t>
      </w:r>
      <w:r w:rsidR="00EB650B" w:rsidRPr="00F12C22">
        <w:t>it would not</w:t>
      </w:r>
      <w:r w:rsidR="00D308B8" w:rsidRPr="00F12C22">
        <w:t xml:space="preserve"> </w:t>
      </w:r>
      <w:r w:rsidR="00EB650B" w:rsidRPr="00F12C22">
        <w:t>be</w:t>
      </w:r>
      <w:r w:rsidR="0005758A" w:rsidRPr="00F12C22">
        <w:t xml:space="preserve"> use</w:t>
      </w:r>
      <w:r w:rsidR="00C5529B" w:rsidRPr="00F12C22">
        <w:t>d</w:t>
      </w:r>
      <w:r w:rsidR="0005758A" w:rsidRPr="00F12C22">
        <w:t xml:space="preserve"> this way, </w:t>
      </w:r>
      <w:r w:rsidR="00EB650B" w:rsidRPr="00F12C22">
        <w:t xml:space="preserve">and it is </w:t>
      </w:r>
      <w:r w:rsidR="0005758A" w:rsidRPr="00F12C22">
        <w:t xml:space="preserve">not the intent of </w:t>
      </w:r>
      <w:r w:rsidR="00EB650B" w:rsidRPr="00F12C22">
        <w:t xml:space="preserve">the current </w:t>
      </w:r>
      <w:r w:rsidR="0005758A" w:rsidRPr="00F12C22">
        <w:t>application</w:t>
      </w:r>
      <w:r w:rsidR="00EB650B" w:rsidRPr="00F12C22">
        <w:t xml:space="preserve">. </w:t>
      </w:r>
      <w:r w:rsidR="00C060DD" w:rsidRPr="00F12C22">
        <w:t xml:space="preserve">Nevertheless, </w:t>
      </w:r>
      <w:r w:rsidR="00103F37" w:rsidRPr="00F12C22">
        <w:t xml:space="preserve">the implication of the </w:t>
      </w:r>
      <w:r w:rsidR="00F27578" w:rsidRPr="00F12C22">
        <w:t xml:space="preserve">CAP </w:t>
      </w:r>
      <w:r w:rsidR="00103F37" w:rsidRPr="00F12C22">
        <w:t xml:space="preserve">method </w:t>
      </w:r>
      <w:r w:rsidR="00F27578" w:rsidRPr="00F12C22">
        <w:t xml:space="preserve">using </w:t>
      </w:r>
      <w:r w:rsidR="00823CCA" w:rsidRPr="00F12C22">
        <w:t xml:space="preserve">VCTE™ </w:t>
      </w:r>
      <w:r w:rsidR="00103F37" w:rsidRPr="00F12C22">
        <w:t xml:space="preserve">for </w:t>
      </w:r>
      <w:r w:rsidR="00355E25" w:rsidRPr="00F12C22">
        <w:t>MAFLD diagnos</w:t>
      </w:r>
      <w:r w:rsidR="00562CB7" w:rsidRPr="00F12C22">
        <w:t>is</w:t>
      </w:r>
      <w:r w:rsidR="00355E25" w:rsidRPr="00F12C22">
        <w:t xml:space="preserve"> </w:t>
      </w:r>
      <w:r w:rsidR="00562CB7" w:rsidRPr="00F12C22">
        <w:t>may need to be</w:t>
      </w:r>
      <w:r w:rsidR="0005758A" w:rsidRPr="00F12C22">
        <w:t xml:space="preserve"> considered</w:t>
      </w:r>
      <w:r w:rsidR="00562CB7" w:rsidRPr="00F12C22">
        <w:t xml:space="preserve"> as potential use beyond the intent of the item descriptor</w:t>
      </w:r>
      <w:r w:rsidR="0005758A" w:rsidRPr="00F12C22">
        <w:t>.</w:t>
      </w:r>
    </w:p>
    <w:p w14:paraId="42AEB507" w14:textId="73E004DC" w:rsidR="008F7C37" w:rsidRPr="00F12C22" w:rsidRDefault="00842D8E" w:rsidP="008F7C37">
      <w:r w:rsidRPr="00F12C22">
        <w:t>Other</w:t>
      </w:r>
      <w:r w:rsidR="00986F93" w:rsidRPr="00F12C22">
        <w:t xml:space="preserve"> diagnostic methods include</w:t>
      </w:r>
      <w:r w:rsidR="00DA3F0F" w:rsidRPr="00F12C22">
        <w:t xml:space="preserve"> magnetic </w:t>
      </w:r>
      <w:r w:rsidR="00874BC3" w:rsidRPr="00F12C22">
        <w:t>resonance imaging (</w:t>
      </w:r>
      <w:r w:rsidR="00DA3F0F" w:rsidRPr="00F12C22">
        <w:t>MRI</w:t>
      </w:r>
      <w:r w:rsidR="00874BC3" w:rsidRPr="00F12C22">
        <w:t>)</w:t>
      </w:r>
      <w:r w:rsidR="004622B9" w:rsidRPr="00F12C22">
        <w:t>, which</w:t>
      </w:r>
      <w:r w:rsidR="00DA3F0F" w:rsidRPr="00F12C22">
        <w:t xml:space="preserve"> ha</w:t>
      </w:r>
      <w:r w:rsidR="00874BC3" w:rsidRPr="00F12C22">
        <w:t>s</w:t>
      </w:r>
      <w:r w:rsidR="00DA3F0F" w:rsidRPr="00F12C22">
        <w:t xml:space="preserve"> the best diagnostic accuracy, with an AUC of 0.95 (95% </w:t>
      </w:r>
      <w:r w:rsidR="00BF2038" w:rsidRPr="00F12C22">
        <w:t>confidence interval [</w:t>
      </w:r>
      <w:r w:rsidR="00DA3F0F" w:rsidRPr="00F12C22">
        <w:t>CI</w:t>
      </w:r>
      <w:r w:rsidR="00BF2038" w:rsidRPr="00F12C22">
        <w:t>]:</w:t>
      </w:r>
      <w:r w:rsidR="00DA3F0F" w:rsidRPr="00F12C22">
        <w:t xml:space="preserve"> 0.93</w:t>
      </w:r>
      <w:r w:rsidR="00BF2038" w:rsidRPr="00F12C22">
        <w:t xml:space="preserve">; </w:t>
      </w:r>
      <w:r w:rsidR="00DA3F0F" w:rsidRPr="00F12C22">
        <w:t>0.97), sensitivity of 91% and specificity of 90%</w:t>
      </w:r>
      <w:r w:rsidR="00436131" w:rsidRPr="00F12C22">
        <w:t xml:space="preserve"> (</w:t>
      </w:r>
      <w:r w:rsidR="000857CD" w:rsidRPr="00451D02">
        <w:t xml:space="preserve">Wang </w:t>
      </w:r>
      <w:r w:rsidR="004114AC" w:rsidRPr="00451D02">
        <w:t>2018)</w:t>
      </w:r>
      <w:r w:rsidR="00DA3F0F" w:rsidRPr="00451D02">
        <w:t>.</w:t>
      </w:r>
      <w:r w:rsidR="00B412B1" w:rsidRPr="00F12C22">
        <w:t xml:space="preserve"> However, MRI is expensive to perform and not readily accessible nor eligible for an MBS rebate for this indication (GESA </w:t>
      </w:r>
      <w:r w:rsidR="00462A31" w:rsidRPr="00F12C22">
        <w:t>2024</w:t>
      </w:r>
      <w:r w:rsidR="00B412B1" w:rsidRPr="00F12C22">
        <w:t>).</w:t>
      </w:r>
    </w:p>
    <w:p w14:paraId="29C6732F" w14:textId="6EEB063D" w:rsidR="00A73256" w:rsidRPr="00F12C22" w:rsidRDefault="008F7C37" w:rsidP="008F7C37">
      <w:r w:rsidRPr="00F12C22">
        <w:t>GESA (2024) indicated that there are s</w:t>
      </w:r>
      <w:r w:rsidR="001C0106" w:rsidRPr="00F12C22">
        <w:t xml:space="preserve">everal non-commercial biomarkers </w:t>
      </w:r>
      <w:r w:rsidRPr="00F12C22">
        <w:t xml:space="preserve">that </w:t>
      </w:r>
      <w:r w:rsidR="001C0106" w:rsidRPr="00F12C22">
        <w:t>have been evaluated to identify or detect MAFLD at a population level</w:t>
      </w:r>
      <w:r w:rsidRPr="00F12C22">
        <w:t>; these include</w:t>
      </w:r>
      <w:r w:rsidR="001C0106" w:rsidRPr="00F12C22">
        <w:t xml:space="preserve"> the </w:t>
      </w:r>
      <w:r w:rsidRPr="00F12C22">
        <w:t>Fatty Liver Index (FLI)</w:t>
      </w:r>
      <w:r w:rsidR="001C0106" w:rsidRPr="00F12C22">
        <w:t xml:space="preserve">, hepatic steatosis index, MAFLD liver fat score, visceral adiposity index and triglyceride 9 glucose index. </w:t>
      </w:r>
      <w:r w:rsidRPr="00F12C22">
        <w:t>GESA (2024</w:t>
      </w:r>
      <w:r w:rsidR="002B5EA3" w:rsidRPr="00F12C22">
        <w:t>; p12</w:t>
      </w:r>
      <w:r w:rsidRPr="00F12C22">
        <w:t xml:space="preserve">) stated that </w:t>
      </w:r>
      <w:r w:rsidR="002B5EA3" w:rsidRPr="00F12C22">
        <w:t>“</w:t>
      </w:r>
      <w:r w:rsidRPr="00F12C22">
        <w:t>th</w:t>
      </w:r>
      <w:r w:rsidR="001C0106" w:rsidRPr="00F12C22">
        <w:t>ese biomarkers are typically composed of a mixture of clinical and laboratory parameters that reflect underlying obesity and metabolic dysfunction. All appear to be confounded by fibrosis and inflammation, and do not accurately quantify steatosis, which may limit their clinical utility</w:t>
      </w:r>
      <w:r w:rsidR="002B5EA3" w:rsidRPr="00F12C22">
        <w:t>”</w:t>
      </w:r>
      <w:r w:rsidR="00E63C8D" w:rsidRPr="00F12C22">
        <w:t>.</w:t>
      </w:r>
    </w:p>
    <w:p w14:paraId="0CAAA85F" w14:textId="77777777" w:rsidR="001660E9" w:rsidRPr="00D917C4" w:rsidRDefault="001660E9" w:rsidP="00D917C4">
      <w:pPr>
        <w:pStyle w:val="Heading5"/>
      </w:pPr>
      <w:r w:rsidRPr="00D917C4">
        <w:t>Prevalence of MAFLD</w:t>
      </w:r>
    </w:p>
    <w:p w14:paraId="0A09E953" w14:textId="613DDC93" w:rsidR="001660E9" w:rsidRPr="00F12C22" w:rsidRDefault="001660E9" w:rsidP="001660E9">
      <w:pPr>
        <w:spacing w:after="240"/>
      </w:pPr>
      <w:r w:rsidRPr="00F12C22">
        <w:t xml:space="preserve">MAFLD </w:t>
      </w:r>
      <w:r w:rsidR="00C73B22">
        <w:t xml:space="preserve">(previously known as NAFLD) </w:t>
      </w:r>
      <w:r w:rsidRPr="00F12C22">
        <w:t xml:space="preserve">is the most prevalent condition affecting the liver, with a global prevalence of NAFLD estimated to be approximately 30% in adults </w:t>
      </w:r>
      <w:r w:rsidRPr="00451D02">
        <w:t>(Younossi 2023; Le 2022). In</w:t>
      </w:r>
      <w:r w:rsidRPr="00F12C22">
        <w:t xml:space="preserve"> Australia, there is a paucity of high-quality epidemiological and prevalence data on MAFLD. A disease burden of NAFLD and non-alcoholic steatohepatitis (NASH</w:t>
      </w:r>
      <w:r w:rsidR="00C22790" w:rsidRPr="00F12C22">
        <w:t>; or liver inflammation</w:t>
      </w:r>
      <w:r w:rsidRPr="00F12C22">
        <w:t xml:space="preserve">) in Australia was estimated </w:t>
      </w:r>
      <w:r w:rsidR="0003373F">
        <w:t xml:space="preserve">by </w:t>
      </w:r>
      <w:r w:rsidRPr="00451D02">
        <w:t xml:space="preserve">Adams </w:t>
      </w:r>
      <w:r w:rsidR="0003373F" w:rsidRPr="00451D02">
        <w:t>(</w:t>
      </w:r>
      <w:r w:rsidRPr="00451D02">
        <w:t>2020). A Markov</w:t>
      </w:r>
      <w:r w:rsidRPr="00F12C22">
        <w:t xml:space="preserve"> model was used to estimate fibrosis progression, primary liver cancer, and liver deaths among the Australian NAFLD population, with changes in incident NAFLD cases based on long‐term trends for changes in the prevalence of obesity. The model forecast the prevalence of NAFLD in Australia </w:t>
      </w:r>
      <w:r w:rsidRPr="00F12C22">
        <w:lastRenderedPageBreak/>
        <w:t xml:space="preserve">to increase by 25% over the decade to 2030 (from 5,551,000 cases in 2019 to 7,024,000 cases in 2030) or from 22.0% (18.8%–25.0%) in 2019 to 23.6% (19.6%–26.5%) by 2030. The model was reliant on imputed prevalence data extrapolated from studies conducted outside Australia </w:t>
      </w:r>
      <w:r w:rsidRPr="00F12C22">
        <w:rPr>
          <w:iCs/>
        </w:rPr>
        <w:t>(GESA 2024). The model parameters are considered to be populated with statistics characterised with a high degree of uncertainty</w:t>
      </w:r>
      <w:r w:rsidRPr="00F12C22">
        <w:rPr>
          <w:i/>
        </w:rPr>
        <w:t>.</w:t>
      </w:r>
      <w:r w:rsidRPr="00F12C22">
        <w:rPr>
          <w:iCs/>
        </w:rPr>
        <w:t xml:space="preserve"> The application cited the same publication with the projected </w:t>
      </w:r>
      <w:r w:rsidRPr="00F12C22">
        <w:t xml:space="preserve">increase in NAFLD </w:t>
      </w:r>
      <w:r w:rsidRPr="00F12C22">
        <w:rPr>
          <w:iCs/>
        </w:rPr>
        <w:t>significant fibrosis</w:t>
      </w:r>
      <w:r w:rsidRPr="00F12C22">
        <w:t xml:space="preserve"> (F2</w:t>
      </w:r>
      <w:r w:rsidRPr="00F12C22">
        <w:rPr>
          <w:iCs/>
        </w:rPr>
        <w:t xml:space="preserve">) </w:t>
      </w:r>
      <w:r w:rsidRPr="00F12C22">
        <w:t xml:space="preserve">stage cases by 50% from 2019 to 2030, while </w:t>
      </w:r>
      <w:r w:rsidR="000A4A3F" w:rsidRPr="00F12C22">
        <w:rPr>
          <w:iCs/>
        </w:rPr>
        <w:t>AF</w:t>
      </w:r>
      <w:r w:rsidRPr="00F12C22">
        <w:t xml:space="preserve"> (F3) stage cases would increase by 70% over the same period</w:t>
      </w:r>
      <w:r w:rsidR="000902F8" w:rsidRPr="00F12C22">
        <w:t>.</w:t>
      </w:r>
    </w:p>
    <w:p w14:paraId="3948C7E6" w14:textId="46FA06FC" w:rsidR="001660E9" w:rsidRPr="00F12C22" w:rsidRDefault="001660E9" w:rsidP="001660E9">
      <w:pPr>
        <w:spacing w:after="240"/>
      </w:pPr>
      <w:r w:rsidRPr="00F12C22">
        <w:t xml:space="preserve">Two population-based cross-sectional studies have evaluated prevalence </w:t>
      </w:r>
      <w:r w:rsidR="005C151A" w:rsidRPr="00F12C22">
        <w:t xml:space="preserve">in Australia </w:t>
      </w:r>
      <w:r w:rsidRPr="00F12C22">
        <w:t>using the validated FLI to identify people with MAFLD. The first of these studies, performed in regional Victoria in 2018 (N=722), reported a high prevalence of 47.2% among a predominantly older White population (</w:t>
      </w:r>
      <w:r w:rsidRPr="00842773">
        <w:t>Kemp 2022</w:t>
      </w:r>
      <w:r w:rsidRPr="00F12C22">
        <w:t xml:space="preserve">). In another 2012 survey, an analysis of the data from 4747 Australian adults (aged 34-97 years) from the Australian Diabetes, Obesity and Lifestyle (AusDiab) study reported a high MAFLD prevalence of 37% defined as FLI &gt;60 alongside metabolic risk factors; the risk of </w:t>
      </w:r>
      <w:r w:rsidR="000A4A3F" w:rsidRPr="00F12C22">
        <w:t>AF</w:t>
      </w:r>
      <w:r w:rsidRPr="00F12C22">
        <w:t xml:space="preserve"> in this MAFLD population was estimated at 61% (</w:t>
      </w:r>
      <w:r w:rsidRPr="00842773">
        <w:t>Farrell 2022</w:t>
      </w:r>
      <w:r w:rsidRPr="00F12C22">
        <w:t xml:space="preserve">). </w:t>
      </w:r>
    </w:p>
    <w:p w14:paraId="3829936C" w14:textId="3FD64029" w:rsidR="001660E9" w:rsidRPr="00F12C22" w:rsidRDefault="000902F8" w:rsidP="001660E9">
      <w:pPr>
        <w:spacing w:after="240"/>
        <w:rPr>
          <w:iCs/>
        </w:rPr>
      </w:pPr>
      <w:r w:rsidRPr="00F12C22">
        <w:rPr>
          <w:iCs/>
        </w:rPr>
        <w:t xml:space="preserve">MSAC </w:t>
      </w:r>
      <w:r w:rsidR="00B14D62" w:rsidRPr="00F12C22">
        <w:rPr>
          <w:iCs/>
        </w:rPr>
        <w:t>application</w:t>
      </w:r>
      <w:r w:rsidRPr="00F12C22">
        <w:rPr>
          <w:iCs/>
        </w:rPr>
        <w:t xml:space="preserve"> </w:t>
      </w:r>
      <w:r w:rsidR="001660E9" w:rsidRPr="00F12C22">
        <w:rPr>
          <w:iCs/>
        </w:rPr>
        <w:t xml:space="preserve">1446 </w:t>
      </w:r>
      <w:r w:rsidRPr="00F12C22">
        <w:rPr>
          <w:iCs/>
        </w:rPr>
        <w:t xml:space="preserve">for </w:t>
      </w:r>
      <w:r w:rsidR="001660E9" w:rsidRPr="00F12C22">
        <w:rPr>
          <w:iCs/>
        </w:rPr>
        <w:t xml:space="preserve">Hepascore </w:t>
      </w:r>
      <w:r w:rsidR="00135B31" w:rsidRPr="00F12C22">
        <w:rPr>
          <w:iCs/>
        </w:rPr>
        <w:t xml:space="preserve">was </w:t>
      </w:r>
      <w:r w:rsidRPr="00F12C22">
        <w:rPr>
          <w:iCs/>
        </w:rPr>
        <w:t xml:space="preserve">considered at the November </w:t>
      </w:r>
      <w:r w:rsidR="001660E9" w:rsidRPr="00F12C22">
        <w:rPr>
          <w:iCs/>
        </w:rPr>
        <w:t>2020</w:t>
      </w:r>
      <w:r w:rsidRPr="00F12C22">
        <w:rPr>
          <w:iCs/>
        </w:rPr>
        <w:t xml:space="preserve"> MSAC meeting</w:t>
      </w:r>
      <w:r w:rsidR="001660E9" w:rsidRPr="00F12C22">
        <w:rPr>
          <w:iCs/>
        </w:rPr>
        <w:t xml:space="preserve"> </w:t>
      </w:r>
      <w:r w:rsidR="00135B31" w:rsidRPr="00F12C22">
        <w:rPr>
          <w:iCs/>
        </w:rPr>
        <w:t xml:space="preserve">and </w:t>
      </w:r>
      <w:r w:rsidR="001660E9" w:rsidRPr="00F12C22">
        <w:rPr>
          <w:iCs/>
        </w:rPr>
        <w:t>included the following estimate</w:t>
      </w:r>
      <w:r w:rsidR="00135B31" w:rsidRPr="00F12C22">
        <w:rPr>
          <w:iCs/>
        </w:rPr>
        <w:t>:</w:t>
      </w:r>
      <w:r w:rsidR="001660E9" w:rsidRPr="00F12C22">
        <w:rPr>
          <w:iCs/>
        </w:rPr>
        <w:t xml:space="preserve"> more than 6 million people in Australia have chronic liver disease, including 300,000 with chronic hepatitis C, 200,000 with chronic hepatitis B, 5.5 million </w:t>
      </w:r>
      <w:r w:rsidR="00135B31" w:rsidRPr="00F12C22">
        <w:rPr>
          <w:iCs/>
        </w:rPr>
        <w:t xml:space="preserve">with </w:t>
      </w:r>
      <w:r w:rsidR="001660E9" w:rsidRPr="00F12C22">
        <w:rPr>
          <w:iCs/>
        </w:rPr>
        <w:t>NAFLD and 4.5 million at</w:t>
      </w:r>
      <w:r w:rsidR="00135B31" w:rsidRPr="00F12C22">
        <w:rPr>
          <w:iCs/>
        </w:rPr>
        <w:t>-</w:t>
      </w:r>
      <w:r w:rsidR="001660E9" w:rsidRPr="00F12C22">
        <w:rPr>
          <w:iCs/>
        </w:rPr>
        <w:t>risk of alcoholic liver disease (</w:t>
      </w:r>
      <w:r w:rsidRPr="00F12C22">
        <w:rPr>
          <w:iCs/>
        </w:rPr>
        <w:t xml:space="preserve">MSAC </w:t>
      </w:r>
      <w:r w:rsidR="001660E9" w:rsidRPr="00F12C22">
        <w:rPr>
          <w:iCs/>
        </w:rPr>
        <w:t xml:space="preserve">1446 PSD p2). NAFLD diagnosis is reliant on excluding alternate causes of liver disease (i.e., alcohol-related fatty liver, viral hepatitis, and drug-induced steatosis). </w:t>
      </w:r>
      <w:r w:rsidRPr="00F12C22">
        <w:rPr>
          <w:iCs/>
        </w:rPr>
        <w:t>The applicant’s</w:t>
      </w:r>
      <w:r w:rsidR="00D05131" w:rsidRPr="00F12C22">
        <w:rPr>
          <w:iCs/>
        </w:rPr>
        <w:t xml:space="preserve"> clinical</w:t>
      </w:r>
      <w:r w:rsidRPr="00F12C22">
        <w:rPr>
          <w:iCs/>
        </w:rPr>
        <w:t xml:space="preserve"> expert</w:t>
      </w:r>
      <w:r w:rsidR="001660E9" w:rsidRPr="00F12C22">
        <w:rPr>
          <w:iCs/>
        </w:rPr>
        <w:t xml:space="preserve"> advised that MAFLD is very common</w:t>
      </w:r>
      <w:r w:rsidR="00D05131" w:rsidRPr="00F12C22">
        <w:rPr>
          <w:iCs/>
        </w:rPr>
        <w:t xml:space="preserve">, </w:t>
      </w:r>
      <w:r w:rsidR="001660E9" w:rsidRPr="00F12C22">
        <w:rPr>
          <w:iCs/>
        </w:rPr>
        <w:t>occurring in ~1 in 4 Australians</w:t>
      </w:r>
      <w:r w:rsidR="00D04924" w:rsidRPr="00F12C22">
        <w:rPr>
          <w:iCs/>
        </w:rPr>
        <w:t xml:space="preserve"> (i.e.</w:t>
      </w:r>
      <w:r w:rsidR="002C442C" w:rsidRPr="00F12C22">
        <w:rPr>
          <w:iCs/>
        </w:rPr>
        <w:t>,</w:t>
      </w:r>
      <w:r w:rsidR="00D04924" w:rsidRPr="00F12C22">
        <w:rPr>
          <w:iCs/>
        </w:rPr>
        <w:t xml:space="preserve"> </w:t>
      </w:r>
      <w:r w:rsidR="001660E9" w:rsidRPr="00F12C22">
        <w:rPr>
          <w:iCs/>
        </w:rPr>
        <w:t xml:space="preserve">~7 million </w:t>
      </w:r>
      <w:r w:rsidRPr="00F12C22">
        <w:rPr>
          <w:iCs/>
        </w:rPr>
        <w:t>people are</w:t>
      </w:r>
      <w:r w:rsidR="001660E9" w:rsidRPr="00F12C22">
        <w:rPr>
          <w:iCs/>
        </w:rPr>
        <w:t xml:space="preserve"> affected with MAFLD in Australia</w:t>
      </w:r>
      <w:r w:rsidR="00D04924" w:rsidRPr="00F12C22">
        <w:rPr>
          <w:iCs/>
        </w:rPr>
        <w:t>)</w:t>
      </w:r>
      <w:r w:rsidR="001660E9" w:rsidRPr="00F12C22">
        <w:rPr>
          <w:iCs/>
        </w:rPr>
        <w:t>. Increase in MAFLD is largely driven by increasing prevalence of T2DM.</w:t>
      </w:r>
      <w:r w:rsidR="001660E9" w:rsidRPr="00F12C22">
        <w:t xml:space="preserve"> A high-quality meta-analysis of 80 quantitative studies involving 49,419 patients with T2DM found the overall prevalence of MAFLD was 55.5%, which was more than two-fold higher than in the general population (GESA</w:t>
      </w:r>
      <w:r w:rsidRPr="00F12C22">
        <w:t xml:space="preserve"> 2024</w:t>
      </w:r>
      <w:r w:rsidR="001660E9" w:rsidRPr="00F12C22">
        <w:t xml:space="preserve">). </w:t>
      </w:r>
    </w:p>
    <w:p w14:paraId="2E0967D5" w14:textId="77777777" w:rsidR="001660E9" w:rsidRPr="00D917C4" w:rsidRDefault="001660E9" w:rsidP="00D917C4">
      <w:pPr>
        <w:pStyle w:val="Heading6"/>
      </w:pPr>
      <w:r w:rsidRPr="00D917C4">
        <w:t>Prevalence of liver fibrosis in the MAFLD population</w:t>
      </w:r>
    </w:p>
    <w:p w14:paraId="39E128CD" w14:textId="2C97E13E" w:rsidR="001660E9" w:rsidRPr="00F12C22" w:rsidRDefault="001660E9" w:rsidP="001660E9">
      <w:pPr>
        <w:rPr>
          <w:b/>
        </w:rPr>
      </w:pPr>
      <w:r w:rsidRPr="00F12C22">
        <w:t>As fat continues to accumulate, MAFLD can progress from simple steatosis (fatty liver) to steatohepatitis, characterised by inflammation and liver cell damage. Persistent inflammation and liver cell damage can lead to the activation of hepatic stellate cells, which produce excess extracellular matrix proteins, resulting in liver fibrosis (</w:t>
      </w:r>
      <w:r w:rsidR="00842773" w:rsidRPr="00842773">
        <w:t xml:space="preserve">Vancells </w:t>
      </w:r>
      <w:r w:rsidR="00842773" w:rsidRPr="00F42687">
        <w:t>Lujan</w:t>
      </w:r>
      <w:r w:rsidR="00842773" w:rsidRPr="00842773">
        <w:t xml:space="preserve"> </w:t>
      </w:r>
      <w:r w:rsidRPr="00842773">
        <w:t>2021</w:t>
      </w:r>
      <w:r w:rsidRPr="00F12C22">
        <w:t xml:space="preserve">) (PICO </w:t>
      </w:r>
      <w:r w:rsidR="002A579C" w:rsidRPr="00F12C22">
        <w:t>Set 1</w:t>
      </w:r>
      <w:r w:rsidRPr="00F12C22">
        <w:t>, p2</w:t>
      </w:r>
      <w:r w:rsidR="002A579C" w:rsidRPr="00F12C22">
        <w:t>; PICO Set 2, p2</w:t>
      </w:r>
      <w:r w:rsidRPr="00F12C22">
        <w:t>). Using liver biopsy as a gold diagnostic standard, liver fibrosis is typically quantified in its severity on a graded scale from F0 (no fibrosis) to F1 (mild fibrosis), F2 (significant fibrosis), F3 (</w:t>
      </w:r>
      <w:r w:rsidR="000A4A3F" w:rsidRPr="00F12C22">
        <w:t>AF</w:t>
      </w:r>
      <w:r w:rsidRPr="00F12C22">
        <w:t>) and F4 (equivalent to cirrhosis) (</w:t>
      </w:r>
      <w:r w:rsidRPr="00842773">
        <w:t>Bedossa 2014</w:t>
      </w:r>
      <w:r w:rsidRPr="00F12C22">
        <w:t>). High fibrosis stages are associated with increased liver-related morbidity and all-cause mortality (</w:t>
      </w:r>
      <w:r w:rsidRPr="00842773">
        <w:t>Vilar-Gomez 2018</w:t>
      </w:r>
      <w:r w:rsidRPr="00F12C22">
        <w:t xml:space="preserve">). Patients with </w:t>
      </w:r>
      <w:r w:rsidR="000A4A3F" w:rsidRPr="00F12C22">
        <w:t>AF</w:t>
      </w:r>
      <w:r w:rsidRPr="00F12C22">
        <w:t xml:space="preserve"> are at a higher risk of liver-related events, including cirrhosis and hepatocellular carcinoma (HCC), compared to those with lower fibrosis stages (F0-F2) (PICO</w:t>
      </w:r>
      <w:r w:rsidR="002A579C" w:rsidRPr="00F12C22">
        <w:t xml:space="preserve"> Set 1</w:t>
      </w:r>
      <w:r w:rsidRPr="00F12C22">
        <w:t>, p3</w:t>
      </w:r>
      <w:r w:rsidR="002A579C" w:rsidRPr="00F12C22">
        <w:t>; PICO Set 2</w:t>
      </w:r>
      <w:r w:rsidR="005D4DF2" w:rsidRPr="00F12C22">
        <w:t>, p3</w:t>
      </w:r>
      <w:r w:rsidRPr="00F12C22">
        <w:t>). However, reflecting a complex aetiology of MAFLD, while high-risk for fibrosis was the greatest influence over liver-related mortality (</w:t>
      </w:r>
      <w:r w:rsidR="00C67299" w:rsidRPr="00F12C22">
        <w:t>hazard ratio [</w:t>
      </w:r>
      <w:r w:rsidRPr="00F12C22">
        <w:t>HR</w:t>
      </w:r>
      <w:r w:rsidR="00C67299" w:rsidRPr="00F12C22">
        <w:t>]</w:t>
      </w:r>
      <w:r w:rsidRPr="00F12C22">
        <w:t xml:space="preserve"> 17.15, 95% </w:t>
      </w:r>
      <w:r w:rsidR="00C67299" w:rsidRPr="00F12C22">
        <w:t>confidence interval [</w:t>
      </w:r>
      <w:r w:rsidRPr="00F12C22">
        <w:t>CI</w:t>
      </w:r>
      <w:r w:rsidR="00C67299" w:rsidRPr="00F12C22">
        <w:t>]</w:t>
      </w:r>
      <w:r w:rsidRPr="00F12C22">
        <w:rPr>
          <w:b/>
        </w:rPr>
        <w:t>:</w:t>
      </w:r>
      <w:r w:rsidRPr="00F12C22">
        <w:t xml:space="preserve"> 4.55</w:t>
      </w:r>
      <w:r w:rsidRPr="00F12C22">
        <w:rPr>
          <w:b/>
        </w:rPr>
        <w:t xml:space="preserve">, </w:t>
      </w:r>
      <w:r w:rsidRPr="00F12C22">
        <w:t>64.65), the other covariates with most influence on overall mortality were alcohol-related liver disease (HR 4.50, 95% CI</w:t>
      </w:r>
      <w:r w:rsidRPr="00F12C22">
        <w:rPr>
          <w:b/>
        </w:rPr>
        <w:t>:</w:t>
      </w:r>
      <w:r w:rsidRPr="00F12C22">
        <w:t xml:space="preserve"> 1.89</w:t>
      </w:r>
      <w:r w:rsidRPr="00F12C22">
        <w:rPr>
          <w:b/>
        </w:rPr>
        <w:t xml:space="preserve">, </w:t>
      </w:r>
      <w:r w:rsidRPr="00F12C22">
        <w:t>10.75) and chronic kidney disease (HR 2.92, 95% CI</w:t>
      </w:r>
      <w:r w:rsidRPr="00F12C22">
        <w:rPr>
          <w:b/>
        </w:rPr>
        <w:t>:</w:t>
      </w:r>
      <w:r w:rsidRPr="00F12C22">
        <w:t xml:space="preserve"> 1.21</w:t>
      </w:r>
      <w:r w:rsidRPr="00F12C22">
        <w:rPr>
          <w:b/>
        </w:rPr>
        <w:t xml:space="preserve">, </w:t>
      </w:r>
      <w:r w:rsidRPr="00F12C22">
        <w:t>7.01) (</w:t>
      </w:r>
      <w:r w:rsidRPr="00842773">
        <w:t>Vaz 2023a</w:t>
      </w:r>
      <w:r w:rsidRPr="00F12C22">
        <w:t>).</w:t>
      </w:r>
    </w:p>
    <w:p w14:paraId="0DE712D2" w14:textId="5358ABC3" w:rsidR="001660E9" w:rsidRPr="00F12C22" w:rsidRDefault="001660E9" w:rsidP="001660E9">
      <w:pPr>
        <w:rPr>
          <w:b/>
        </w:rPr>
      </w:pPr>
      <w:r w:rsidRPr="00F12C22">
        <w:t xml:space="preserve">The prevalence of </w:t>
      </w:r>
      <w:r w:rsidR="000A4A3F" w:rsidRPr="00F12C22">
        <w:t>AF</w:t>
      </w:r>
      <w:r w:rsidRPr="00F12C22">
        <w:t xml:space="preserve"> (i.e.</w:t>
      </w:r>
      <w:r w:rsidR="00D464A3">
        <w:t>,</w:t>
      </w:r>
      <w:r w:rsidRPr="00F12C22">
        <w:t xml:space="preserve"> stages F3 and F4) among people with MAFLD in</w:t>
      </w:r>
      <w:r w:rsidR="005D4DF2" w:rsidRPr="00F12C22">
        <w:t xml:space="preserve"> </w:t>
      </w:r>
      <w:r w:rsidRPr="00F12C22">
        <w:t xml:space="preserve">general population studies from overseas ranges from 3.0% to 7.4% (GESA </w:t>
      </w:r>
      <w:r w:rsidR="005D4DF2" w:rsidRPr="00F12C22">
        <w:t>2024</w:t>
      </w:r>
      <w:r w:rsidRPr="00F12C22">
        <w:t>), with a prevalence of 7.6% seen in the UK primary care population (</w:t>
      </w:r>
      <w:r w:rsidRPr="00842773">
        <w:t>Armstrong 2012</w:t>
      </w:r>
      <w:r w:rsidRPr="00F12C22">
        <w:t xml:space="preserve">). In studies targeting people at risk of NAFLD, the prevalence of </w:t>
      </w:r>
      <w:r w:rsidR="000A4A3F" w:rsidRPr="00F12C22">
        <w:t>AF</w:t>
      </w:r>
      <w:r w:rsidRPr="00F12C22">
        <w:t xml:space="preserve"> ranged </w:t>
      </w:r>
      <w:r w:rsidRPr="00F12C22">
        <w:lastRenderedPageBreak/>
        <w:t>from 3.7% to 30% (</w:t>
      </w:r>
      <w:r w:rsidRPr="00A42A60">
        <w:t>Caballeria 2018</w:t>
      </w:r>
      <w:r w:rsidRPr="00F12C22">
        <w:t xml:space="preserve">). </w:t>
      </w:r>
      <w:r w:rsidR="007D388C">
        <w:t>The v</w:t>
      </w:r>
      <w:r w:rsidRPr="00F12C22">
        <w:t xml:space="preserve">ariability in </w:t>
      </w:r>
      <w:r w:rsidR="00C22790" w:rsidRPr="00F12C22">
        <w:t xml:space="preserve">these </w:t>
      </w:r>
      <w:r w:rsidRPr="00F12C22">
        <w:t xml:space="preserve">estimates likely </w:t>
      </w:r>
      <w:r w:rsidR="00C22790" w:rsidRPr="00F12C22">
        <w:t>result</w:t>
      </w:r>
      <w:r w:rsidR="007D388C">
        <w:t>ed</w:t>
      </w:r>
      <w:r w:rsidR="00C22790" w:rsidRPr="00F12C22">
        <w:t xml:space="preserve"> from </w:t>
      </w:r>
      <w:r w:rsidR="007D388C">
        <w:t xml:space="preserve">the </w:t>
      </w:r>
      <w:r w:rsidR="00C22790" w:rsidRPr="00F12C22">
        <w:t xml:space="preserve">use of different </w:t>
      </w:r>
      <w:r w:rsidRPr="00F12C22">
        <w:t xml:space="preserve">criteria </w:t>
      </w:r>
      <w:r w:rsidR="00C22790" w:rsidRPr="00F12C22">
        <w:t xml:space="preserve">to determine </w:t>
      </w:r>
      <w:r w:rsidRPr="00F12C22">
        <w:t xml:space="preserve">“being at risk of liver disease” and differences in both the methods of </w:t>
      </w:r>
      <w:r w:rsidR="000A4A3F" w:rsidRPr="00F12C22">
        <w:t>AF</w:t>
      </w:r>
      <w:r w:rsidRPr="00F12C22">
        <w:t xml:space="preserve"> diagnosis and the criteria used for risk assessment. </w:t>
      </w:r>
      <w:r w:rsidR="00464FE0" w:rsidRPr="00F12C22">
        <w:t>N</w:t>
      </w:r>
      <w:r w:rsidRPr="00F12C22">
        <w:t>o Australian studies estimat</w:t>
      </w:r>
      <w:r w:rsidR="0068771B" w:rsidRPr="00F12C22">
        <w:t>ing</w:t>
      </w:r>
      <w:r w:rsidRPr="00F12C22">
        <w:t xml:space="preserve"> prevalence of </w:t>
      </w:r>
      <w:r w:rsidR="000A4A3F" w:rsidRPr="00F12C22">
        <w:t>AF</w:t>
      </w:r>
      <w:r w:rsidR="00F7399A" w:rsidRPr="00F12C22">
        <w:t xml:space="preserve"> </w:t>
      </w:r>
      <w:r w:rsidRPr="00F12C22">
        <w:t>in the MAFLD population</w:t>
      </w:r>
      <w:r w:rsidR="00464FE0" w:rsidRPr="00F12C22">
        <w:t xml:space="preserve"> were identified;</w:t>
      </w:r>
      <w:r w:rsidRPr="00F12C22">
        <w:t xml:space="preserve"> all published data relate</w:t>
      </w:r>
      <w:r w:rsidR="006E47CB" w:rsidRPr="00F12C22">
        <w:t>s</w:t>
      </w:r>
      <w:r w:rsidRPr="00F12C22">
        <w:t xml:space="preserve"> to earlier studies conducted in the NAFLD population.</w:t>
      </w:r>
    </w:p>
    <w:p w14:paraId="74C9CDAA" w14:textId="59A8D5AC" w:rsidR="001660E9" w:rsidRPr="00F12C22" w:rsidRDefault="001660E9" w:rsidP="001660E9">
      <w:pPr>
        <w:rPr>
          <w:b/>
        </w:rPr>
      </w:pPr>
      <w:r w:rsidRPr="00F12C22">
        <w:t>In one Australian study</w:t>
      </w:r>
      <w:r w:rsidR="00852FBA" w:rsidRPr="00F12C22">
        <w:t>,</w:t>
      </w:r>
      <w:r w:rsidRPr="00F12C22">
        <w:t xml:space="preserve"> prevalence of </w:t>
      </w:r>
      <w:r w:rsidR="000A4A3F" w:rsidRPr="00F12C22">
        <w:t>AF</w:t>
      </w:r>
      <w:r w:rsidRPr="00F12C22">
        <w:t xml:space="preserve"> in </w:t>
      </w:r>
      <w:r w:rsidR="005D4DF2" w:rsidRPr="00F12C22">
        <w:t xml:space="preserve">a </w:t>
      </w:r>
      <w:r w:rsidRPr="00F12C22">
        <w:t>NAFLD population was estimated using repeated comparative cross‐sectional studies in four towns in regional Victoria</w:t>
      </w:r>
      <w:r w:rsidR="005D4DF2" w:rsidRPr="00F12C22">
        <w:t xml:space="preserve"> (</w:t>
      </w:r>
      <w:r w:rsidR="005D4DF2" w:rsidRPr="00A42A60">
        <w:t>Vaz 2023b</w:t>
      </w:r>
      <w:r w:rsidR="005D4DF2" w:rsidRPr="00F12C22">
        <w:t>)</w:t>
      </w:r>
      <w:r w:rsidRPr="00F12C22">
        <w:t>. Fatty liver in the absence of excess alcohol and viral hepatitis was diagnosed according to FLI score ≥60, calculated from body mass index (BMI), waist circumference, gamma‐glutamyl transferase (GGT), and fasting triglycerides. Over 15 years, crude prevalence of NAFLD increased from 32.7% to 38.8% (P &lt;0.01), while age‐standardi</w:t>
      </w:r>
      <w:r w:rsidR="005D4DF2" w:rsidRPr="00F12C22">
        <w:t>s</w:t>
      </w:r>
      <w:r w:rsidRPr="00F12C22">
        <w:t>ed/sex‐standardi</w:t>
      </w:r>
      <w:r w:rsidR="005D4DF2" w:rsidRPr="00F12C22">
        <w:t>s</w:t>
      </w:r>
      <w:r w:rsidRPr="00F12C22">
        <w:t xml:space="preserve">ed prevalence increased from 32.4% to 35.4% (P &lt;0.01). </w:t>
      </w:r>
    </w:p>
    <w:p w14:paraId="4DE11DA3" w14:textId="77ACB6B8" w:rsidR="002B5EA3" w:rsidRPr="00D917C4" w:rsidRDefault="00B84875" w:rsidP="00D917C4">
      <w:pPr>
        <w:pStyle w:val="Heading4"/>
      </w:pPr>
      <w:r w:rsidRPr="00D917C4">
        <w:t>Assessment of liver fibrosis</w:t>
      </w:r>
    </w:p>
    <w:p w14:paraId="6524A01A" w14:textId="56E0DF25" w:rsidR="002B5EA3" w:rsidRDefault="002B5EA3" w:rsidP="002B5EA3">
      <w:r w:rsidRPr="00F12C22">
        <w:t xml:space="preserve">In addition to a diagnosis of MAFLD, patients considered in this application must have a FIB-4 Index test result. </w:t>
      </w:r>
      <w:r w:rsidR="00693CD6" w:rsidRPr="00F12C22">
        <w:t xml:space="preserve">GESA recommends a </w:t>
      </w:r>
      <w:r w:rsidR="00034289" w:rsidRPr="00F12C22">
        <w:t>non-invasive ‘first-line</w:t>
      </w:r>
      <w:r w:rsidR="000D0176" w:rsidRPr="00F12C22">
        <w:t>’</w:t>
      </w:r>
      <w:r w:rsidR="00034289" w:rsidRPr="00F12C22">
        <w:t xml:space="preserve"> test such as</w:t>
      </w:r>
      <w:r w:rsidR="00E17887">
        <w:t xml:space="preserve"> FIB-4</w:t>
      </w:r>
      <w:r w:rsidR="00034289" w:rsidRPr="00F12C22">
        <w:t xml:space="preserve"> to help rule out the risk of advanced liver fibrosis in </w:t>
      </w:r>
      <w:r w:rsidR="000D0176" w:rsidRPr="00F12C22">
        <w:t>people with MAFLD</w:t>
      </w:r>
      <w:r w:rsidR="003057DE">
        <w:t xml:space="preserve"> (see Attachment 1)</w:t>
      </w:r>
      <w:r w:rsidR="000D0176" w:rsidRPr="00F12C22">
        <w:t>.</w:t>
      </w:r>
    </w:p>
    <w:p w14:paraId="3AF837F9" w14:textId="7C208849" w:rsidR="00AC67AD" w:rsidRPr="00AC67AD" w:rsidRDefault="00AC67AD" w:rsidP="002B5EA3">
      <w:pPr>
        <w:rPr>
          <w:i/>
          <w:iCs/>
        </w:rPr>
      </w:pPr>
      <w:r w:rsidRPr="00AC67AD">
        <w:rPr>
          <w:i/>
          <w:iCs/>
        </w:rPr>
        <w:t xml:space="preserve">PASC noted that the definition of the eligible population, based on the non-invasive FIB-4 index, was not entirely consistent with the GESA guidelines, where non-invasive tests </w:t>
      </w:r>
      <w:r w:rsidRPr="003F3075">
        <w:rPr>
          <w:i/>
        </w:rPr>
        <w:t>such as</w:t>
      </w:r>
      <w:r w:rsidRPr="00AC67AD">
        <w:rPr>
          <w:i/>
          <w:iCs/>
        </w:rPr>
        <w:t xml:space="preserve"> (i.e., not limited to) FIB-4 were recommended.</w:t>
      </w:r>
    </w:p>
    <w:p w14:paraId="7C148617" w14:textId="074B41D6" w:rsidR="002B5EA3" w:rsidRPr="00F12C22" w:rsidRDefault="002B5EA3" w:rsidP="00492C51">
      <w:pPr>
        <w:rPr>
          <w:iCs/>
        </w:rPr>
      </w:pPr>
      <w:r w:rsidRPr="00F12C22">
        <w:rPr>
          <w:iCs/>
        </w:rPr>
        <w:t>The FIB-4 Index is a non-commercial, low-cost, non-invasive test (NIT) using common laboratory test results that are widely available in clinical practice (AST, ALT and platelet count). FIB-4 can be easily performed using online calculators and is calculated as:</w:t>
      </w:r>
    </w:p>
    <w:p w14:paraId="2A8DF174" w14:textId="5C583954" w:rsidR="002B5EA3" w:rsidRPr="00F12C22" w:rsidRDefault="002B5EA3" w:rsidP="002B5EA3">
      <w:pPr>
        <w:spacing w:after="240"/>
        <w:jc w:val="center"/>
        <w:rPr>
          <w:iCs/>
        </w:rPr>
      </w:pPr>
      <w:r w:rsidRPr="00F12C22">
        <w:rPr>
          <w:iCs/>
        </w:rPr>
        <w:t>(age [years] × AST [units per litre or U/L])/(platelet count [10</w:t>
      </w:r>
      <w:r w:rsidRPr="00F12C22">
        <w:rPr>
          <w:iCs/>
          <w:vertAlign w:val="superscript"/>
        </w:rPr>
        <w:t>9</w:t>
      </w:r>
      <w:r w:rsidRPr="00F12C22">
        <w:rPr>
          <w:iCs/>
        </w:rPr>
        <w:t>/L] × √ALT [U/L])</w:t>
      </w:r>
    </w:p>
    <w:p w14:paraId="6F075DF9" w14:textId="3D1A12A2" w:rsidR="002B5EA3" w:rsidRPr="00F12C22" w:rsidRDefault="002B5EA3" w:rsidP="002B5EA3">
      <w:pPr>
        <w:spacing w:after="240"/>
        <w:rPr>
          <w:iCs/>
        </w:rPr>
      </w:pPr>
      <w:r w:rsidRPr="00F12C22">
        <w:rPr>
          <w:iCs/>
        </w:rPr>
        <w:t xml:space="preserve">FIB-4 has been broadly validated as an accurate predictor of </w:t>
      </w:r>
      <w:r w:rsidR="000A4A3F" w:rsidRPr="00F12C22">
        <w:rPr>
          <w:iCs/>
        </w:rPr>
        <w:t>AF</w:t>
      </w:r>
      <w:r w:rsidR="00082FBF" w:rsidRPr="00F12C22">
        <w:rPr>
          <w:iCs/>
        </w:rPr>
        <w:t xml:space="preserve">. </w:t>
      </w:r>
      <w:r w:rsidR="00082FBF" w:rsidRPr="00A42A60">
        <w:rPr>
          <w:iCs/>
        </w:rPr>
        <w:t>Mozes (2022)</w:t>
      </w:r>
      <w:r w:rsidR="00082FBF" w:rsidRPr="00F12C22">
        <w:rPr>
          <w:iCs/>
        </w:rPr>
        <w:t xml:space="preserve"> reported on a</w:t>
      </w:r>
      <w:r w:rsidR="00243DF5" w:rsidRPr="00F12C22">
        <w:rPr>
          <w:iCs/>
        </w:rPr>
        <w:t>n</w:t>
      </w:r>
      <w:r w:rsidR="00082FBF" w:rsidRPr="00F12C22">
        <w:rPr>
          <w:iCs/>
        </w:rPr>
        <w:t xml:space="preserve"> </w:t>
      </w:r>
      <w:r w:rsidR="00243DF5" w:rsidRPr="00F12C22">
        <w:rPr>
          <w:iCs/>
        </w:rPr>
        <w:t xml:space="preserve">individual patient data </w:t>
      </w:r>
      <w:r w:rsidR="00082FBF" w:rsidRPr="00F12C22">
        <w:rPr>
          <w:iCs/>
        </w:rPr>
        <w:t xml:space="preserve">meta-analysis of </w:t>
      </w:r>
      <w:r w:rsidR="00243DF5" w:rsidRPr="00F12C22">
        <w:rPr>
          <w:iCs/>
        </w:rPr>
        <w:t xml:space="preserve">37 studies involving 5735 </w:t>
      </w:r>
      <w:r w:rsidR="00082FBF" w:rsidRPr="00F12C22">
        <w:rPr>
          <w:iCs/>
        </w:rPr>
        <w:t>patients</w:t>
      </w:r>
      <w:r w:rsidR="005924ED">
        <w:rPr>
          <w:iCs/>
        </w:rPr>
        <w:t>,</w:t>
      </w:r>
      <w:r w:rsidR="00243DF5" w:rsidRPr="00F12C22">
        <w:rPr>
          <w:iCs/>
        </w:rPr>
        <w:t xml:space="preserve"> resulting</w:t>
      </w:r>
      <w:r w:rsidRPr="00F12C22">
        <w:rPr>
          <w:iCs/>
        </w:rPr>
        <w:t xml:space="preserve"> </w:t>
      </w:r>
      <w:r w:rsidR="00243DF5" w:rsidRPr="00F12C22">
        <w:rPr>
          <w:iCs/>
        </w:rPr>
        <w:t xml:space="preserve">in </w:t>
      </w:r>
      <w:r w:rsidRPr="00F12C22">
        <w:rPr>
          <w:iCs/>
        </w:rPr>
        <w:t>a summary AUC statistic of 0.76</w:t>
      </w:r>
      <w:r w:rsidR="00243DF5" w:rsidRPr="00F12C22">
        <w:rPr>
          <w:iCs/>
        </w:rPr>
        <w:t xml:space="preserve"> </w:t>
      </w:r>
      <w:r w:rsidR="004D4632" w:rsidRPr="00F12C22">
        <w:rPr>
          <w:iCs/>
        </w:rPr>
        <w:t>(95% CI</w:t>
      </w:r>
      <w:r w:rsidR="00BF2038" w:rsidRPr="00F12C22">
        <w:rPr>
          <w:iCs/>
        </w:rPr>
        <w:t>:</w:t>
      </w:r>
      <w:r w:rsidR="004D4632" w:rsidRPr="00F12C22">
        <w:rPr>
          <w:iCs/>
        </w:rPr>
        <w:t xml:space="preserve"> 0.74</w:t>
      </w:r>
      <w:r w:rsidR="00BF2038" w:rsidRPr="00F12C22">
        <w:rPr>
          <w:iCs/>
        </w:rPr>
        <w:t xml:space="preserve">, </w:t>
      </w:r>
      <w:r w:rsidR="004D4632" w:rsidRPr="00F12C22">
        <w:rPr>
          <w:iCs/>
        </w:rPr>
        <w:t>0.77)</w:t>
      </w:r>
      <w:r w:rsidR="00945DC9" w:rsidRPr="00F12C22">
        <w:rPr>
          <w:iCs/>
        </w:rPr>
        <w:t xml:space="preserve"> </w:t>
      </w:r>
      <w:r w:rsidR="00243DF5" w:rsidRPr="00F12C22">
        <w:rPr>
          <w:iCs/>
        </w:rPr>
        <w:t>for FIB-4</w:t>
      </w:r>
      <w:r w:rsidRPr="00F12C22">
        <w:rPr>
          <w:iCs/>
        </w:rPr>
        <w:t>.</w:t>
      </w:r>
      <w:r w:rsidRPr="00F12C22">
        <w:t xml:space="preserve"> </w:t>
      </w:r>
      <w:r w:rsidR="00373A22" w:rsidRPr="00F12C22">
        <w:rPr>
          <w:iCs/>
        </w:rPr>
        <w:t>GESA (2024</w:t>
      </w:r>
      <w:r w:rsidR="00E60360" w:rsidRPr="00F12C22">
        <w:rPr>
          <w:iCs/>
        </w:rPr>
        <w:t>, p23</w:t>
      </w:r>
      <w:r w:rsidR="00373A22" w:rsidRPr="00F12C22">
        <w:rPr>
          <w:iCs/>
        </w:rPr>
        <w:t>) states</w:t>
      </w:r>
      <w:r w:rsidRPr="00F12C22">
        <w:rPr>
          <w:iCs/>
        </w:rPr>
        <w:t xml:space="preserve"> </w:t>
      </w:r>
      <w:r w:rsidR="005D6C9B" w:rsidRPr="00F12C22">
        <w:rPr>
          <w:iCs/>
        </w:rPr>
        <w:t>‘</w:t>
      </w:r>
      <w:r w:rsidRPr="00F12C22">
        <w:rPr>
          <w:iCs/>
        </w:rPr>
        <w:t>interpretation of FIB-4 is aided by lower and upper cut-offs, which translate to low and high risk, respectively, of advanced liver fibrosis. A lower FIB-4 score cut-off of 1.3 is 74% (95% CI</w:t>
      </w:r>
      <w:r w:rsidR="00BF2038" w:rsidRPr="00F12C22">
        <w:rPr>
          <w:iCs/>
        </w:rPr>
        <w:t>:</w:t>
      </w:r>
      <w:r w:rsidRPr="00F12C22">
        <w:rPr>
          <w:iCs/>
        </w:rPr>
        <w:t xml:space="preserve"> 72%</w:t>
      </w:r>
      <w:r w:rsidR="00BF2038" w:rsidRPr="00F12C22">
        <w:rPr>
          <w:iCs/>
        </w:rPr>
        <w:t xml:space="preserve">, </w:t>
      </w:r>
      <w:r w:rsidRPr="00F12C22">
        <w:rPr>
          <w:iCs/>
        </w:rPr>
        <w:t xml:space="preserve">76%) sensitive for the diagnosis of </w:t>
      </w:r>
      <w:r w:rsidR="000A4A3F" w:rsidRPr="00F12C22">
        <w:rPr>
          <w:iCs/>
        </w:rPr>
        <w:t>AF</w:t>
      </w:r>
      <w:r w:rsidRPr="00F12C22">
        <w:rPr>
          <w:iCs/>
        </w:rPr>
        <w:t>, whereas a cut-off of 2.67 is 94% (95% CI</w:t>
      </w:r>
      <w:r w:rsidR="00BF2038" w:rsidRPr="00F12C22">
        <w:rPr>
          <w:iCs/>
        </w:rPr>
        <w:t>:</w:t>
      </w:r>
      <w:r w:rsidRPr="00F12C22">
        <w:rPr>
          <w:iCs/>
        </w:rPr>
        <w:t xml:space="preserve"> 93%</w:t>
      </w:r>
      <w:r w:rsidR="00BF2038" w:rsidRPr="00F12C22">
        <w:rPr>
          <w:iCs/>
        </w:rPr>
        <w:t xml:space="preserve">, </w:t>
      </w:r>
      <w:r w:rsidRPr="00F12C22">
        <w:rPr>
          <w:iCs/>
        </w:rPr>
        <w:t>94%) specific. Results between these cut-offs are indeterminate</w:t>
      </w:r>
      <w:r w:rsidR="005D6C9B" w:rsidRPr="00F12C22">
        <w:rPr>
          <w:iCs/>
        </w:rPr>
        <w:t>’</w:t>
      </w:r>
      <w:r w:rsidRPr="00F12C22">
        <w:rPr>
          <w:iCs/>
        </w:rPr>
        <w:t xml:space="preserve">. </w:t>
      </w:r>
      <w:r w:rsidR="0097552A" w:rsidRPr="00F12C22">
        <w:rPr>
          <w:iCs/>
        </w:rPr>
        <w:t>T</w:t>
      </w:r>
      <w:r w:rsidRPr="00F12C22">
        <w:rPr>
          <w:iCs/>
        </w:rPr>
        <w:t xml:space="preserve">he prevalence of </w:t>
      </w:r>
      <w:r w:rsidR="000A4A3F" w:rsidRPr="00F12C22">
        <w:rPr>
          <w:iCs/>
        </w:rPr>
        <w:t>AF</w:t>
      </w:r>
      <w:r w:rsidRPr="00F12C22">
        <w:rPr>
          <w:iCs/>
        </w:rPr>
        <w:t xml:space="preserve"> is relatively low</w:t>
      </w:r>
      <w:r w:rsidR="0097552A" w:rsidRPr="00F12C22">
        <w:rPr>
          <w:iCs/>
        </w:rPr>
        <w:t xml:space="preserve"> </w:t>
      </w:r>
      <w:r w:rsidR="006000BC" w:rsidRPr="00F12C22">
        <w:rPr>
          <w:iCs/>
        </w:rPr>
        <w:t xml:space="preserve">(between 5% and 10%) </w:t>
      </w:r>
      <w:r w:rsidR="0097552A" w:rsidRPr="00F12C22">
        <w:rPr>
          <w:iCs/>
        </w:rPr>
        <w:t>in a primary care population</w:t>
      </w:r>
      <w:r w:rsidR="00B90F33">
        <w:rPr>
          <w:iCs/>
        </w:rPr>
        <w:t xml:space="preserve"> (relevant to PICO set 1)</w:t>
      </w:r>
      <w:r w:rsidR="00FE05D9">
        <w:rPr>
          <w:iCs/>
        </w:rPr>
        <w:t>, and</w:t>
      </w:r>
      <w:r w:rsidR="006000BC" w:rsidRPr="00F12C22">
        <w:rPr>
          <w:iCs/>
        </w:rPr>
        <w:t xml:space="preserve"> </w:t>
      </w:r>
      <w:r w:rsidRPr="00F12C22">
        <w:rPr>
          <w:iCs/>
        </w:rPr>
        <w:t xml:space="preserve">the </w:t>
      </w:r>
      <w:r w:rsidR="006000BC" w:rsidRPr="00F12C22">
        <w:rPr>
          <w:iCs/>
        </w:rPr>
        <w:t>negative predictive value (</w:t>
      </w:r>
      <w:r w:rsidRPr="00F12C22">
        <w:rPr>
          <w:iCs/>
        </w:rPr>
        <w:t>NPV</w:t>
      </w:r>
      <w:r w:rsidR="006000BC" w:rsidRPr="00F12C22">
        <w:rPr>
          <w:iCs/>
        </w:rPr>
        <w:t>)</w:t>
      </w:r>
      <w:r w:rsidRPr="00F12C22">
        <w:rPr>
          <w:iCs/>
        </w:rPr>
        <w:t xml:space="preserve"> of a FIB-4 score &lt;1.3 is 95%–97%, highlighting its </w:t>
      </w:r>
      <w:r w:rsidR="006000BC" w:rsidRPr="00F12C22">
        <w:rPr>
          <w:iCs/>
        </w:rPr>
        <w:t>ability to</w:t>
      </w:r>
      <w:r w:rsidRPr="00F12C22">
        <w:rPr>
          <w:iCs/>
        </w:rPr>
        <w:t xml:space="preserve"> exclud</w:t>
      </w:r>
      <w:r w:rsidR="006000BC" w:rsidRPr="00F12C22">
        <w:rPr>
          <w:iCs/>
        </w:rPr>
        <w:t>e</w:t>
      </w:r>
      <w:r w:rsidRPr="00F12C22">
        <w:rPr>
          <w:iCs/>
        </w:rPr>
        <w:t xml:space="preserve"> patients with </w:t>
      </w:r>
      <w:r w:rsidR="000A4A3F" w:rsidRPr="00F12C22">
        <w:rPr>
          <w:iCs/>
        </w:rPr>
        <w:t>AF</w:t>
      </w:r>
      <w:r w:rsidR="00423E2E" w:rsidRPr="00F12C22">
        <w:rPr>
          <w:iCs/>
        </w:rPr>
        <w:t>;</w:t>
      </w:r>
      <w:r w:rsidRPr="00F12C22">
        <w:rPr>
          <w:iCs/>
        </w:rPr>
        <w:t xml:space="preserve"> </w:t>
      </w:r>
      <w:r w:rsidR="006000BC" w:rsidRPr="00F12C22">
        <w:rPr>
          <w:iCs/>
        </w:rPr>
        <w:t>however</w:t>
      </w:r>
      <w:r w:rsidR="00423E2E" w:rsidRPr="00F12C22">
        <w:rPr>
          <w:iCs/>
        </w:rPr>
        <w:t>,</w:t>
      </w:r>
      <w:r w:rsidR="006000BC" w:rsidRPr="00F12C22">
        <w:rPr>
          <w:iCs/>
        </w:rPr>
        <w:t xml:space="preserve"> </w:t>
      </w:r>
      <w:r w:rsidRPr="00F12C22">
        <w:rPr>
          <w:iCs/>
        </w:rPr>
        <w:t xml:space="preserve">the </w:t>
      </w:r>
      <w:r w:rsidR="006000BC" w:rsidRPr="00F12C22">
        <w:rPr>
          <w:iCs/>
        </w:rPr>
        <w:t>positive predictive value (</w:t>
      </w:r>
      <w:r w:rsidRPr="00F12C22">
        <w:rPr>
          <w:iCs/>
        </w:rPr>
        <w:t>PPV</w:t>
      </w:r>
      <w:r w:rsidR="006000BC" w:rsidRPr="00F12C22">
        <w:rPr>
          <w:iCs/>
        </w:rPr>
        <w:t>)</w:t>
      </w:r>
      <w:r w:rsidRPr="00F12C22">
        <w:rPr>
          <w:iCs/>
        </w:rPr>
        <w:t xml:space="preserve"> of a FIB-4 score &gt;2.67 is only 24%–40% in primary care settings, </w:t>
      </w:r>
      <w:r w:rsidR="006000BC" w:rsidRPr="00F12C22">
        <w:rPr>
          <w:iCs/>
        </w:rPr>
        <w:t>indicating</w:t>
      </w:r>
      <w:r w:rsidRPr="00F12C22">
        <w:rPr>
          <w:iCs/>
        </w:rPr>
        <w:t xml:space="preserve"> </w:t>
      </w:r>
      <w:r w:rsidR="006000BC" w:rsidRPr="00F12C22">
        <w:rPr>
          <w:iCs/>
        </w:rPr>
        <w:t>a</w:t>
      </w:r>
      <w:r w:rsidRPr="00F12C22">
        <w:rPr>
          <w:iCs/>
        </w:rPr>
        <w:t xml:space="preserve"> need for further confirmatory testing (</w:t>
      </w:r>
      <w:r w:rsidR="006000BC" w:rsidRPr="00F12C22">
        <w:rPr>
          <w:iCs/>
        </w:rPr>
        <w:t>GESA 2024</w:t>
      </w:r>
      <w:r w:rsidRPr="00F12C22">
        <w:rPr>
          <w:iCs/>
        </w:rPr>
        <w:t xml:space="preserve">). In fact, </w:t>
      </w:r>
      <w:r w:rsidR="00213BC9" w:rsidRPr="00F12C22">
        <w:rPr>
          <w:iCs/>
        </w:rPr>
        <w:t>due to</w:t>
      </w:r>
      <w:r w:rsidRPr="00F12C22">
        <w:rPr>
          <w:iCs/>
        </w:rPr>
        <w:t xml:space="preserve"> </w:t>
      </w:r>
      <w:r w:rsidR="006000BC" w:rsidRPr="00F12C22">
        <w:rPr>
          <w:iCs/>
        </w:rPr>
        <w:t>the</w:t>
      </w:r>
      <w:r w:rsidRPr="00F12C22">
        <w:rPr>
          <w:iCs/>
        </w:rPr>
        <w:t xml:space="preserve"> low PPV of the FIB-4 </w:t>
      </w:r>
      <w:r w:rsidR="006000BC" w:rsidRPr="00F12C22">
        <w:rPr>
          <w:iCs/>
        </w:rPr>
        <w:t xml:space="preserve">Index </w:t>
      </w:r>
      <w:r w:rsidRPr="00F12C22">
        <w:rPr>
          <w:iCs/>
        </w:rPr>
        <w:t xml:space="preserve">for </w:t>
      </w:r>
      <w:r w:rsidR="000A4A3F" w:rsidRPr="00F12C22">
        <w:rPr>
          <w:iCs/>
        </w:rPr>
        <w:t>AF</w:t>
      </w:r>
      <w:r w:rsidR="00213BC9" w:rsidRPr="00F12C22">
        <w:rPr>
          <w:iCs/>
        </w:rPr>
        <w:t>,</w:t>
      </w:r>
      <w:r w:rsidRPr="00F12C22">
        <w:rPr>
          <w:iCs/>
        </w:rPr>
        <w:t xml:space="preserve"> GESA </w:t>
      </w:r>
      <w:r w:rsidR="00820718" w:rsidRPr="00F12C22">
        <w:rPr>
          <w:iCs/>
        </w:rPr>
        <w:t>note</w:t>
      </w:r>
      <w:r w:rsidR="00A72A25" w:rsidRPr="00F12C22">
        <w:rPr>
          <w:iCs/>
        </w:rPr>
        <w:t>s</w:t>
      </w:r>
      <w:r w:rsidRPr="00F12C22">
        <w:rPr>
          <w:iCs/>
        </w:rPr>
        <w:t xml:space="preserve"> that further investigation for </w:t>
      </w:r>
      <w:r w:rsidR="000A4A3F" w:rsidRPr="00F12C22">
        <w:rPr>
          <w:iCs/>
        </w:rPr>
        <w:t>AF</w:t>
      </w:r>
      <w:r w:rsidRPr="00F12C22">
        <w:rPr>
          <w:iCs/>
        </w:rPr>
        <w:t xml:space="preserve"> is required for patients with a score ≥1.3 (GESA </w:t>
      </w:r>
      <w:r w:rsidR="00457C3B" w:rsidRPr="00F12C22">
        <w:rPr>
          <w:iCs/>
        </w:rPr>
        <w:t>2024</w:t>
      </w:r>
      <w:r w:rsidRPr="00F12C22">
        <w:rPr>
          <w:iCs/>
        </w:rPr>
        <w:t>).</w:t>
      </w:r>
      <w:r w:rsidR="00B90F33">
        <w:rPr>
          <w:iCs/>
        </w:rPr>
        <w:t xml:space="preserve"> No data were available for the </w:t>
      </w:r>
      <w:r w:rsidR="00EE797A">
        <w:rPr>
          <w:iCs/>
        </w:rPr>
        <w:t>specialist</w:t>
      </w:r>
      <w:r w:rsidR="00B90F33">
        <w:rPr>
          <w:iCs/>
        </w:rPr>
        <w:t xml:space="preserve"> setting, relevant to PICO set 2.</w:t>
      </w:r>
    </w:p>
    <w:p w14:paraId="7E66A0F3" w14:textId="26C3D002" w:rsidR="00C14CAA" w:rsidRDefault="00C14CAA" w:rsidP="00C14CAA">
      <w:pPr>
        <w:spacing w:after="240"/>
        <w:rPr>
          <w:iCs/>
        </w:rPr>
      </w:pPr>
      <w:r w:rsidRPr="00F12C22">
        <w:rPr>
          <w:iCs/>
        </w:rPr>
        <w:t>The applica</w:t>
      </w:r>
      <w:r w:rsidR="00250F24" w:rsidRPr="00F12C22">
        <w:rPr>
          <w:iCs/>
        </w:rPr>
        <w:t>nt’s clinical</w:t>
      </w:r>
      <w:r w:rsidRPr="00F12C22">
        <w:rPr>
          <w:iCs/>
        </w:rPr>
        <w:t xml:space="preserve"> expert advised on the medical decision algorithm: if FIB-4 &lt;1.3, there is 98% certainty that the</w:t>
      </w:r>
      <w:r w:rsidR="007233DA">
        <w:rPr>
          <w:iCs/>
        </w:rPr>
        <w:t xml:space="preserve"> patient does not have</w:t>
      </w:r>
      <w:r w:rsidRPr="00F12C22">
        <w:rPr>
          <w:iCs/>
        </w:rPr>
        <w:t xml:space="preserve"> </w:t>
      </w:r>
      <w:r w:rsidR="000A4A3F" w:rsidRPr="00F12C22">
        <w:rPr>
          <w:iCs/>
        </w:rPr>
        <w:t>AF</w:t>
      </w:r>
      <w:r w:rsidR="00457C3B" w:rsidRPr="00F12C22">
        <w:rPr>
          <w:iCs/>
        </w:rPr>
        <w:t xml:space="preserve"> and these patients are not eligible for </w:t>
      </w:r>
      <w:r w:rsidR="00823CCA" w:rsidRPr="00F12C22">
        <w:rPr>
          <w:iCs/>
        </w:rPr>
        <w:t>VCTE™</w:t>
      </w:r>
      <w:r w:rsidRPr="00F12C22">
        <w:rPr>
          <w:iCs/>
        </w:rPr>
        <w:t xml:space="preserve">. If FIB-4 &gt;2.7, </w:t>
      </w:r>
      <w:r w:rsidR="00457C3B" w:rsidRPr="00F12C22">
        <w:rPr>
          <w:iCs/>
        </w:rPr>
        <w:t>liver fibrosis</w:t>
      </w:r>
      <w:r w:rsidRPr="00F12C22">
        <w:rPr>
          <w:iCs/>
        </w:rPr>
        <w:t xml:space="preserve"> is still not certain, but </w:t>
      </w:r>
      <w:r w:rsidR="00E4782A" w:rsidRPr="00F12C22">
        <w:rPr>
          <w:iCs/>
        </w:rPr>
        <w:t xml:space="preserve">the </w:t>
      </w:r>
      <w:r w:rsidRPr="00F12C22">
        <w:rPr>
          <w:iCs/>
        </w:rPr>
        <w:t xml:space="preserve">patient probably has advanced liver disease and should </w:t>
      </w:r>
      <w:r w:rsidR="001F4CA8">
        <w:rPr>
          <w:iCs/>
        </w:rPr>
        <w:t xml:space="preserve">be referred directly to specialist </w:t>
      </w:r>
      <w:r w:rsidRPr="00F12C22">
        <w:rPr>
          <w:iCs/>
        </w:rPr>
        <w:t>care.</w:t>
      </w:r>
    </w:p>
    <w:p w14:paraId="6442EA67" w14:textId="786ED6FC" w:rsidR="00B104E9" w:rsidRPr="00F42687" w:rsidRDefault="00B104E9" w:rsidP="00C14CAA">
      <w:pPr>
        <w:spacing w:after="240"/>
        <w:rPr>
          <w:i/>
        </w:rPr>
      </w:pPr>
      <w:r w:rsidRPr="00B104E9">
        <w:rPr>
          <w:i/>
        </w:rPr>
        <w:lastRenderedPageBreak/>
        <w:t>PASC noted that patients with a FIB-4 score &gt;2.7 were considered at high risk of MAFLD, rather than indeterminate risk. While this application focused on risk stratification of patients (where risk could not be determined from FIB-4 scoring alone), PASC considered it reasonable to include these patients in the proposed population.</w:t>
      </w:r>
    </w:p>
    <w:p w14:paraId="42397679" w14:textId="2C49A0F4" w:rsidR="00C14CAA" w:rsidRPr="00F12C22" w:rsidRDefault="00C14CAA" w:rsidP="00AA6372">
      <w:r w:rsidRPr="00F12C22">
        <w:t xml:space="preserve">The </w:t>
      </w:r>
      <w:r w:rsidR="00B44697" w:rsidRPr="00F12C22">
        <w:t>disadvantages</w:t>
      </w:r>
      <w:r w:rsidRPr="00F12C22">
        <w:t xml:space="preserve"> of </w:t>
      </w:r>
      <w:r w:rsidR="00E4782A" w:rsidRPr="00F12C22">
        <w:t>FIB-4</w:t>
      </w:r>
      <w:r w:rsidRPr="00F12C22">
        <w:t xml:space="preserve"> include age as a factor affecting FIB-4 performance. It is inaccurate in people younger than 35 years and should not be used in this population. An </w:t>
      </w:r>
      <w:r w:rsidR="005A2106" w:rsidRPr="00F12C22">
        <w:t>indetermina</w:t>
      </w:r>
      <w:r w:rsidR="005A2106">
        <w:t>te</w:t>
      </w:r>
      <w:r w:rsidR="005A2106" w:rsidRPr="00F12C22">
        <w:t xml:space="preserve"> </w:t>
      </w:r>
      <w:r w:rsidR="002E6D36" w:rsidRPr="00F12C22">
        <w:t>score of 2.0</w:t>
      </w:r>
      <w:r w:rsidR="00492C51" w:rsidRPr="00F12C22">
        <w:t xml:space="preserve"> to </w:t>
      </w:r>
      <w:r w:rsidR="002E6D36" w:rsidRPr="00F12C22">
        <w:t>2.7</w:t>
      </w:r>
      <w:r w:rsidR="00492C51" w:rsidRPr="00F12C22">
        <w:rPr>
          <w:rStyle w:val="FootnoteReference"/>
        </w:rPr>
        <w:footnoteReference w:id="2"/>
      </w:r>
      <w:r w:rsidR="00ED5A5B" w:rsidRPr="00F12C22">
        <w:t xml:space="preserve"> </w:t>
      </w:r>
      <w:r w:rsidR="00636C63" w:rsidRPr="00F12C22">
        <w:t xml:space="preserve">(rather than 1.3 to </w:t>
      </w:r>
      <w:r w:rsidR="000F436E" w:rsidRPr="00F12C22">
        <w:t>2.7</w:t>
      </w:r>
      <w:r w:rsidR="00636C63" w:rsidRPr="00F12C22">
        <w:t>)</w:t>
      </w:r>
      <w:r w:rsidR="00ED5A5B" w:rsidRPr="00F12C22">
        <w:t xml:space="preserve"> </w:t>
      </w:r>
      <w:r w:rsidRPr="00F12C22">
        <w:t>is recommended for people older than 65 years, because of the reduced specificity of FIB-4 in this age category. FIB-4 scores may be falsely elevated in patients with thrombocytopenia of non-hepatic aetiology (e.g.</w:t>
      </w:r>
      <w:r w:rsidR="00D464A3">
        <w:t>,</w:t>
      </w:r>
      <w:r w:rsidRPr="00F12C22">
        <w:t xml:space="preserve"> immune thrombocytopenic purpura or harmful alcohol use) or in those with acute hepatitis, so its use in these clinical scenarios should be avoided. </w:t>
      </w:r>
    </w:p>
    <w:p w14:paraId="31A22C1D" w14:textId="319C1E11" w:rsidR="000948E6" w:rsidRPr="00F12C22" w:rsidRDefault="00C14CAA" w:rsidP="00AA6372">
      <w:r w:rsidRPr="00F12C22">
        <w:t xml:space="preserve">Although not raised in </w:t>
      </w:r>
      <w:r w:rsidR="007C49D4" w:rsidRPr="00F12C22">
        <w:t xml:space="preserve">the </w:t>
      </w:r>
      <w:r w:rsidRPr="00F12C22">
        <w:t xml:space="preserve">GESA </w:t>
      </w:r>
      <w:r w:rsidR="001305BF" w:rsidRPr="00F12C22">
        <w:t>C</w:t>
      </w:r>
      <w:r w:rsidRPr="00F12C22">
        <w:t xml:space="preserve">onsensus </w:t>
      </w:r>
      <w:r w:rsidR="001305BF" w:rsidRPr="00F12C22">
        <w:t>S</w:t>
      </w:r>
      <w:r w:rsidRPr="00F12C22">
        <w:t xml:space="preserve">tatement, there is some literature suggesting the accuracy of FIB-4 is compromised in </w:t>
      </w:r>
      <w:r w:rsidR="006000BC" w:rsidRPr="00F12C22">
        <w:t>patients with T2DM</w:t>
      </w:r>
      <w:r w:rsidRPr="00F12C22">
        <w:t xml:space="preserve">. </w:t>
      </w:r>
    </w:p>
    <w:p w14:paraId="7033F24B" w14:textId="1FB06ACA" w:rsidR="00813E20" w:rsidRPr="00F12C22" w:rsidRDefault="00250F24" w:rsidP="00AA6372">
      <w:r w:rsidRPr="00F12C22">
        <w:rPr>
          <w:rFonts w:asciiTheme="minorHAnsi" w:hAnsiTheme="minorHAnsi" w:cstheme="minorHAnsi"/>
        </w:rPr>
        <w:t>A number of studies report the prevalence of T2DM in the MAFLD population, which ranges from 19% to 28% (</w:t>
      </w:r>
      <w:r w:rsidR="00C14CAA" w:rsidRPr="00CD692D">
        <w:t>Cao 2024</w:t>
      </w:r>
      <w:r w:rsidRPr="00CD692D">
        <w:t xml:space="preserve">, Lim 2023, </w:t>
      </w:r>
      <w:r w:rsidR="00CD692D" w:rsidRPr="00F42687">
        <w:t xml:space="preserve">Farell 2022, </w:t>
      </w:r>
      <w:r w:rsidRPr="00CD692D">
        <w:t>Liu 2022, Younossi 2016</w:t>
      </w:r>
      <w:r w:rsidRPr="00F12C22">
        <w:t>).</w:t>
      </w:r>
      <w:r w:rsidR="00C14CAA" w:rsidRPr="00F12C22">
        <w:t xml:space="preserve"> </w:t>
      </w:r>
      <w:r w:rsidR="00813E20" w:rsidRPr="00F12C22">
        <w:t xml:space="preserve">GESA (2024) </w:t>
      </w:r>
      <w:r w:rsidR="001305BF" w:rsidRPr="00F12C22">
        <w:t xml:space="preserve">also </w:t>
      </w:r>
      <w:r w:rsidR="00813E20" w:rsidRPr="00F12C22">
        <w:t xml:space="preserve">notes that </w:t>
      </w:r>
      <w:r w:rsidR="00C14CAA" w:rsidRPr="00F12C22">
        <w:t xml:space="preserve">the prevalence of </w:t>
      </w:r>
      <w:r w:rsidR="00813E20" w:rsidRPr="00F12C22">
        <w:t>T2DM</w:t>
      </w:r>
      <w:r w:rsidR="00C14CAA" w:rsidRPr="00F12C22">
        <w:t xml:space="preserve"> increases with severity of underlying liver histology, with </w:t>
      </w:r>
      <w:r w:rsidR="00813E20" w:rsidRPr="00F12C22">
        <w:t>prevalences of 22.5% and 43.6% reported in patients with MAFLD and</w:t>
      </w:r>
      <w:r w:rsidR="00C14CAA" w:rsidRPr="00F12C22">
        <w:t xml:space="preserve"> </w:t>
      </w:r>
      <w:r w:rsidR="00881B3D" w:rsidRPr="00F12C22">
        <w:t>metabolic steatohepatitis (</w:t>
      </w:r>
      <w:r w:rsidR="00C14CAA" w:rsidRPr="00F12C22">
        <w:t>MASH</w:t>
      </w:r>
      <w:r w:rsidR="00881B3D" w:rsidRPr="00F12C22">
        <w:t>)</w:t>
      </w:r>
      <w:r w:rsidR="00813E20" w:rsidRPr="00F12C22">
        <w:t>, respectively.</w:t>
      </w:r>
    </w:p>
    <w:p w14:paraId="0593A5A5" w14:textId="4D3A5109" w:rsidR="00C14CAA" w:rsidRPr="00F12C22" w:rsidRDefault="00C14CAA" w:rsidP="00AA6372">
      <w:r w:rsidRPr="00CD692D">
        <w:t>Gracen 2022</w:t>
      </w:r>
      <w:r w:rsidRPr="00F12C22">
        <w:t xml:space="preserve"> </w:t>
      </w:r>
      <w:r w:rsidR="00687769" w:rsidRPr="00F12C22">
        <w:t xml:space="preserve">reported that FIB-4 had low accuracy in identifying patients with T2DM at low risk of </w:t>
      </w:r>
      <w:r w:rsidR="000A4A3F" w:rsidRPr="00F12C22">
        <w:t>AF</w:t>
      </w:r>
      <w:r w:rsidR="00687769" w:rsidRPr="00F12C22">
        <w:t>, noting that among</w:t>
      </w:r>
      <w:r w:rsidRPr="00F12C22">
        <w:t xml:space="preserve"> patients with </w:t>
      </w:r>
      <w:r w:rsidR="00687769" w:rsidRPr="00F12C22">
        <w:t xml:space="preserve">T2DM who had a </w:t>
      </w:r>
      <w:r w:rsidR="00823CCA" w:rsidRPr="00F12C22">
        <w:t>VCTE</w:t>
      </w:r>
      <w:r w:rsidR="00823CCA" w:rsidRPr="00490DB2">
        <w:t>™</w:t>
      </w:r>
      <w:r w:rsidRPr="00490DB2">
        <w:t xml:space="preserve"> </w:t>
      </w:r>
      <w:r w:rsidR="00687769" w:rsidRPr="00F42687">
        <w:t>LSM</w:t>
      </w:r>
      <w:r w:rsidR="00687769" w:rsidRPr="00490DB2">
        <w:t xml:space="preserve"> of </w:t>
      </w:r>
      <w:r w:rsidRPr="00490DB2">
        <w:t>≥8 kPa</w:t>
      </w:r>
      <w:r w:rsidR="00200CF6" w:rsidRPr="00F12C22">
        <w:t xml:space="preserve"> (</w:t>
      </w:r>
      <w:r w:rsidR="00687769" w:rsidRPr="00F12C22">
        <w:t>indicative of fibrosis</w:t>
      </w:r>
      <w:r w:rsidR="00200CF6" w:rsidRPr="00F12C22">
        <w:t>)</w:t>
      </w:r>
      <w:r w:rsidRPr="00F12C22">
        <w:t>, FIB-4 was &lt;1.3 in 50 of 97 (51.5%) patients</w:t>
      </w:r>
      <w:r w:rsidR="00687769" w:rsidRPr="00F12C22">
        <w:t xml:space="preserve">. The authors noted this supported the </w:t>
      </w:r>
      <w:r w:rsidRPr="00F12C22">
        <w:t xml:space="preserve">contention that FIB-4 has low sensitivity </w:t>
      </w:r>
      <w:r w:rsidR="00687769" w:rsidRPr="00F12C22">
        <w:t>and resulted in a</w:t>
      </w:r>
      <w:r w:rsidRPr="00F12C22">
        <w:t xml:space="preserve"> high number of “false negatives” </w:t>
      </w:r>
      <w:r w:rsidR="005851CC" w:rsidRPr="00F12C22">
        <w:t>in those with T2D</w:t>
      </w:r>
      <w:r w:rsidR="00E065F0" w:rsidRPr="00F12C22">
        <w:t>M, which</w:t>
      </w:r>
      <w:r w:rsidR="00687769" w:rsidRPr="00F12C22">
        <w:t xml:space="preserve"> was particularly concerning given</w:t>
      </w:r>
      <w:r w:rsidRPr="00F12C22">
        <w:t xml:space="preserve"> current guidelines indicate that all patients with FIB-4 &lt;1.3 should not be referred to a liver specialist. </w:t>
      </w:r>
      <w:r w:rsidR="00687769" w:rsidRPr="00F12C22">
        <w:t>Gracen 2022</w:t>
      </w:r>
      <w:r w:rsidRPr="00F12C22">
        <w:t xml:space="preserve"> suggest</w:t>
      </w:r>
      <w:r w:rsidR="00687769" w:rsidRPr="00F12C22">
        <w:t>ed</w:t>
      </w:r>
      <w:r w:rsidRPr="00F12C22">
        <w:t xml:space="preserve"> that in people with </w:t>
      </w:r>
      <w:r w:rsidR="00687769" w:rsidRPr="00F12C22">
        <w:t>T2DM</w:t>
      </w:r>
      <w:r w:rsidRPr="00F12C22">
        <w:t xml:space="preserve">, </w:t>
      </w:r>
      <w:r w:rsidR="00823CCA" w:rsidRPr="00F12C22">
        <w:t>VCTE™</w:t>
      </w:r>
      <w:r w:rsidRPr="00F12C22">
        <w:t xml:space="preserve"> or a patented serum test may be a preferable initial step in fibrosis risk stratification</w:t>
      </w:r>
      <w:r w:rsidR="00687769" w:rsidRPr="00F12C22">
        <w:t xml:space="preserve"> rather than FIB-4</w:t>
      </w:r>
      <w:r w:rsidRPr="00F12C22">
        <w:t xml:space="preserve">.  </w:t>
      </w:r>
    </w:p>
    <w:p w14:paraId="0C4661DE" w14:textId="4DFD790F" w:rsidR="00C14CAA" w:rsidRPr="00F12C22" w:rsidRDefault="6E912E9B">
      <w:r w:rsidRPr="00F12C22">
        <w:t>This issue was discussed at the pre-PASC meeting</w:t>
      </w:r>
      <w:r w:rsidR="6D35D25E" w:rsidRPr="00F12C22">
        <w:t>,</w:t>
      </w:r>
      <w:r w:rsidRPr="00F12C22">
        <w:t xml:space="preserve"> with the applica</w:t>
      </w:r>
      <w:r w:rsidR="78E346DA" w:rsidRPr="00F12C22">
        <w:t>nt’s clinical</w:t>
      </w:r>
      <w:r w:rsidRPr="00F12C22">
        <w:t xml:space="preserve"> expert advising that in the general population attending a GP</w:t>
      </w:r>
      <w:r w:rsidR="00D04A5E">
        <w:t>,</w:t>
      </w:r>
      <w:r w:rsidRPr="00F12C22">
        <w:t xml:space="preserve"> the prevalence of advanced </w:t>
      </w:r>
      <w:r w:rsidR="78E346DA" w:rsidRPr="00F12C22">
        <w:t>liver fibrosis (</w:t>
      </w:r>
      <w:r w:rsidRPr="00F12C22">
        <w:t>LF</w:t>
      </w:r>
      <w:r w:rsidR="78E346DA" w:rsidRPr="00F12C22">
        <w:t>)</w:t>
      </w:r>
      <w:r w:rsidRPr="00F12C22">
        <w:t xml:space="preserve"> is &lt;5%, but in the T2DM subgroup it is up to 20%. </w:t>
      </w:r>
      <w:r w:rsidR="6C075F6F" w:rsidRPr="00F12C22">
        <w:t>The expert continued that i</w:t>
      </w:r>
      <w:r w:rsidRPr="00F12C22">
        <w:t>f pre-test probability</w:t>
      </w:r>
      <w:r w:rsidR="78E346DA" w:rsidRPr="00F12C22">
        <w:t xml:space="preserve"> is altered</w:t>
      </w:r>
      <w:r w:rsidRPr="00F12C22">
        <w:t xml:space="preserve">, it alters reliability of </w:t>
      </w:r>
      <w:r w:rsidR="6D04E411" w:rsidRPr="00F12C22">
        <w:t>the</w:t>
      </w:r>
      <w:r w:rsidRPr="00F12C22">
        <w:t xml:space="preserve"> &lt;1.3 cut-off, so for this population there is no barrier to FIB-4 being tested more often i.e.</w:t>
      </w:r>
      <w:r w:rsidR="78E346DA" w:rsidRPr="00F12C22">
        <w:t>,</w:t>
      </w:r>
      <w:r w:rsidRPr="00F12C22">
        <w:t xml:space="preserve"> annually</w:t>
      </w:r>
      <w:r w:rsidR="78E346DA" w:rsidRPr="00F12C22">
        <w:t>, such that</w:t>
      </w:r>
      <w:r w:rsidRPr="00F12C22">
        <w:t xml:space="preserve"> accuracy of capturing patients with fibrosis will improve over time as testing is repeated to improve its prognostic power.</w:t>
      </w:r>
      <w:r w:rsidR="2CE4A29F">
        <w:t xml:space="preserve"> However, </w:t>
      </w:r>
      <w:r w:rsidR="5B70D133">
        <w:t>th</w:t>
      </w:r>
      <w:r w:rsidR="4DE1C0FE">
        <w:t>is</w:t>
      </w:r>
      <w:r w:rsidR="5B70D133">
        <w:t xml:space="preserve"> claim may not be justified </w:t>
      </w:r>
      <w:r w:rsidR="2CE4A29F">
        <w:t xml:space="preserve">given </w:t>
      </w:r>
      <w:r w:rsidR="445AF250">
        <w:t>multiple</w:t>
      </w:r>
      <w:r w:rsidR="2CE4A29F">
        <w:t xml:space="preserve"> factors impact the FIB-4 result</w:t>
      </w:r>
      <w:r w:rsidR="74899FDB">
        <w:t>.</w:t>
      </w:r>
      <w:r w:rsidR="2CE4A29F">
        <w:t xml:space="preserve"> </w:t>
      </w:r>
      <w:r w:rsidR="4007EEB4">
        <w:t>Testing</w:t>
      </w:r>
      <w:r w:rsidR="79381B95">
        <w:t xml:space="preserve"> more frequently</w:t>
      </w:r>
      <w:r w:rsidR="0A71C48D">
        <w:t xml:space="preserve"> </w:t>
      </w:r>
      <w:r w:rsidR="5E4419E5">
        <w:t xml:space="preserve">in </w:t>
      </w:r>
      <w:r w:rsidR="695A1CB5">
        <w:t xml:space="preserve">situations </w:t>
      </w:r>
      <w:r w:rsidR="5E4419E5">
        <w:t xml:space="preserve">where parameters included in the algorithm are persistently abnormal </w:t>
      </w:r>
      <w:r w:rsidR="2805E034">
        <w:t>will</w:t>
      </w:r>
      <w:r w:rsidR="76F4F564">
        <w:t xml:space="preserve"> not ne</w:t>
      </w:r>
      <w:r w:rsidR="4DED8F05">
        <w:t xml:space="preserve">cessarily </w:t>
      </w:r>
      <w:r w:rsidR="28281CD9">
        <w:t>lead to a different test result</w:t>
      </w:r>
      <w:r w:rsidR="522BE3AC">
        <w:t xml:space="preserve"> at an individual patient level</w:t>
      </w:r>
      <w:r w:rsidR="484E4F83">
        <w:t>,</w:t>
      </w:r>
      <w:r w:rsidR="52CEBB6C">
        <w:t xml:space="preserve"> meaning a patient may </w:t>
      </w:r>
      <w:r w:rsidR="57868B04">
        <w:t>continually experienc</w:t>
      </w:r>
      <w:r w:rsidR="52CEBB6C">
        <w:t>e a “false</w:t>
      </w:r>
      <w:r w:rsidR="484E4F83">
        <w:t xml:space="preserve"> </w:t>
      </w:r>
      <w:r w:rsidR="52CEBB6C">
        <w:t>negative” FIB-4 &lt;1.3.</w:t>
      </w:r>
      <w:r w:rsidR="6CE05177">
        <w:t xml:space="preserve"> </w:t>
      </w:r>
      <w:r>
        <w:t>Th</w:t>
      </w:r>
      <w:r w:rsidR="78E346DA" w:rsidRPr="00F12C22">
        <w:t>e applicant’s clinical expert continued that</w:t>
      </w:r>
      <w:r w:rsidRPr="00F12C22">
        <w:t xml:space="preserve"> </w:t>
      </w:r>
      <w:r w:rsidR="78E346DA" w:rsidRPr="00F12C22">
        <w:t xml:space="preserve">this </w:t>
      </w:r>
      <w:r w:rsidRPr="00F12C22">
        <w:t xml:space="preserve">is not an issue if FIB-4 &gt;1.3 (since they will </w:t>
      </w:r>
      <w:r w:rsidR="78E346DA" w:rsidRPr="00F12C22">
        <w:t xml:space="preserve">be eligible for </w:t>
      </w:r>
      <w:r w:rsidR="00823CCA" w:rsidRPr="00F12C22">
        <w:t>VCTE™</w:t>
      </w:r>
      <w:r w:rsidRPr="00F12C22">
        <w:t>). In relation to 51.5% of T2DM patients with liver stiffness having F</w:t>
      </w:r>
      <w:r w:rsidR="1CF3A439">
        <w:t>IB-</w:t>
      </w:r>
      <w:r w:rsidRPr="00F12C22">
        <w:rPr>
          <w:lang w:val="en-US"/>
        </w:rPr>
        <w:t xml:space="preserve">4 </w:t>
      </w:r>
      <w:r w:rsidRPr="00F12C22">
        <w:t>&lt;1.3, the applica</w:t>
      </w:r>
      <w:r w:rsidR="682FDAA1" w:rsidRPr="00F12C22">
        <w:t>nt’s</w:t>
      </w:r>
      <w:r w:rsidRPr="00F12C22">
        <w:t xml:space="preserve"> expert noted that liver stiffness is not </w:t>
      </w:r>
      <w:r w:rsidR="009E6457">
        <w:t>necessarily</w:t>
      </w:r>
      <w:r w:rsidRPr="00F12C22">
        <w:t xml:space="preserve"> equivalent to </w:t>
      </w:r>
      <w:r w:rsidR="009E6457">
        <w:t xml:space="preserve">liver </w:t>
      </w:r>
      <w:r w:rsidRPr="00F12C22">
        <w:t>fibrosis</w:t>
      </w:r>
      <w:r w:rsidR="682FDAA1" w:rsidRPr="00F12C22">
        <w:t>. H</w:t>
      </w:r>
      <w:r w:rsidRPr="00F12C22">
        <w:t xml:space="preserve">owever, if the cut-off FIB-4 score for </w:t>
      </w:r>
      <w:r w:rsidR="00823CCA" w:rsidRPr="00F12C22">
        <w:t>VCTE™</w:t>
      </w:r>
      <w:r w:rsidRPr="00F12C22">
        <w:t xml:space="preserve"> eligibility is set at ≥1.3, </w:t>
      </w:r>
      <w:r w:rsidR="682FDAA1" w:rsidRPr="00F12C22">
        <w:t>there will be a risk that</w:t>
      </w:r>
      <w:r w:rsidRPr="00F12C22">
        <w:t xml:space="preserve"> </w:t>
      </w:r>
      <w:r w:rsidR="635A3635" w:rsidRPr="00F12C22">
        <w:t xml:space="preserve">required </w:t>
      </w:r>
      <w:r w:rsidRPr="00F12C22">
        <w:t>specialist care</w:t>
      </w:r>
      <w:r w:rsidR="53DCF3D7" w:rsidRPr="00F12C22">
        <w:t xml:space="preserve"> is delayed for T2DM patients</w:t>
      </w:r>
      <w:r w:rsidRPr="00F12C22">
        <w:t xml:space="preserve">.  </w:t>
      </w:r>
    </w:p>
    <w:p w14:paraId="60C20906" w14:textId="3DE7A0FE" w:rsidR="00CD692D" w:rsidRDefault="00AC67AD" w:rsidP="00C14CAA">
      <w:pPr>
        <w:spacing w:after="240"/>
        <w:rPr>
          <w:i/>
          <w:iCs/>
        </w:rPr>
      </w:pPr>
      <w:r w:rsidRPr="00AC67AD">
        <w:rPr>
          <w:i/>
          <w:iCs/>
        </w:rPr>
        <w:t xml:space="preserve">PASC noted that some issues with FIB-4 index thresholds have been reported among those with T2DM, and those aged &lt;35 and ≥65 years old. PASC also noted that the potential alternative FIB-4 score range for </w:t>
      </w:r>
      <w:r w:rsidRPr="00AC67AD">
        <w:rPr>
          <w:i/>
          <w:iCs/>
        </w:rPr>
        <w:lastRenderedPageBreak/>
        <w:t>indeterminate risk for those aged ≥65 years (2.0 to 2.7) is higher than that in the general population (1.3 to 2.7), meaning that no patients at indeterminate risk would be missed, but rather that some patients at low risk may be screened unnecessarily. PASC acknowledged that these thresholds are less reliable in the T2DM population and those &lt;35 years old.</w:t>
      </w:r>
      <w:r w:rsidR="00014F83" w:rsidRPr="00014F83">
        <w:rPr>
          <w:i/>
          <w:iCs/>
        </w:rPr>
        <w:t xml:space="preserve"> </w:t>
      </w:r>
      <w:r w:rsidR="00014F83">
        <w:rPr>
          <w:i/>
          <w:iCs/>
        </w:rPr>
        <w:t xml:space="preserve">However, </w:t>
      </w:r>
      <w:r w:rsidR="00014F83" w:rsidRPr="00AC67AD">
        <w:rPr>
          <w:i/>
          <w:iCs/>
        </w:rPr>
        <w:t>PASC considered that the use of standard validated cutoffs for the eligible population was preferable and there was no need to use different cutoffs for different subgroups. PASC noted that the thresholds proposed in the application align with the GESA consensus statement</w:t>
      </w:r>
      <w:r w:rsidR="00F907CB">
        <w:rPr>
          <w:i/>
          <w:iCs/>
        </w:rPr>
        <w:t xml:space="preserve">, </w:t>
      </w:r>
      <w:r w:rsidR="00F907CB">
        <w:rPr>
          <w:rFonts w:asciiTheme="minorHAnsi" w:hAnsiTheme="minorHAnsi" w:cstheme="minorBidi"/>
          <w:i/>
          <w:iCs/>
          <w:color w:val="000000" w:themeColor="text1"/>
        </w:rPr>
        <w:t>and considered these to be appropriate</w:t>
      </w:r>
      <w:r w:rsidR="00F907CB" w:rsidRPr="007E2038">
        <w:rPr>
          <w:rFonts w:asciiTheme="minorHAnsi" w:hAnsiTheme="minorHAnsi" w:cstheme="minorBidi"/>
          <w:i/>
          <w:iCs/>
          <w:color w:val="000000" w:themeColor="text1"/>
        </w:rPr>
        <w:t>.</w:t>
      </w:r>
    </w:p>
    <w:p w14:paraId="08FB8DFF" w14:textId="1C9B7853" w:rsidR="00B4183B" w:rsidRPr="00F12C22" w:rsidRDefault="00C14CAA" w:rsidP="00C14CAA">
      <w:pPr>
        <w:spacing w:after="240"/>
        <w:rPr>
          <w:iCs/>
        </w:rPr>
      </w:pPr>
      <w:r w:rsidRPr="00F12C22">
        <w:rPr>
          <w:iCs/>
        </w:rPr>
        <w:t xml:space="preserve">Other simple serum-based scores, including the NAFLD Fibrosis Score (NFS) and the </w:t>
      </w:r>
      <w:r w:rsidR="00AD3C89" w:rsidRPr="00F12C22">
        <w:rPr>
          <w:iCs/>
        </w:rPr>
        <w:t>AST to platelet ratio index (</w:t>
      </w:r>
      <w:r w:rsidRPr="00F12C22">
        <w:rPr>
          <w:iCs/>
        </w:rPr>
        <w:t>APRI</w:t>
      </w:r>
      <w:r w:rsidR="00AD3C89" w:rsidRPr="00F12C22">
        <w:rPr>
          <w:iCs/>
        </w:rPr>
        <w:t>)</w:t>
      </w:r>
      <w:r w:rsidRPr="00F12C22">
        <w:rPr>
          <w:iCs/>
        </w:rPr>
        <w:t xml:space="preserve">, have been validated in patients with MAFLD but are less favoured due to lower accuracy (GESA </w:t>
      </w:r>
      <w:r w:rsidR="00B44697" w:rsidRPr="00F12C22">
        <w:rPr>
          <w:iCs/>
        </w:rPr>
        <w:t>2024</w:t>
      </w:r>
      <w:r w:rsidRPr="00F12C22">
        <w:rPr>
          <w:iCs/>
        </w:rPr>
        <w:t xml:space="preserve">). </w:t>
      </w:r>
    </w:p>
    <w:p w14:paraId="7B381504" w14:textId="2178E4B7" w:rsidR="00C14CAA" w:rsidRDefault="00C14CAA" w:rsidP="00C14CAA">
      <w:pPr>
        <w:spacing w:after="240"/>
        <w:rPr>
          <w:iCs/>
        </w:rPr>
      </w:pPr>
      <w:r w:rsidRPr="00F12C22">
        <w:rPr>
          <w:iCs/>
        </w:rPr>
        <w:t xml:space="preserve">More complex serum scores, which include direct markers of fibrogenesis or fibrinolysis, include the Enhanced Liver Fibrosis (ELF) score and Hepascore. These direct serum fibrosis tests have limited availability in Australia but have been shown in Australian and international studies to have greater accuracy than the FIB-4 Index for predicting advanced liver fibrosis, with Hepascore also being more accurate for predicting future hepatic decompensation, </w:t>
      </w:r>
      <w:r w:rsidR="00B44697" w:rsidRPr="00F12C22">
        <w:rPr>
          <w:iCs/>
        </w:rPr>
        <w:t>hepatocellular carcinoma (</w:t>
      </w:r>
      <w:r w:rsidRPr="00F12C22">
        <w:rPr>
          <w:iCs/>
        </w:rPr>
        <w:t>HCC</w:t>
      </w:r>
      <w:r w:rsidR="00B44697" w:rsidRPr="00F12C22">
        <w:rPr>
          <w:iCs/>
        </w:rPr>
        <w:t>)</w:t>
      </w:r>
      <w:r w:rsidRPr="00F12C22">
        <w:rPr>
          <w:iCs/>
        </w:rPr>
        <w:t xml:space="preserve"> and liver-related death (</w:t>
      </w:r>
      <w:r w:rsidR="00CD692D" w:rsidRPr="00F42687">
        <w:rPr>
          <w:iCs/>
        </w:rPr>
        <w:t>Bertot 2023</w:t>
      </w:r>
      <w:r w:rsidR="00F01F52" w:rsidRPr="00F42687">
        <w:rPr>
          <w:iCs/>
        </w:rPr>
        <w:t>,</w:t>
      </w:r>
      <w:r w:rsidR="00CD692D" w:rsidRPr="00F42687">
        <w:rPr>
          <w:iCs/>
        </w:rPr>
        <w:t xml:space="preserve"> </w:t>
      </w:r>
      <w:r w:rsidRPr="00F01F52">
        <w:rPr>
          <w:iCs/>
        </w:rPr>
        <w:t>Vali 2023</w:t>
      </w:r>
      <w:r w:rsidR="00F01F52" w:rsidRPr="00F42687">
        <w:rPr>
          <w:iCs/>
        </w:rPr>
        <w:t>,</w:t>
      </w:r>
      <w:r w:rsidR="00F01F52" w:rsidRPr="00F01F52">
        <w:rPr>
          <w:iCs/>
        </w:rPr>
        <w:t xml:space="preserve"> </w:t>
      </w:r>
      <w:r w:rsidRPr="00F01F52">
        <w:rPr>
          <w:iCs/>
        </w:rPr>
        <w:t>Adams 2011</w:t>
      </w:r>
      <w:r w:rsidRPr="00F12C22">
        <w:rPr>
          <w:iCs/>
        </w:rPr>
        <w:t>).</w:t>
      </w:r>
      <w:r w:rsidRPr="00F12C22">
        <w:t xml:space="preserve"> </w:t>
      </w:r>
      <w:r w:rsidRPr="00F12C22">
        <w:rPr>
          <w:iCs/>
        </w:rPr>
        <w:t xml:space="preserve">ELF has been evaluated in an independent meta-analysis (n = 11 studies in 4,452 patients) with an AUROC of 0.83 for detecting </w:t>
      </w:r>
      <w:r w:rsidR="000A4A3F" w:rsidRPr="00F12C22">
        <w:rPr>
          <w:iCs/>
        </w:rPr>
        <w:t>AF</w:t>
      </w:r>
      <w:r w:rsidRPr="00F12C22">
        <w:rPr>
          <w:iCs/>
        </w:rPr>
        <w:t xml:space="preserve"> (</w:t>
      </w:r>
      <w:r w:rsidRPr="00F01F52">
        <w:rPr>
          <w:iCs/>
        </w:rPr>
        <w:t>Vali 2020</w:t>
      </w:r>
      <w:r w:rsidRPr="00F12C22">
        <w:rPr>
          <w:iCs/>
        </w:rPr>
        <w:t xml:space="preserve">). Overall, diagnostic accuracy of patented serum fibrosis tests for staging fibrosis is at least similar </w:t>
      </w:r>
      <w:r w:rsidR="00BC4A78" w:rsidRPr="00F12C22">
        <w:rPr>
          <w:iCs/>
        </w:rPr>
        <w:t>to</w:t>
      </w:r>
      <w:r w:rsidRPr="00F12C22">
        <w:rPr>
          <w:iCs/>
        </w:rPr>
        <w:t xml:space="preserve"> (</w:t>
      </w:r>
      <w:r w:rsidRPr="00F01F52">
        <w:rPr>
          <w:iCs/>
        </w:rPr>
        <w:t>Anstee 2019</w:t>
      </w:r>
      <w:r w:rsidRPr="00F12C22">
        <w:rPr>
          <w:iCs/>
        </w:rPr>
        <w:t>), if not higher (</w:t>
      </w:r>
      <w:r w:rsidRPr="00F01F52">
        <w:rPr>
          <w:iCs/>
        </w:rPr>
        <w:t>Guillaume 2019</w:t>
      </w:r>
      <w:r w:rsidRPr="00F12C22">
        <w:rPr>
          <w:iCs/>
        </w:rPr>
        <w:t>) than</w:t>
      </w:r>
      <w:r w:rsidR="00BC4A78" w:rsidRPr="00F12C22">
        <w:rPr>
          <w:iCs/>
        </w:rPr>
        <w:t>,</w:t>
      </w:r>
      <w:r w:rsidRPr="00F12C22">
        <w:rPr>
          <w:iCs/>
        </w:rPr>
        <w:t xml:space="preserve"> that of FIB-4 and NFS, but their widespread application in clinical practice is limited by cost and availability (</w:t>
      </w:r>
      <w:r w:rsidRPr="00F01F52">
        <w:rPr>
          <w:iCs/>
        </w:rPr>
        <w:t>EASL 2021</w:t>
      </w:r>
      <w:r w:rsidRPr="00F12C22">
        <w:rPr>
          <w:iCs/>
        </w:rPr>
        <w:t xml:space="preserve">). </w:t>
      </w:r>
    </w:p>
    <w:p w14:paraId="63B39FAA" w14:textId="09E28B00" w:rsidR="00AC67AD" w:rsidRPr="00F42687" w:rsidRDefault="00AC67AD" w:rsidP="00C14CAA">
      <w:pPr>
        <w:spacing w:after="240"/>
        <w:rPr>
          <w:i/>
        </w:rPr>
      </w:pPr>
      <w:r w:rsidRPr="00F42687">
        <w:rPr>
          <w:i/>
        </w:rPr>
        <w:t xml:space="preserve">PASC considered that the diagnosis of ≥5% hepatosteatosis (required in the population definition) should not be restricted to being determined by ultrasound, noting the potential to use </w:t>
      </w:r>
      <w:r w:rsidR="002911DC">
        <w:rPr>
          <w:i/>
        </w:rPr>
        <w:t>other imaging tests</w:t>
      </w:r>
      <w:r w:rsidRPr="00F42687">
        <w:rPr>
          <w:i/>
        </w:rPr>
        <w:t>.</w:t>
      </w:r>
    </w:p>
    <w:p w14:paraId="58D49167" w14:textId="47776DC0" w:rsidR="00AE4A7A" w:rsidRPr="008B40C7" w:rsidRDefault="002805E7" w:rsidP="00C14CAA">
      <w:pPr>
        <w:spacing w:after="240"/>
        <w:rPr>
          <w:i/>
        </w:rPr>
      </w:pPr>
      <w:r>
        <w:rPr>
          <w:i/>
        </w:rPr>
        <w:t>PASC</w:t>
      </w:r>
      <w:r w:rsidR="00AC67AD" w:rsidRPr="00F42687">
        <w:rPr>
          <w:iCs/>
        </w:rPr>
        <w:t xml:space="preserve"> </w:t>
      </w:r>
      <w:r w:rsidR="00AC67AD" w:rsidRPr="002805E7">
        <w:rPr>
          <w:i/>
        </w:rPr>
        <w:t>noted</w:t>
      </w:r>
      <w:r w:rsidR="00AE4A7A" w:rsidRPr="002805E7">
        <w:rPr>
          <w:i/>
        </w:rPr>
        <w:t xml:space="preserve"> that Hepascore was considered by MSAC in</w:t>
      </w:r>
      <w:r w:rsidR="003C65A9" w:rsidRPr="002805E7">
        <w:rPr>
          <w:i/>
        </w:rPr>
        <w:t xml:space="preserve"> November</w:t>
      </w:r>
      <w:r w:rsidR="00AE4A7A" w:rsidRPr="002805E7">
        <w:rPr>
          <w:i/>
        </w:rPr>
        <w:t xml:space="preserve"> 2020</w:t>
      </w:r>
      <w:r w:rsidR="00E5489D" w:rsidRPr="002805E7">
        <w:rPr>
          <w:i/>
        </w:rPr>
        <w:t xml:space="preserve"> (application 1446</w:t>
      </w:r>
      <w:r w:rsidR="00E5489D" w:rsidRPr="002805E7">
        <w:rPr>
          <w:rStyle w:val="FootnoteReference"/>
          <w:i/>
        </w:rPr>
        <w:footnoteReference w:id="3"/>
      </w:r>
      <w:r w:rsidR="00E5489D" w:rsidRPr="002805E7">
        <w:rPr>
          <w:i/>
        </w:rPr>
        <w:t>)</w:t>
      </w:r>
      <w:r w:rsidR="00AE4A7A" w:rsidRPr="002805E7">
        <w:rPr>
          <w:i/>
        </w:rPr>
        <w:t xml:space="preserve"> for the </w:t>
      </w:r>
      <w:r w:rsidR="003C65A9" w:rsidRPr="002805E7">
        <w:rPr>
          <w:i/>
        </w:rPr>
        <w:t>diagnosis and monitoring</w:t>
      </w:r>
      <w:r w:rsidR="00AE4A7A" w:rsidRPr="002805E7">
        <w:rPr>
          <w:i/>
        </w:rPr>
        <w:t xml:space="preserve"> of fibrosis in patients with </w:t>
      </w:r>
      <w:r w:rsidR="003C65A9" w:rsidRPr="002805E7">
        <w:rPr>
          <w:i/>
        </w:rPr>
        <w:t xml:space="preserve">chronic </w:t>
      </w:r>
      <w:r w:rsidR="00AE4A7A" w:rsidRPr="002805E7">
        <w:rPr>
          <w:i/>
        </w:rPr>
        <w:t xml:space="preserve">hepatitis B </w:t>
      </w:r>
      <w:r w:rsidR="003C65A9" w:rsidRPr="002805E7">
        <w:rPr>
          <w:i/>
        </w:rPr>
        <w:t>or</w:t>
      </w:r>
      <w:r w:rsidR="00AE4A7A" w:rsidRPr="002805E7">
        <w:rPr>
          <w:i/>
        </w:rPr>
        <w:t xml:space="preserve"> C, but </w:t>
      </w:r>
      <w:r w:rsidR="00E5489D" w:rsidRPr="002805E7">
        <w:rPr>
          <w:i/>
        </w:rPr>
        <w:t>was not supported for MBS funding</w:t>
      </w:r>
      <w:r w:rsidR="008F3DA2" w:rsidRPr="002805E7">
        <w:rPr>
          <w:i/>
        </w:rPr>
        <w:t xml:space="preserve"> due to </w:t>
      </w:r>
      <w:r w:rsidR="008F7877" w:rsidRPr="002805E7">
        <w:rPr>
          <w:i/>
        </w:rPr>
        <w:t>limited clinical utility</w:t>
      </w:r>
      <w:r w:rsidR="008F3DA2" w:rsidRPr="002805E7">
        <w:rPr>
          <w:i/>
        </w:rPr>
        <w:t xml:space="preserve"> </w:t>
      </w:r>
      <w:r w:rsidR="00215FB3" w:rsidRPr="002805E7">
        <w:rPr>
          <w:i/>
        </w:rPr>
        <w:t xml:space="preserve">over existing tests and </w:t>
      </w:r>
      <w:r w:rsidR="00077FC5">
        <w:rPr>
          <w:i/>
        </w:rPr>
        <w:t xml:space="preserve">it </w:t>
      </w:r>
      <w:r w:rsidR="00215FB3" w:rsidRPr="002805E7">
        <w:rPr>
          <w:i/>
        </w:rPr>
        <w:t xml:space="preserve">was </w:t>
      </w:r>
      <w:r w:rsidR="00876F69">
        <w:rPr>
          <w:i/>
        </w:rPr>
        <w:t xml:space="preserve">considered </w:t>
      </w:r>
      <w:r w:rsidR="00215FB3" w:rsidRPr="002805E7">
        <w:rPr>
          <w:i/>
        </w:rPr>
        <w:t>unlikely to improve clinical management or health outcomes for the intended population</w:t>
      </w:r>
      <w:r w:rsidR="00E5489D" w:rsidRPr="002805E7">
        <w:rPr>
          <w:i/>
        </w:rPr>
        <w:t>.</w:t>
      </w:r>
    </w:p>
    <w:p w14:paraId="318B3B08" w14:textId="51D8DF44" w:rsidR="00C14CAA" w:rsidRPr="00F12C22" w:rsidRDefault="00C14CAA" w:rsidP="00C14CAA">
      <w:pPr>
        <w:spacing w:after="240"/>
        <w:rPr>
          <w:iCs/>
        </w:rPr>
      </w:pPr>
      <w:r w:rsidRPr="00F12C22">
        <w:rPr>
          <w:iCs/>
        </w:rPr>
        <w:t xml:space="preserve">There are recent studies that </w:t>
      </w:r>
      <w:r w:rsidR="00511A73" w:rsidRPr="00F12C22">
        <w:rPr>
          <w:iCs/>
        </w:rPr>
        <w:t xml:space="preserve">have </w:t>
      </w:r>
      <w:r w:rsidRPr="00F12C22">
        <w:rPr>
          <w:iCs/>
        </w:rPr>
        <w:t xml:space="preserve">demonstrated an improvement in diagnostic accuracy of individual NITs by combining ELF and FIB-4 in </w:t>
      </w:r>
      <w:r w:rsidR="00511A73" w:rsidRPr="00F12C22">
        <w:rPr>
          <w:iCs/>
        </w:rPr>
        <w:t xml:space="preserve">the </w:t>
      </w:r>
      <w:r w:rsidRPr="00F12C22">
        <w:rPr>
          <w:iCs/>
        </w:rPr>
        <w:t>general population (</w:t>
      </w:r>
      <w:r w:rsidRPr="00F01F52">
        <w:rPr>
          <w:iCs/>
        </w:rPr>
        <w:t xml:space="preserve">Kjaergaard 2023) and in </w:t>
      </w:r>
      <w:r w:rsidR="00572585" w:rsidRPr="00F01F52">
        <w:rPr>
          <w:iCs/>
        </w:rPr>
        <w:t xml:space="preserve">the </w:t>
      </w:r>
      <w:r w:rsidRPr="00F01F52">
        <w:rPr>
          <w:iCs/>
        </w:rPr>
        <w:t>NAFLD population (Younossi</w:t>
      </w:r>
      <w:r w:rsidR="00B44697" w:rsidRPr="00F01F52">
        <w:rPr>
          <w:iCs/>
        </w:rPr>
        <w:t xml:space="preserve"> </w:t>
      </w:r>
      <w:r w:rsidRPr="00F01F52">
        <w:rPr>
          <w:iCs/>
        </w:rPr>
        <w:t>2023). Younossi (2023) determined the c</w:t>
      </w:r>
      <w:r w:rsidRPr="00F12C22">
        <w:rPr>
          <w:iCs/>
        </w:rPr>
        <w:t>ut</w:t>
      </w:r>
      <w:r w:rsidR="00511A73" w:rsidRPr="00F12C22">
        <w:rPr>
          <w:iCs/>
        </w:rPr>
        <w:t>-</w:t>
      </w:r>
      <w:r w:rsidRPr="00F12C22">
        <w:rPr>
          <w:iCs/>
        </w:rPr>
        <w:t xml:space="preserve">off scores of two individual NITs and their combination to rule in and rule out significant fibrosis among NAFLD patients. The authors had liver biopsy results in 463 NAFLD patients of 48 ± 13 years of age, 31% male, 35% </w:t>
      </w:r>
      <w:r w:rsidR="00511A73" w:rsidRPr="00F12C22">
        <w:rPr>
          <w:iCs/>
        </w:rPr>
        <w:t>T2DM</w:t>
      </w:r>
      <w:r w:rsidRPr="00F12C22">
        <w:rPr>
          <w:iCs/>
        </w:rPr>
        <w:t xml:space="preserve">; </w:t>
      </w:r>
      <w:r w:rsidR="0004776E" w:rsidRPr="00F12C22">
        <w:rPr>
          <w:iCs/>
        </w:rPr>
        <w:t>and</w:t>
      </w:r>
      <w:r w:rsidRPr="00F12C22">
        <w:rPr>
          <w:iCs/>
        </w:rPr>
        <w:t xml:space="preserve"> 39% </w:t>
      </w:r>
      <w:r w:rsidR="0004776E" w:rsidRPr="00F12C22">
        <w:rPr>
          <w:iCs/>
        </w:rPr>
        <w:t xml:space="preserve">of whom </w:t>
      </w:r>
      <w:r w:rsidRPr="00F12C22">
        <w:rPr>
          <w:iCs/>
        </w:rPr>
        <w:t xml:space="preserve">had significant fibrosis. </w:t>
      </w:r>
      <w:r w:rsidR="00511A73" w:rsidRPr="00F12C22">
        <w:rPr>
          <w:iCs/>
        </w:rPr>
        <w:t>The m</w:t>
      </w:r>
      <w:r w:rsidRPr="00F12C22">
        <w:rPr>
          <w:iCs/>
        </w:rPr>
        <w:t xml:space="preserve">ean ELF score was 9.0 ± 1.2, </w:t>
      </w:r>
      <w:r w:rsidR="002976C4" w:rsidRPr="00F12C22">
        <w:rPr>
          <w:iCs/>
        </w:rPr>
        <w:t>and</w:t>
      </w:r>
      <w:r w:rsidRPr="00F12C22">
        <w:rPr>
          <w:iCs/>
        </w:rPr>
        <w:t xml:space="preserve"> mean FIB-4 score was 1.22 ± 1.05 (validated cut-offs for significant fibrosis </w:t>
      </w:r>
      <w:r w:rsidR="002976C4" w:rsidRPr="00F12C22">
        <w:rPr>
          <w:iCs/>
        </w:rPr>
        <w:t>[</w:t>
      </w:r>
      <w:r w:rsidRPr="00F12C22">
        <w:rPr>
          <w:iCs/>
        </w:rPr>
        <w:t>F2 - F4</w:t>
      </w:r>
      <w:r w:rsidR="002976C4" w:rsidRPr="00F12C22">
        <w:rPr>
          <w:iCs/>
        </w:rPr>
        <w:t>]</w:t>
      </w:r>
      <w:r w:rsidRPr="00F12C22">
        <w:rPr>
          <w:iCs/>
        </w:rPr>
        <w:t xml:space="preserve"> are ≥9.8 and ≥1.3 for ELF and FIB-4</w:t>
      </w:r>
      <w:r w:rsidR="002976C4" w:rsidRPr="00F12C22">
        <w:rPr>
          <w:iCs/>
        </w:rPr>
        <w:t>,</w:t>
      </w:r>
      <w:r w:rsidRPr="00F12C22">
        <w:rPr>
          <w:iCs/>
        </w:rPr>
        <w:t xml:space="preserve"> respectively). The performance of the two NITs in identifying significant fibrosis was: AUC= 0.78 (95% CI</w:t>
      </w:r>
      <w:r w:rsidR="00945DC9" w:rsidRPr="00F12C22">
        <w:rPr>
          <w:iCs/>
        </w:rPr>
        <w:t>:</w:t>
      </w:r>
      <w:r w:rsidRPr="00F12C22">
        <w:rPr>
          <w:iCs/>
        </w:rPr>
        <w:t xml:space="preserve"> 0.74</w:t>
      </w:r>
      <w:r w:rsidR="00945DC9" w:rsidRPr="00F12C22">
        <w:rPr>
          <w:iCs/>
        </w:rPr>
        <w:t xml:space="preserve">, </w:t>
      </w:r>
      <w:r w:rsidRPr="00F12C22">
        <w:rPr>
          <w:iCs/>
        </w:rPr>
        <w:t>0.82) for ELF, and 0.79 (95% CI</w:t>
      </w:r>
      <w:r w:rsidR="00945DC9" w:rsidRPr="00F12C22">
        <w:rPr>
          <w:iCs/>
        </w:rPr>
        <w:t>:</w:t>
      </w:r>
      <w:r w:rsidRPr="00F12C22">
        <w:rPr>
          <w:iCs/>
        </w:rPr>
        <w:t xml:space="preserve"> 0.75</w:t>
      </w:r>
      <w:r w:rsidR="00945DC9" w:rsidRPr="00F12C22">
        <w:rPr>
          <w:iCs/>
        </w:rPr>
        <w:t xml:space="preserve">, </w:t>
      </w:r>
      <w:r w:rsidRPr="00F12C22">
        <w:rPr>
          <w:iCs/>
        </w:rPr>
        <w:t xml:space="preserve">0.83) for FIB-4. The combination of ELF score ≥9.8 and FIB-4 ≥1.96 returned a </w:t>
      </w:r>
      <w:r w:rsidR="00AB6676" w:rsidRPr="00F12C22">
        <w:rPr>
          <w:iCs/>
        </w:rPr>
        <w:t>PPV</w:t>
      </w:r>
      <w:r w:rsidRPr="00F12C22">
        <w:rPr>
          <w:iCs/>
        </w:rPr>
        <w:t xml:space="preserve"> of 95% which can reliably rule in significant fibrosis (sensitivity 22%, specificity &gt;99%), while an ELF score ≤7.7 or FIB-4 ≤0.30 had a </w:t>
      </w:r>
      <w:r w:rsidR="00AB6676" w:rsidRPr="00F12C22">
        <w:rPr>
          <w:iCs/>
        </w:rPr>
        <w:t>NPV</w:t>
      </w:r>
      <w:r w:rsidRPr="00F12C22">
        <w:rPr>
          <w:iCs/>
        </w:rPr>
        <w:t xml:space="preserve"> of 95% ruling out significant fibrosis (sensitivity 98%, specificity 22%).</w:t>
      </w:r>
    </w:p>
    <w:p w14:paraId="197F49CC" w14:textId="126CC65E" w:rsidR="005D6C9B" w:rsidRPr="00D917C4" w:rsidRDefault="005D6C9B" w:rsidP="00D917C4">
      <w:pPr>
        <w:pStyle w:val="Heading5"/>
      </w:pPr>
      <w:r w:rsidRPr="00D917C4">
        <w:lastRenderedPageBreak/>
        <w:t xml:space="preserve">Prevalence of </w:t>
      </w:r>
      <w:r w:rsidR="005A2106" w:rsidRPr="00D917C4">
        <w:t>indetermina</w:t>
      </w:r>
      <w:r w:rsidR="005A2106">
        <w:t>te</w:t>
      </w:r>
      <w:r w:rsidR="005A2106" w:rsidRPr="00D917C4">
        <w:t xml:space="preserve"> </w:t>
      </w:r>
      <w:r w:rsidRPr="00D917C4">
        <w:t>and high FIB-4 Index test results</w:t>
      </w:r>
    </w:p>
    <w:p w14:paraId="54479386" w14:textId="7202C15D" w:rsidR="005D6C9B" w:rsidRPr="00F12C22" w:rsidRDefault="005D6C9B" w:rsidP="005D6C9B">
      <w:r w:rsidRPr="00F12C22">
        <w:t xml:space="preserve">In the </w:t>
      </w:r>
      <w:r w:rsidRPr="00F01F52">
        <w:t>Vaz (2023b) study described</w:t>
      </w:r>
      <w:r w:rsidRPr="00F12C22">
        <w:t xml:space="preserve"> above, applying the FIB-4 cut-off point of &gt;2.67 to the 2001–2003 cohort of 1040 </w:t>
      </w:r>
      <w:r w:rsidR="00CB6236" w:rsidRPr="00F12C22">
        <w:t xml:space="preserve">NAFLD </w:t>
      </w:r>
      <w:r w:rsidRPr="00F12C22">
        <w:t xml:space="preserve">participants, there were 4.6% people at a high risk of </w:t>
      </w:r>
      <w:r w:rsidR="000A4A3F" w:rsidRPr="00F12C22">
        <w:t>AF</w:t>
      </w:r>
      <w:r w:rsidRPr="00F12C22">
        <w:t xml:space="preserve">, while 30.4% fell into </w:t>
      </w:r>
      <w:r w:rsidR="00200116" w:rsidRPr="00F12C22">
        <w:t xml:space="preserve">the </w:t>
      </w:r>
      <w:r w:rsidRPr="00F12C22">
        <w:t>indeterminate risk category (FIB-4 between 1.3 and 2.67). The study was repeated in 2016–2018 recruiting 704 people and, using the same criteria, found that 3.</w:t>
      </w:r>
      <w:r w:rsidR="00F01F52">
        <w:t>6</w:t>
      </w:r>
      <w:r w:rsidRPr="00F12C22">
        <w:t xml:space="preserve">% were at a high risk of </w:t>
      </w:r>
      <w:r w:rsidR="000A4A3F" w:rsidRPr="00F12C22">
        <w:t>AF</w:t>
      </w:r>
      <w:r w:rsidRPr="00F12C22">
        <w:t xml:space="preserve"> and 38.7% were in the indeterminate risk subgroup.</w:t>
      </w:r>
    </w:p>
    <w:p w14:paraId="6F5B7AA4" w14:textId="48D3C6A2" w:rsidR="005D6C9B" w:rsidRPr="00F12C22" w:rsidRDefault="005D6C9B" w:rsidP="005D6C9B">
      <w:r w:rsidRPr="00F12C22">
        <w:t xml:space="preserve">In a NAFLD population of 571 people from a primary care clinic in Brisbane, 3.9% were assessed at high risk of </w:t>
      </w:r>
      <w:r w:rsidR="000A4A3F" w:rsidRPr="00F12C22">
        <w:t>AF</w:t>
      </w:r>
      <w:r w:rsidRPr="00F12C22">
        <w:t xml:space="preserve"> based on the FIB-4 cut-off point of 2.67 (</w:t>
      </w:r>
      <w:r w:rsidRPr="00F01F52">
        <w:t>Patel 2018b</w:t>
      </w:r>
      <w:r w:rsidRPr="00F12C22">
        <w:t>; Supplementary Table 1), while a larger proportion of patients (31%) fell into an indeterminate range.</w:t>
      </w:r>
    </w:p>
    <w:p w14:paraId="48572001" w14:textId="5572E27D" w:rsidR="005D6C9B" w:rsidRPr="00F12C22" w:rsidRDefault="005D6C9B" w:rsidP="005D6C9B">
      <w:r w:rsidRPr="00F12C22">
        <w:rPr>
          <w:iCs/>
        </w:rPr>
        <w:t>The applicant’s clinical expert stated that the grey area constituting up to the third of patients (supported by estimates in the literature of approximately 30% reported in Patel (</w:t>
      </w:r>
      <w:r w:rsidRPr="005C67C7">
        <w:rPr>
          <w:iCs/>
        </w:rPr>
        <w:t>2018b</w:t>
      </w:r>
      <w:r w:rsidRPr="00F12C22">
        <w:rPr>
          <w:iCs/>
        </w:rPr>
        <w:t>) and Vaz (</w:t>
      </w:r>
      <w:r w:rsidRPr="005C67C7">
        <w:rPr>
          <w:iCs/>
        </w:rPr>
        <w:t>2023b</w:t>
      </w:r>
      <w:r w:rsidRPr="00F12C22">
        <w:rPr>
          <w:iCs/>
        </w:rPr>
        <w:t>)) is when the FIB-4 score is between 1.3 and 2.7, indicating uncertainty of whether the patient has prognostically significant liver disease.</w:t>
      </w:r>
    </w:p>
    <w:p w14:paraId="0B362594" w14:textId="11B0105F" w:rsidR="001660E9" w:rsidRPr="00D917C4" w:rsidRDefault="001660E9" w:rsidP="00D917C4">
      <w:pPr>
        <w:pStyle w:val="Heading4"/>
      </w:pPr>
      <w:r w:rsidRPr="00D917C4">
        <w:t xml:space="preserve">Utilisation </w:t>
      </w:r>
    </w:p>
    <w:p w14:paraId="12632CCC" w14:textId="46A8A2AB" w:rsidR="006270C8" w:rsidRPr="00F12C22" w:rsidRDefault="006270C8" w:rsidP="006270C8">
      <w:pPr>
        <w:rPr>
          <w:iCs/>
        </w:rPr>
      </w:pPr>
      <w:r w:rsidRPr="00F12C22">
        <w:rPr>
          <w:iCs/>
        </w:rPr>
        <w:t xml:space="preserve">The application provided an estimate of the number of </w:t>
      </w:r>
      <w:r w:rsidR="00823CCA" w:rsidRPr="00F12C22">
        <w:rPr>
          <w:iCs/>
        </w:rPr>
        <w:t>VCTE™</w:t>
      </w:r>
      <w:r w:rsidR="00FE3296">
        <w:rPr>
          <w:iCs/>
        </w:rPr>
        <w:t xml:space="preserve"> scan</w:t>
      </w:r>
      <w:r w:rsidRPr="00F12C22">
        <w:rPr>
          <w:iCs/>
        </w:rPr>
        <w:t xml:space="preserve">s in the first year of listing for both primary care in rural and regional areas and specialist care, see </w:t>
      </w:r>
      <w:r w:rsidR="00D917C4">
        <w:rPr>
          <w:iCs/>
        </w:rPr>
        <w:fldChar w:fldCharType="begin"/>
      </w:r>
      <w:r w:rsidR="00D917C4">
        <w:rPr>
          <w:iCs/>
        </w:rPr>
        <w:instrText xml:space="preserve"> REF _Ref193066609 \h </w:instrText>
      </w:r>
      <w:r w:rsidR="00D917C4">
        <w:rPr>
          <w:iCs/>
        </w:rPr>
      </w:r>
      <w:r w:rsidR="00D917C4">
        <w:rPr>
          <w:iCs/>
        </w:rPr>
        <w:fldChar w:fldCharType="separate"/>
      </w:r>
      <w:r w:rsidR="005C67C7" w:rsidRPr="00F12C22">
        <w:t xml:space="preserve">Table </w:t>
      </w:r>
      <w:r w:rsidR="005C67C7">
        <w:rPr>
          <w:noProof/>
        </w:rPr>
        <w:t>4</w:t>
      </w:r>
      <w:r w:rsidR="00D917C4">
        <w:rPr>
          <w:iCs/>
        </w:rPr>
        <w:fldChar w:fldCharType="end"/>
      </w:r>
      <w:r w:rsidR="00E05A21" w:rsidRPr="00F12C22">
        <w:rPr>
          <w:iCs/>
        </w:rPr>
        <w:t>.</w:t>
      </w:r>
    </w:p>
    <w:p w14:paraId="1093007E" w14:textId="7DF63196" w:rsidR="006270C8" w:rsidRPr="00F12C22" w:rsidRDefault="006270C8" w:rsidP="006270C8">
      <w:pPr>
        <w:pStyle w:val="Caption"/>
      </w:pPr>
      <w:bookmarkStart w:id="6" w:name="_Ref193066609"/>
      <w:r w:rsidRPr="00F12C22">
        <w:t xml:space="preserve">Table </w:t>
      </w:r>
      <w:r w:rsidRPr="00F12C22">
        <w:fldChar w:fldCharType="begin"/>
      </w:r>
      <w:r w:rsidRPr="00F12C22">
        <w:instrText xml:space="preserve"> SEQ Table \* ARABIC </w:instrText>
      </w:r>
      <w:r w:rsidRPr="00F12C22">
        <w:fldChar w:fldCharType="separate"/>
      </w:r>
      <w:r w:rsidR="005C67C7">
        <w:rPr>
          <w:noProof/>
        </w:rPr>
        <w:t>4</w:t>
      </w:r>
      <w:r w:rsidRPr="00F12C22">
        <w:fldChar w:fldCharType="end"/>
      </w:r>
      <w:bookmarkEnd w:id="6"/>
      <w:r w:rsidR="00D917C4">
        <w:tab/>
      </w:r>
      <w:r w:rsidRPr="00F12C22">
        <w:t xml:space="preserve">Utilisation of </w:t>
      </w:r>
      <w:r w:rsidR="00823CCA" w:rsidRPr="00F12C22">
        <w:t>VCTE™</w:t>
      </w:r>
      <w:r w:rsidRPr="00F12C22">
        <w:t xml:space="preserve"> in pr</w:t>
      </w:r>
      <w:r w:rsidR="00C4728A" w:rsidRPr="00F12C22">
        <w:t>ima</w:t>
      </w:r>
      <w:r w:rsidRPr="00F12C22">
        <w:t>ry care (rural and regional areas) and specialist care in the first year</w:t>
      </w:r>
    </w:p>
    <w:tbl>
      <w:tblPr>
        <w:tblStyle w:val="TableGrid"/>
        <w:tblW w:w="0" w:type="auto"/>
        <w:tblInd w:w="0" w:type="dxa"/>
        <w:tblLook w:val="04A0" w:firstRow="1" w:lastRow="0" w:firstColumn="1" w:lastColumn="0" w:noHBand="0" w:noVBand="1"/>
        <w:tblCaption w:val="Utilisation of VCTE™ in primary care (rural and regional areas) and specialist care in the first year"/>
        <w:tblDescription w:val="Utilisation of VCTE™ in primary care (rural and regional areas) and specialist care in the first year"/>
      </w:tblPr>
      <w:tblGrid>
        <w:gridCol w:w="3681"/>
        <w:gridCol w:w="1488"/>
        <w:gridCol w:w="1489"/>
        <w:gridCol w:w="2913"/>
      </w:tblGrid>
      <w:tr w:rsidR="00F12C22" w:rsidRPr="00F12C22" w14:paraId="3B980F22" w14:textId="77777777" w:rsidTr="00E05A21">
        <w:tc>
          <w:tcPr>
            <w:tcW w:w="3681" w:type="dxa"/>
          </w:tcPr>
          <w:p w14:paraId="3DBF79D1" w14:textId="77777777" w:rsidR="006270C8" w:rsidRPr="00F12C22" w:rsidRDefault="006270C8" w:rsidP="006270C8">
            <w:pPr>
              <w:spacing w:after="0" w:line="240" w:lineRule="auto"/>
              <w:rPr>
                <w:rFonts w:ascii="Arial Narrow" w:hAnsi="Arial Narrow"/>
                <w:sz w:val="20"/>
                <w:szCs w:val="18"/>
                <w:lang w:val="en-GB" w:eastAsia="ja-JP"/>
              </w:rPr>
            </w:pPr>
          </w:p>
        </w:tc>
        <w:tc>
          <w:tcPr>
            <w:tcW w:w="1488" w:type="dxa"/>
            <w:vAlign w:val="center"/>
          </w:tcPr>
          <w:p w14:paraId="75B12C87" w14:textId="62BCF80F" w:rsidR="006270C8" w:rsidRPr="00F12C22" w:rsidRDefault="00E05A21" w:rsidP="00E05A21">
            <w:pPr>
              <w:spacing w:after="0" w:line="240" w:lineRule="auto"/>
              <w:jc w:val="center"/>
              <w:rPr>
                <w:rFonts w:ascii="Arial Narrow" w:hAnsi="Arial Narrow"/>
                <w:b/>
                <w:bCs/>
                <w:sz w:val="20"/>
                <w:szCs w:val="18"/>
                <w:lang w:val="en-GB" w:eastAsia="ja-JP"/>
              </w:rPr>
            </w:pPr>
            <w:r w:rsidRPr="00F12C22">
              <w:rPr>
                <w:rFonts w:ascii="Arial Narrow" w:hAnsi="Arial Narrow"/>
                <w:b/>
                <w:bCs/>
                <w:sz w:val="20"/>
                <w:szCs w:val="18"/>
                <w:lang w:val="en-GB" w:eastAsia="ja-JP"/>
              </w:rPr>
              <w:t>Primary care</w:t>
            </w:r>
            <w:r w:rsidR="00933043">
              <w:rPr>
                <w:rFonts w:ascii="Arial Narrow" w:hAnsi="Arial Narrow"/>
                <w:b/>
                <w:bCs/>
                <w:sz w:val="20"/>
                <w:szCs w:val="18"/>
                <w:lang w:val="en-GB" w:eastAsia="ja-JP"/>
              </w:rPr>
              <w:t xml:space="preserve"> (PICO Set 1)</w:t>
            </w:r>
          </w:p>
        </w:tc>
        <w:tc>
          <w:tcPr>
            <w:tcW w:w="1489" w:type="dxa"/>
            <w:vAlign w:val="center"/>
          </w:tcPr>
          <w:p w14:paraId="29061C93" w14:textId="40EEFE0C" w:rsidR="006270C8" w:rsidRPr="00F12C22" w:rsidRDefault="00E05A21" w:rsidP="00E05A21">
            <w:pPr>
              <w:spacing w:after="0" w:line="240" w:lineRule="auto"/>
              <w:jc w:val="center"/>
              <w:rPr>
                <w:rFonts w:ascii="Arial Narrow" w:hAnsi="Arial Narrow"/>
                <w:b/>
                <w:bCs/>
                <w:sz w:val="20"/>
                <w:szCs w:val="18"/>
                <w:lang w:val="en-GB" w:eastAsia="ja-JP"/>
              </w:rPr>
            </w:pPr>
            <w:r w:rsidRPr="00F12C22">
              <w:rPr>
                <w:rFonts w:ascii="Arial Narrow" w:hAnsi="Arial Narrow"/>
                <w:b/>
                <w:bCs/>
                <w:sz w:val="20"/>
                <w:szCs w:val="18"/>
                <w:lang w:val="en-GB" w:eastAsia="ja-JP"/>
              </w:rPr>
              <w:t>Specialist care</w:t>
            </w:r>
            <w:r w:rsidR="00933043">
              <w:rPr>
                <w:rFonts w:ascii="Arial Narrow" w:hAnsi="Arial Narrow"/>
                <w:b/>
                <w:bCs/>
                <w:sz w:val="20"/>
                <w:szCs w:val="18"/>
                <w:lang w:val="en-GB" w:eastAsia="ja-JP"/>
              </w:rPr>
              <w:t xml:space="preserve"> (PICO Set 2)</w:t>
            </w:r>
          </w:p>
        </w:tc>
        <w:tc>
          <w:tcPr>
            <w:tcW w:w="2913" w:type="dxa"/>
          </w:tcPr>
          <w:p w14:paraId="6A82EBAC" w14:textId="3F1D1743" w:rsidR="006270C8" w:rsidRPr="00F12C22" w:rsidRDefault="00E05A21" w:rsidP="006270C8">
            <w:pPr>
              <w:spacing w:after="0" w:line="240" w:lineRule="auto"/>
              <w:rPr>
                <w:rFonts w:ascii="Arial Narrow" w:hAnsi="Arial Narrow"/>
                <w:b/>
                <w:bCs/>
                <w:sz w:val="20"/>
                <w:szCs w:val="18"/>
                <w:lang w:val="en-GB" w:eastAsia="ja-JP"/>
              </w:rPr>
            </w:pPr>
            <w:r w:rsidRPr="00F12C22">
              <w:rPr>
                <w:rFonts w:ascii="Arial Narrow" w:hAnsi="Arial Narrow"/>
                <w:b/>
                <w:bCs/>
                <w:sz w:val="20"/>
                <w:szCs w:val="18"/>
                <w:lang w:val="en-GB" w:eastAsia="ja-JP"/>
              </w:rPr>
              <w:t>Source</w:t>
            </w:r>
          </w:p>
        </w:tc>
      </w:tr>
      <w:tr w:rsidR="00F12C22" w:rsidRPr="00F12C22" w14:paraId="72476E1A" w14:textId="77777777" w:rsidTr="00E05A21">
        <w:tc>
          <w:tcPr>
            <w:tcW w:w="3681" w:type="dxa"/>
          </w:tcPr>
          <w:p w14:paraId="53896989" w14:textId="754D746C"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Proportion Australians living in rural or remote regions</w:t>
            </w:r>
          </w:p>
        </w:tc>
        <w:tc>
          <w:tcPr>
            <w:tcW w:w="1488" w:type="dxa"/>
            <w:vAlign w:val="center"/>
          </w:tcPr>
          <w:p w14:paraId="59A292F8" w14:textId="29C0BBA8"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28%</w:t>
            </w:r>
          </w:p>
        </w:tc>
        <w:tc>
          <w:tcPr>
            <w:tcW w:w="1489" w:type="dxa"/>
            <w:vAlign w:val="center"/>
          </w:tcPr>
          <w:p w14:paraId="4CED2B01" w14:textId="2C0B820E"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w:t>
            </w:r>
          </w:p>
        </w:tc>
        <w:tc>
          <w:tcPr>
            <w:tcW w:w="2913" w:type="dxa"/>
          </w:tcPr>
          <w:p w14:paraId="4197A951" w14:textId="5A42B8B5"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 xml:space="preserve">Australian Institute of </w:t>
            </w:r>
            <w:r w:rsidR="00051EB2" w:rsidRPr="00F12C22">
              <w:rPr>
                <w:rFonts w:ascii="Arial Narrow" w:hAnsi="Arial Narrow"/>
                <w:sz w:val="20"/>
                <w:szCs w:val="18"/>
                <w:lang w:val="en-GB" w:eastAsia="ja-JP"/>
              </w:rPr>
              <w:t>H</w:t>
            </w:r>
            <w:r w:rsidRPr="00F12C22">
              <w:rPr>
                <w:rFonts w:ascii="Arial Narrow" w:hAnsi="Arial Narrow"/>
                <w:sz w:val="20"/>
                <w:szCs w:val="18"/>
                <w:lang w:val="en-GB" w:eastAsia="ja-JP"/>
              </w:rPr>
              <w:t>ealth and Welfare (AIHW) 2024</w:t>
            </w:r>
          </w:p>
        </w:tc>
      </w:tr>
      <w:tr w:rsidR="00F12C22" w:rsidRPr="00F12C22" w14:paraId="7BB0438B" w14:textId="77777777" w:rsidTr="00E05A21">
        <w:tc>
          <w:tcPr>
            <w:tcW w:w="3681" w:type="dxa"/>
          </w:tcPr>
          <w:p w14:paraId="4CDDFE3D" w14:textId="58FE3A32" w:rsidR="00E05A21"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Proportion Australians who live in major cities accessing specialist hepatology private clinics</w:t>
            </w:r>
          </w:p>
        </w:tc>
        <w:tc>
          <w:tcPr>
            <w:tcW w:w="1488" w:type="dxa"/>
            <w:vAlign w:val="center"/>
          </w:tcPr>
          <w:p w14:paraId="7B6F4B57" w14:textId="13C4FDEE" w:rsidR="00E05A21"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w:t>
            </w:r>
          </w:p>
        </w:tc>
        <w:tc>
          <w:tcPr>
            <w:tcW w:w="1489" w:type="dxa"/>
            <w:vAlign w:val="center"/>
          </w:tcPr>
          <w:p w14:paraId="77AA38FF" w14:textId="2ABAA6B6" w:rsidR="00E05A21"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72%</w:t>
            </w:r>
          </w:p>
        </w:tc>
        <w:tc>
          <w:tcPr>
            <w:tcW w:w="2913" w:type="dxa"/>
            <w:vAlign w:val="center"/>
          </w:tcPr>
          <w:p w14:paraId="58597A28" w14:textId="44D0277E" w:rsidR="00E05A21" w:rsidRPr="00F12C22" w:rsidRDefault="00E05A21" w:rsidP="00E05A21">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Vaz 2023</w:t>
            </w:r>
          </w:p>
        </w:tc>
      </w:tr>
      <w:tr w:rsidR="00F12C22" w:rsidRPr="00F12C22" w14:paraId="52F6E8EA" w14:textId="77777777" w:rsidTr="00E05A21">
        <w:tc>
          <w:tcPr>
            <w:tcW w:w="3681" w:type="dxa"/>
          </w:tcPr>
          <w:p w14:paraId="3957C7F1" w14:textId="40FE601B"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Proportion of NAFLD patients requiring second-line test</w:t>
            </w:r>
          </w:p>
        </w:tc>
        <w:tc>
          <w:tcPr>
            <w:tcW w:w="1488" w:type="dxa"/>
            <w:vAlign w:val="center"/>
          </w:tcPr>
          <w:p w14:paraId="779E42FC" w14:textId="785F1DC6" w:rsidR="006270C8" w:rsidRPr="00F12C22" w:rsidRDefault="008A17FF"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 xml:space="preserve">Up to </w:t>
            </w:r>
            <w:r w:rsidR="00E05A21" w:rsidRPr="00F12C22">
              <w:rPr>
                <w:rFonts w:ascii="Arial Narrow" w:hAnsi="Arial Narrow"/>
                <w:sz w:val="20"/>
                <w:szCs w:val="18"/>
                <w:lang w:val="en-GB" w:eastAsia="ja-JP"/>
              </w:rPr>
              <w:t>60%</w:t>
            </w:r>
          </w:p>
        </w:tc>
        <w:tc>
          <w:tcPr>
            <w:tcW w:w="1489" w:type="dxa"/>
            <w:vAlign w:val="center"/>
          </w:tcPr>
          <w:p w14:paraId="0D7CC6F8" w14:textId="29783C63" w:rsidR="006270C8" w:rsidRPr="00F12C22" w:rsidRDefault="008A17FF"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 xml:space="preserve">Up to </w:t>
            </w:r>
            <w:r w:rsidR="00E05A21" w:rsidRPr="00F12C22">
              <w:rPr>
                <w:rFonts w:ascii="Arial Narrow" w:hAnsi="Arial Narrow"/>
                <w:sz w:val="20"/>
                <w:szCs w:val="18"/>
                <w:lang w:val="en-GB" w:eastAsia="ja-JP"/>
              </w:rPr>
              <w:t>60%</w:t>
            </w:r>
          </w:p>
        </w:tc>
        <w:tc>
          <w:tcPr>
            <w:tcW w:w="2913" w:type="dxa"/>
            <w:vAlign w:val="center"/>
          </w:tcPr>
          <w:p w14:paraId="06E9D0AB" w14:textId="56C330F7" w:rsidR="006270C8" w:rsidRPr="00F12C22" w:rsidRDefault="00E05A21" w:rsidP="00E05A21">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Vaz 2023</w:t>
            </w:r>
          </w:p>
        </w:tc>
      </w:tr>
      <w:tr w:rsidR="00F12C22" w:rsidRPr="00F12C22" w14:paraId="1A6B9402" w14:textId="77777777" w:rsidTr="00E05A21">
        <w:tc>
          <w:tcPr>
            <w:tcW w:w="3681" w:type="dxa"/>
          </w:tcPr>
          <w:p w14:paraId="65524D12" w14:textId="78BB294D"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Number of patients with NAFLD</w:t>
            </w:r>
          </w:p>
        </w:tc>
        <w:tc>
          <w:tcPr>
            <w:tcW w:w="1488" w:type="dxa"/>
            <w:vAlign w:val="center"/>
          </w:tcPr>
          <w:p w14:paraId="2163933E" w14:textId="2564C13D"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287,500</w:t>
            </w:r>
          </w:p>
        </w:tc>
        <w:tc>
          <w:tcPr>
            <w:tcW w:w="1489" w:type="dxa"/>
            <w:vAlign w:val="center"/>
          </w:tcPr>
          <w:p w14:paraId="041473FD" w14:textId="7FB2EC82"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287,500</w:t>
            </w:r>
          </w:p>
        </w:tc>
        <w:tc>
          <w:tcPr>
            <w:tcW w:w="2913" w:type="dxa"/>
          </w:tcPr>
          <w:p w14:paraId="1FB268CF" w14:textId="54C7F392"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Adams 2020</w:t>
            </w:r>
          </w:p>
        </w:tc>
      </w:tr>
      <w:tr w:rsidR="00F12C22" w:rsidRPr="00F12C22" w14:paraId="1F0C4EC5" w14:textId="77777777" w:rsidTr="00E05A21">
        <w:tc>
          <w:tcPr>
            <w:tcW w:w="3681" w:type="dxa"/>
          </w:tcPr>
          <w:p w14:paraId="2C19DD28" w14:textId="543449ED"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GP uptake</w:t>
            </w:r>
          </w:p>
        </w:tc>
        <w:tc>
          <w:tcPr>
            <w:tcW w:w="1488" w:type="dxa"/>
            <w:vAlign w:val="center"/>
          </w:tcPr>
          <w:p w14:paraId="7746057E" w14:textId="156B4F20"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60%</w:t>
            </w:r>
          </w:p>
        </w:tc>
        <w:tc>
          <w:tcPr>
            <w:tcW w:w="1489" w:type="dxa"/>
            <w:vAlign w:val="center"/>
          </w:tcPr>
          <w:p w14:paraId="544DBB4B" w14:textId="0087D53C"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w:t>
            </w:r>
          </w:p>
        </w:tc>
        <w:tc>
          <w:tcPr>
            <w:tcW w:w="2913" w:type="dxa"/>
          </w:tcPr>
          <w:p w14:paraId="45170449" w14:textId="77777777" w:rsidR="006270C8" w:rsidRPr="00F12C22" w:rsidRDefault="006270C8" w:rsidP="006270C8">
            <w:pPr>
              <w:spacing w:after="0" w:line="240" w:lineRule="auto"/>
              <w:rPr>
                <w:rFonts w:ascii="Arial Narrow" w:hAnsi="Arial Narrow"/>
                <w:sz w:val="20"/>
                <w:szCs w:val="18"/>
                <w:lang w:val="en-GB" w:eastAsia="ja-JP"/>
              </w:rPr>
            </w:pPr>
          </w:p>
        </w:tc>
      </w:tr>
      <w:tr w:rsidR="00F12C22" w:rsidRPr="00F12C22" w14:paraId="3F2D69B7" w14:textId="77777777" w:rsidTr="00E05A21">
        <w:tc>
          <w:tcPr>
            <w:tcW w:w="3681" w:type="dxa"/>
          </w:tcPr>
          <w:p w14:paraId="0F30AF8B" w14:textId="758A4725" w:rsidR="00E05A21"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 xml:space="preserve">Specialist uptake </w:t>
            </w:r>
          </w:p>
        </w:tc>
        <w:tc>
          <w:tcPr>
            <w:tcW w:w="1488" w:type="dxa"/>
            <w:vAlign w:val="center"/>
          </w:tcPr>
          <w:p w14:paraId="59CB2F34" w14:textId="760C04B5" w:rsidR="00E05A21"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w:t>
            </w:r>
          </w:p>
        </w:tc>
        <w:tc>
          <w:tcPr>
            <w:tcW w:w="1489" w:type="dxa"/>
            <w:vAlign w:val="center"/>
          </w:tcPr>
          <w:p w14:paraId="62DEBF94" w14:textId="3754977F" w:rsidR="00E05A21"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70%</w:t>
            </w:r>
          </w:p>
        </w:tc>
        <w:tc>
          <w:tcPr>
            <w:tcW w:w="2913" w:type="dxa"/>
          </w:tcPr>
          <w:p w14:paraId="16686D15" w14:textId="77777777" w:rsidR="00E05A21" w:rsidRPr="00F12C22" w:rsidRDefault="00E05A21" w:rsidP="006270C8">
            <w:pPr>
              <w:spacing w:after="0" w:line="240" w:lineRule="auto"/>
              <w:rPr>
                <w:rFonts w:ascii="Arial Narrow" w:hAnsi="Arial Narrow"/>
                <w:sz w:val="20"/>
                <w:szCs w:val="18"/>
                <w:lang w:val="en-GB" w:eastAsia="ja-JP"/>
              </w:rPr>
            </w:pPr>
          </w:p>
        </w:tc>
      </w:tr>
      <w:tr w:rsidR="00F12C22" w:rsidRPr="00F12C22" w14:paraId="47807CB0" w14:textId="77777777" w:rsidTr="00E05A21">
        <w:tc>
          <w:tcPr>
            <w:tcW w:w="3681" w:type="dxa"/>
          </w:tcPr>
          <w:p w14:paraId="3636A4C6" w14:textId="576CD4DD" w:rsidR="006270C8" w:rsidRPr="00F12C22" w:rsidRDefault="00E05A21" w:rsidP="006270C8">
            <w:pPr>
              <w:spacing w:after="0" w:line="240" w:lineRule="auto"/>
              <w:rPr>
                <w:rFonts w:ascii="Arial Narrow" w:hAnsi="Arial Narrow"/>
                <w:sz w:val="20"/>
                <w:szCs w:val="18"/>
                <w:lang w:val="en-GB" w:eastAsia="ja-JP"/>
              </w:rPr>
            </w:pPr>
            <w:r w:rsidRPr="00F12C22">
              <w:rPr>
                <w:rFonts w:ascii="Arial Narrow" w:hAnsi="Arial Narrow"/>
                <w:sz w:val="20"/>
                <w:szCs w:val="18"/>
                <w:lang w:val="en-GB" w:eastAsia="ja-JP"/>
              </w:rPr>
              <w:t>Estimated utilisation in first year</w:t>
            </w:r>
          </w:p>
        </w:tc>
        <w:tc>
          <w:tcPr>
            <w:tcW w:w="1488" w:type="dxa"/>
            <w:vAlign w:val="center"/>
          </w:tcPr>
          <w:p w14:paraId="695C0529" w14:textId="6478CBCB"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28,980</w:t>
            </w:r>
          </w:p>
        </w:tc>
        <w:tc>
          <w:tcPr>
            <w:tcW w:w="1489" w:type="dxa"/>
            <w:vAlign w:val="center"/>
          </w:tcPr>
          <w:p w14:paraId="0A3EEFCE" w14:textId="19BEB9B0" w:rsidR="006270C8" w:rsidRPr="00F12C22" w:rsidRDefault="00E05A21" w:rsidP="00E05A21">
            <w:pPr>
              <w:spacing w:after="0" w:line="240" w:lineRule="auto"/>
              <w:jc w:val="center"/>
              <w:rPr>
                <w:rFonts w:ascii="Arial Narrow" w:hAnsi="Arial Narrow"/>
                <w:sz w:val="20"/>
                <w:szCs w:val="18"/>
                <w:lang w:val="en-GB" w:eastAsia="ja-JP"/>
              </w:rPr>
            </w:pPr>
            <w:r w:rsidRPr="00F12C22">
              <w:rPr>
                <w:rFonts w:ascii="Arial Narrow" w:hAnsi="Arial Narrow"/>
                <w:sz w:val="20"/>
                <w:szCs w:val="18"/>
                <w:lang w:val="en-GB" w:eastAsia="ja-JP"/>
              </w:rPr>
              <w:t>86,940</w:t>
            </w:r>
          </w:p>
        </w:tc>
        <w:tc>
          <w:tcPr>
            <w:tcW w:w="2913" w:type="dxa"/>
          </w:tcPr>
          <w:p w14:paraId="2B82799E" w14:textId="77777777" w:rsidR="006270C8" w:rsidRPr="00F12C22" w:rsidRDefault="006270C8" w:rsidP="006270C8">
            <w:pPr>
              <w:spacing w:after="0" w:line="240" w:lineRule="auto"/>
              <w:rPr>
                <w:rFonts w:ascii="Arial Narrow" w:hAnsi="Arial Narrow"/>
                <w:sz w:val="20"/>
                <w:szCs w:val="18"/>
                <w:lang w:val="en-GB" w:eastAsia="ja-JP"/>
              </w:rPr>
            </w:pPr>
          </w:p>
        </w:tc>
      </w:tr>
    </w:tbl>
    <w:p w14:paraId="21D176CE" w14:textId="394922FD" w:rsidR="006270C8" w:rsidRPr="00F12C22" w:rsidRDefault="00E05A21" w:rsidP="006270C8">
      <w:pPr>
        <w:rPr>
          <w:rFonts w:ascii="Arial Narrow" w:hAnsi="Arial Narrow"/>
          <w:sz w:val="18"/>
          <w:szCs w:val="18"/>
          <w:lang w:val="en-GB" w:eastAsia="ja-JP"/>
        </w:rPr>
      </w:pPr>
      <w:r w:rsidRPr="00F12C22">
        <w:rPr>
          <w:rFonts w:ascii="Arial Narrow" w:hAnsi="Arial Narrow"/>
          <w:sz w:val="18"/>
          <w:szCs w:val="18"/>
          <w:lang w:val="en-GB" w:eastAsia="ja-JP"/>
        </w:rPr>
        <w:t>Source: ‘Estimated utilisation.xlsx’ provided with the application</w:t>
      </w:r>
    </w:p>
    <w:p w14:paraId="283381EA" w14:textId="592FA3E1" w:rsidR="0046599F" w:rsidRPr="00F12C22" w:rsidRDefault="0046599F" w:rsidP="006270C8">
      <w:pPr>
        <w:rPr>
          <w:iCs/>
        </w:rPr>
      </w:pPr>
      <w:r w:rsidRPr="00F12C22">
        <w:rPr>
          <w:iCs/>
        </w:rPr>
        <w:t xml:space="preserve">It is not clear why the estimates for utilisation in primary care were restricted to ‘rural and remote areas’, as although this is a likely under-serviced population, the item descriptor does not restrict use of </w:t>
      </w:r>
      <w:r w:rsidR="00823CCA" w:rsidRPr="00F12C22">
        <w:rPr>
          <w:iCs/>
        </w:rPr>
        <w:t>VCTE™</w:t>
      </w:r>
      <w:r w:rsidRPr="00F12C22">
        <w:rPr>
          <w:iCs/>
        </w:rPr>
        <w:t xml:space="preserve"> in the primary care setting to those in rural and remote areas. </w:t>
      </w:r>
      <w:r w:rsidRPr="00F42687">
        <w:rPr>
          <w:iCs/>
        </w:rPr>
        <w:t>The applicant</w:t>
      </w:r>
      <w:r w:rsidR="00B104E9" w:rsidDel="009871D1">
        <w:rPr>
          <w:iCs/>
        </w:rPr>
        <w:t xml:space="preserve"> </w:t>
      </w:r>
      <w:r w:rsidR="009871D1">
        <w:rPr>
          <w:iCs/>
        </w:rPr>
        <w:t>stated</w:t>
      </w:r>
      <w:r w:rsidR="00B104E9">
        <w:rPr>
          <w:iCs/>
        </w:rPr>
        <w:t xml:space="preserve"> that t</w:t>
      </w:r>
      <w:r w:rsidR="00B104E9" w:rsidRPr="00B104E9">
        <w:rPr>
          <w:iCs/>
        </w:rPr>
        <w:t xml:space="preserve">he initial utilisation estimates in primary care were focused on rural and remote areas to reflect the current limited availability of VCTE™ devices in primary care and the intent to prioritise early access in under-serviced, high-need populations. The </w:t>
      </w:r>
      <w:r w:rsidR="00B104E9">
        <w:rPr>
          <w:iCs/>
        </w:rPr>
        <w:t xml:space="preserve">applicant stated the </w:t>
      </w:r>
      <w:r w:rsidR="00B104E9" w:rsidRPr="00B104E9">
        <w:rPr>
          <w:iCs/>
        </w:rPr>
        <w:t>item descriptor is not geographically restricted and future uptake is expected to expand to all eligible high-risk and indeterminate-risk groups regardless of location</w:t>
      </w:r>
      <w:r w:rsidRPr="00F42687">
        <w:rPr>
          <w:iCs/>
        </w:rPr>
        <w:t>.</w:t>
      </w:r>
      <w:r w:rsidRPr="00F12C22">
        <w:rPr>
          <w:iCs/>
        </w:rPr>
        <w:t xml:space="preserve"> </w:t>
      </w:r>
      <w:r w:rsidR="00CB6236" w:rsidRPr="00F12C22">
        <w:rPr>
          <w:iCs/>
        </w:rPr>
        <w:t>Utilisation estimates should relate to the estimated number of patients in the high risk and indeterminate risk groups.</w:t>
      </w:r>
    </w:p>
    <w:p w14:paraId="5B0ABDBD" w14:textId="60C6AFF4" w:rsidR="0046599F" w:rsidRPr="00F12C22" w:rsidRDefault="0046599F" w:rsidP="006270C8">
      <w:pPr>
        <w:rPr>
          <w:iCs/>
        </w:rPr>
      </w:pPr>
      <w:r w:rsidRPr="00F12C22">
        <w:rPr>
          <w:iCs/>
        </w:rPr>
        <w:t>The applicant has advised that clinician uptake is influenced primarily by device availability</w:t>
      </w:r>
      <w:r w:rsidR="00F8309F">
        <w:rPr>
          <w:iCs/>
        </w:rPr>
        <w:t>,</w:t>
      </w:r>
      <w:r w:rsidRPr="00F12C22">
        <w:rPr>
          <w:iCs/>
        </w:rPr>
        <w:t xml:space="preserve"> as hepatologists mostly agree on the clinical utility of </w:t>
      </w:r>
      <w:r w:rsidR="00823CCA" w:rsidRPr="00F12C22">
        <w:rPr>
          <w:iCs/>
        </w:rPr>
        <w:t>VCTE™</w:t>
      </w:r>
      <w:r w:rsidRPr="00F12C22">
        <w:rPr>
          <w:iCs/>
        </w:rPr>
        <w:t xml:space="preserve"> within their practices and </w:t>
      </w:r>
      <w:r w:rsidR="00823CCA" w:rsidRPr="00F12C22">
        <w:rPr>
          <w:iCs/>
        </w:rPr>
        <w:t>VCTE™</w:t>
      </w:r>
      <w:r w:rsidRPr="00F12C22">
        <w:rPr>
          <w:iCs/>
        </w:rPr>
        <w:t xml:space="preserve"> is part of all major clinical guidelines. The applicant noted that utilisation will be elaborated further in the </w:t>
      </w:r>
      <w:r w:rsidR="00F01F52">
        <w:rPr>
          <w:iCs/>
        </w:rPr>
        <w:t>applicant-developed assessment report (</w:t>
      </w:r>
      <w:r w:rsidRPr="00F12C22">
        <w:rPr>
          <w:iCs/>
        </w:rPr>
        <w:t>ADAR</w:t>
      </w:r>
      <w:r w:rsidR="00F01F52">
        <w:rPr>
          <w:iCs/>
        </w:rPr>
        <w:t>)</w:t>
      </w:r>
      <w:r w:rsidRPr="00F12C22">
        <w:rPr>
          <w:iCs/>
        </w:rPr>
        <w:t xml:space="preserve"> and was selected as an initial estimate.</w:t>
      </w:r>
    </w:p>
    <w:p w14:paraId="15C86167" w14:textId="5129D6C2" w:rsidR="006270C8" w:rsidRPr="00F12C22" w:rsidRDefault="006270C8" w:rsidP="006270C8">
      <w:pPr>
        <w:rPr>
          <w:iCs/>
        </w:rPr>
      </w:pPr>
      <w:r w:rsidRPr="00F12C22">
        <w:rPr>
          <w:iCs/>
        </w:rPr>
        <w:lastRenderedPageBreak/>
        <w:t xml:space="preserve">Along with </w:t>
      </w:r>
      <w:r w:rsidR="00823CCA" w:rsidRPr="00F12C22">
        <w:rPr>
          <w:iCs/>
        </w:rPr>
        <w:t>VCTE™</w:t>
      </w:r>
      <w:r w:rsidRPr="00F12C22">
        <w:rPr>
          <w:iCs/>
          <w:vertAlign w:val="superscript"/>
        </w:rPr>
        <w:t xml:space="preserve"> </w:t>
      </w:r>
      <w:r w:rsidRPr="00F12C22">
        <w:rPr>
          <w:iCs/>
        </w:rPr>
        <w:t xml:space="preserve">there </w:t>
      </w:r>
      <w:r w:rsidR="006744F6" w:rsidRPr="00F12C22">
        <w:rPr>
          <w:iCs/>
        </w:rPr>
        <w:t xml:space="preserve">may </w:t>
      </w:r>
      <w:r w:rsidRPr="00F12C22">
        <w:rPr>
          <w:iCs/>
        </w:rPr>
        <w:t>also be increased utilisation of LFTs and ultrasound, along with assessment of insulin resistance (HOMA-IR) and plasma HS-CRP for the diagnosis of MAFLD</w:t>
      </w:r>
      <w:r w:rsidR="00CB6236" w:rsidRPr="00F12C22">
        <w:rPr>
          <w:iCs/>
        </w:rPr>
        <w:t xml:space="preserve"> as a result of increasing awareness among primary care providers </w:t>
      </w:r>
      <w:r w:rsidR="00CB6236" w:rsidRPr="00F12C22">
        <w:t>regarding diagnosis, management and referral of MAFLD patients</w:t>
      </w:r>
      <w:r w:rsidR="006744F6" w:rsidRPr="00F12C22">
        <w:t xml:space="preserve"> (see ‘Intervention’ below). </w:t>
      </w:r>
      <w:r w:rsidR="006744F6" w:rsidRPr="00F12C22">
        <w:rPr>
          <w:iCs/>
        </w:rPr>
        <w:t>These</w:t>
      </w:r>
      <w:r w:rsidRPr="00F12C22">
        <w:rPr>
          <w:iCs/>
        </w:rPr>
        <w:t xml:space="preserve"> should be estimated in the assessment report. </w:t>
      </w:r>
    </w:p>
    <w:p w14:paraId="054D23C6" w14:textId="6FC3E9FB" w:rsidR="003B4F05" w:rsidRPr="00F12C22" w:rsidRDefault="007F176B" w:rsidP="006270C8">
      <w:pPr>
        <w:rPr>
          <w:iCs/>
        </w:rPr>
      </w:pPr>
      <w:r w:rsidRPr="00F12C22">
        <w:rPr>
          <w:iCs/>
        </w:rPr>
        <w:t xml:space="preserve">VCTE™ has </w:t>
      </w:r>
      <w:r w:rsidR="006221DF" w:rsidRPr="00F12C22">
        <w:rPr>
          <w:iCs/>
        </w:rPr>
        <w:t xml:space="preserve">the </w:t>
      </w:r>
      <w:r w:rsidRPr="00F12C22">
        <w:rPr>
          <w:iCs/>
        </w:rPr>
        <w:t xml:space="preserve">potential to be used in </w:t>
      </w:r>
      <w:r w:rsidR="00EF43CA" w:rsidRPr="00F12C22">
        <w:rPr>
          <w:iCs/>
        </w:rPr>
        <w:t xml:space="preserve">broader populations that are not considered in the application, such as those </w:t>
      </w:r>
      <w:r w:rsidR="004E7A40" w:rsidRPr="00F12C22">
        <w:rPr>
          <w:iCs/>
        </w:rPr>
        <w:t xml:space="preserve">needing assessment for liver fibrosis due to </w:t>
      </w:r>
      <w:r w:rsidR="00EF43CA" w:rsidRPr="00F12C22">
        <w:rPr>
          <w:iCs/>
        </w:rPr>
        <w:t>alcoholic fatty liver disease and</w:t>
      </w:r>
      <w:r w:rsidR="002D7A7E">
        <w:rPr>
          <w:iCs/>
        </w:rPr>
        <w:t>/</w:t>
      </w:r>
      <w:r w:rsidR="004E7A40" w:rsidRPr="00F12C22">
        <w:rPr>
          <w:iCs/>
        </w:rPr>
        <w:t>or</w:t>
      </w:r>
      <w:r w:rsidR="00EF43CA" w:rsidRPr="00F12C22">
        <w:rPr>
          <w:iCs/>
        </w:rPr>
        <w:t xml:space="preserve"> viral hepatitis B </w:t>
      </w:r>
      <w:r w:rsidR="004E7A40" w:rsidRPr="00F12C22">
        <w:rPr>
          <w:iCs/>
        </w:rPr>
        <w:t>or</w:t>
      </w:r>
      <w:r w:rsidR="00EF43CA" w:rsidRPr="00F12C22">
        <w:rPr>
          <w:iCs/>
        </w:rPr>
        <w:t xml:space="preserve"> C infection. </w:t>
      </w:r>
    </w:p>
    <w:p w14:paraId="2B8A710B" w14:textId="52FB309A" w:rsidR="002805E7" w:rsidRDefault="00B104E9" w:rsidP="006270C8">
      <w:pPr>
        <w:rPr>
          <w:i/>
        </w:rPr>
      </w:pPr>
      <w:r w:rsidRPr="00B104E9">
        <w:rPr>
          <w:i/>
        </w:rPr>
        <w:t>PASC acknowledged that VCTE™ has applications in patient groups other than MAFLD, such as those with alcoholic fatty liver disease and/or viral hepatitis B or C infection. PASC noted the applicant’s comments that MAFLD was the focus of this application because it is a leading and major cause of liver cirrhosis and cancer, with a significant healthcare burden. The applicant also stated that VCTE™ is well validated in the MAFLD population, and that other causes of liver disease have different care pathways. PASC considered th</w:t>
      </w:r>
      <w:r w:rsidR="00B51AB0">
        <w:rPr>
          <w:i/>
        </w:rPr>
        <w:t xml:space="preserve">at there may be an issue of inequity for patients with other forms of liver disease, and this may be </w:t>
      </w:r>
      <w:r w:rsidRPr="00B104E9">
        <w:rPr>
          <w:i/>
        </w:rPr>
        <w:t>considered as part of the patient outcomes for this application.</w:t>
      </w:r>
      <w:r>
        <w:rPr>
          <w:i/>
        </w:rPr>
        <w:t xml:space="preserve"> </w:t>
      </w:r>
    </w:p>
    <w:p w14:paraId="472430E4" w14:textId="6AAB7AB7" w:rsidR="00567639" w:rsidRPr="005C67C7" w:rsidRDefault="00DB3F83" w:rsidP="006270C8">
      <w:pPr>
        <w:rPr>
          <w:iCs/>
        </w:rPr>
      </w:pPr>
      <w:r w:rsidRPr="008B40C7">
        <w:rPr>
          <w:iCs/>
        </w:rPr>
        <w:t>I</w:t>
      </w:r>
      <w:r>
        <w:rPr>
          <w:iCs/>
        </w:rPr>
        <w:t xml:space="preserve">n 2016, </w:t>
      </w:r>
      <w:r w:rsidR="00D446C5" w:rsidRPr="00F12C22">
        <w:rPr>
          <w:iCs/>
        </w:rPr>
        <w:t xml:space="preserve">MSAC did not support public funding for </w:t>
      </w:r>
      <w:r w:rsidR="00E301CB" w:rsidRPr="00F12C22">
        <w:rPr>
          <w:iCs/>
        </w:rPr>
        <w:t>VCTE™</w:t>
      </w:r>
      <w:r w:rsidR="00D446C5" w:rsidRPr="00F12C22">
        <w:rPr>
          <w:iCs/>
        </w:rPr>
        <w:t xml:space="preserve"> for </w:t>
      </w:r>
      <w:r>
        <w:rPr>
          <w:iCs/>
        </w:rPr>
        <w:t>chr</w:t>
      </w:r>
      <w:r w:rsidR="005D2F44">
        <w:rPr>
          <w:iCs/>
        </w:rPr>
        <w:t>onic</w:t>
      </w:r>
      <w:r w:rsidR="00D446C5" w:rsidRPr="00F12C22">
        <w:rPr>
          <w:iCs/>
        </w:rPr>
        <w:t xml:space="preserve"> </w:t>
      </w:r>
      <w:r w:rsidR="00E301CB" w:rsidRPr="00F12C22">
        <w:rPr>
          <w:iCs/>
        </w:rPr>
        <w:t>hepatitis B and C</w:t>
      </w:r>
      <w:r w:rsidR="00D446C5" w:rsidRPr="00F12C22">
        <w:rPr>
          <w:iCs/>
        </w:rPr>
        <w:t xml:space="preserve"> patients (MSAC 1366). </w:t>
      </w:r>
      <w:r w:rsidR="00FA3802">
        <w:rPr>
          <w:iCs/>
        </w:rPr>
        <w:t>At the time, w</w:t>
      </w:r>
      <w:r w:rsidR="00D446C5" w:rsidRPr="00F12C22">
        <w:rPr>
          <w:iCs/>
        </w:rPr>
        <w:t xml:space="preserve">hile MSAC accepted that </w:t>
      </w:r>
      <w:r w:rsidR="0E2A66D3">
        <w:t>transient elastography (</w:t>
      </w:r>
      <w:r w:rsidR="00D446C5" w:rsidRPr="00F12C22">
        <w:rPr>
          <w:iCs/>
        </w:rPr>
        <w:t>TE</w:t>
      </w:r>
      <w:r w:rsidR="7CCCBCD8">
        <w:t>)</w:t>
      </w:r>
      <w:r w:rsidR="00D446C5" w:rsidRPr="00F12C22">
        <w:rPr>
          <w:iCs/>
        </w:rPr>
        <w:t xml:space="preserve"> </w:t>
      </w:r>
      <w:r w:rsidR="00376A11">
        <w:rPr>
          <w:iCs/>
        </w:rPr>
        <w:t>wa</w:t>
      </w:r>
      <w:r w:rsidR="00D446C5" w:rsidRPr="00F12C22">
        <w:rPr>
          <w:iCs/>
        </w:rPr>
        <w:t>s being used by hepatologists as part of routine practice, the evidence that it improve</w:t>
      </w:r>
      <w:r w:rsidR="00376A11">
        <w:rPr>
          <w:iCs/>
        </w:rPr>
        <w:t>d</w:t>
      </w:r>
      <w:r w:rsidR="00D446C5" w:rsidRPr="00F12C22">
        <w:rPr>
          <w:iCs/>
        </w:rPr>
        <w:t xml:space="preserve"> patient outcomes by changing treatment decisions for either </w:t>
      </w:r>
      <w:r w:rsidR="00E301CB" w:rsidRPr="00F12C22">
        <w:rPr>
          <w:iCs/>
        </w:rPr>
        <w:t xml:space="preserve">hepatitis B or C patients </w:t>
      </w:r>
      <w:r w:rsidR="00376A11">
        <w:rPr>
          <w:iCs/>
        </w:rPr>
        <w:t>wa</w:t>
      </w:r>
      <w:r w:rsidR="00D446C5" w:rsidRPr="00F12C22">
        <w:rPr>
          <w:iCs/>
        </w:rPr>
        <w:t>s negligible. MSAC</w:t>
      </w:r>
      <w:r w:rsidR="005D2F44">
        <w:rPr>
          <w:iCs/>
        </w:rPr>
        <w:t xml:space="preserve"> also</w:t>
      </w:r>
      <w:r w:rsidR="00D446C5" w:rsidRPr="00F12C22">
        <w:rPr>
          <w:iCs/>
        </w:rPr>
        <w:t xml:space="preserve"> remained unconvinced by the economic modelling and </w:t>
      </w:r>
      <w:r w:rsidR="00376A11">
        <w:rPr>
          <w:iCs/>
        </w:rPr>
        <w:t>wa</w:t>
      </w:r>
      <w:r w:rsidR="00D446C5" w:rsidRPr="00F12C22">
        <w:rPr>
          <w:iCs/>
        </w:rPr>
        <w:t xml:space="preserve">s concerned about the potential for use in other liver conditions, and for monitoring of treatment responses in </w:t>
      </w:r>
      <w:r w:rsidR="00E301CB" w:rsidRPr="00F12C22">
        <w:rPr>
          <w:iCs/>
        </w:rPr>
        <w:t>hepatitis B and C patients</w:t>
      </w:r>
      <w:r w:rsidR="00D446C5" w:rsidRPr="00F12C22">
        <w:rPr>
          <w:iCs/>
        </w:rPr>
        <w:t>, resulting in substantial additional costs and no clear health gains</w:t>
      </w:r>
      <w:r w:rsidR="00E301CB" w:rsidRPr="00F12C22">
        <w:rPr>
          <w:iCs/>
        </w:rPr>
        <w:t xml:space="preserve"> (MSAC 1366 PSD, p1)</w:t>
      </w:r>
      <w:r w:rsidR="00D446C5" w:rsidRPr="00F12C22">
        <w:rPr>
          <w:iCs/>
        </w:rPr>
        <w:t>.</w:t>
      </w:r>
    </w:p>
    <w:p w14:paraId="0E38780D" w14:textId="01E84E29" w:rsidR="007A66C8" w:rsidRPr="00F12C22" w:rsidRDefault="007A66C8" w:rsidP="00713728">
      <w:pPr>
        <w:pStyle w:val="Heading3"/>
      </w:pPr>
      <w:r w:rsidRPr="00F12C22">
        <w:t>Intervention</w:t>
      </w:r>
    </w:p>
    <w:p w14:paraId="33553C2F" w14:textId="67C22DB5" w:rsidR="000C444D" w:rsidRDefault="000C444D" w:rsidP="000C444D">
      <w:pPr>
        <w:spacing w:after="240"/>
        <w:rPr>
          <w:iCs/>
        </w:rPr>
      </w:pPr>
      <w:r w:rsidRPr="00F12C22">
        <w:rPr>
          <w:iCs/>
        </w:rPr>
        <w:t xml:space="preserve">The proposed investigative technology </w:t>
      </w:r>
      <w:r w:rsidR="007F21A0">
        <w:rPr>
          <w:iCs/>
        </w:rPr>
        <w:t xml:space="preserve">for both PICO set 1 and 2 </w:t>
      </w:r>
      <w:r w:rsidRPr="00F12C22">
        <w:rPr>
          <w:iCs/>
        </w:rPr>
        <w:t xml:space="preserve">is </w:t>
      </w:r>
      <w:r w:rsidR="00823CCA" w:rsidRPr="00F12C22">
        <w:rPr>
          <w:iCs/>
        </w:rPr>
        <w:t>VCTE™</w:t>
      </w:r>
      <w:r w:rsidR="0056566A" w:rsidRPr="00F12C22">
        <w:rPr>
          <w:iCs/>
        </w:rPr>
        <w:t>,</w:t>
      </w:r>
      <w:r w:rsidRPr="00F12C22">
        <w:rPr>
          <w:iCs/>
        </w:rPr>
        <w:t xml:space="preserve"> which is exclusively performed </w:t>
      </w:r>
      <w:r w:rsidR="006E27BC">
        <w:rPr>
          <w:iCs/>
        </w:rPr>
        <w:t>using</w:t>
      </w:r>
      <w:r w:rsidR="006E27BC" w:rsidRPr="00F12C22">
        <w:rPr>
          <w:iCs/>
        </w:rPr>
        <w:t xml:space="preserve"> </w:t>
      </w:r>
      <w:r w:rsidRPr="00F12C22">
        <w:rPr>
          <w:iCs/>
        </w:rPr>
        <w:t xml:space="preserve">FibroScan® devices. </w:t>
      </w:r>
    </w:p>
    <w:p w14:paraId="425FAD26" w14:textId="5180C57C" w:rsidR="00E20C8D" w:rsidRPr="00F12C22" w:rsidRDefault="00E20C8D" w:rsidP="00E20C8D">
      <w:pPr>
        <w:spacing w:after="240"/>
        <w:rPr>
          <w:iCs/>
        </w:rPr>
      </w:pPr>
      <w:r w:rsidRPr="00F12C22">
        <w:rPr>
          <w:iCs/>
        </w:rPr>
        <w:t xml:space="preserve">In addition to VCTE™, based on the wording of the proposed item descriptors, the intervention includes consultation with either a GP (PICO </w:t>
      </w:r>
      <w:r w:rsidR="00B104E9">
        <w:rPr>
          <w:iCs/>
        </w:rPr>
        <w:t>s</w:t>
      </w:r>
      <w:r w:rsidRPr="00F12C22">
        <w:rPr>
          <w:iCs/>
        </w:rPr>
        <w:t xml:space="preserve">et 1) or specialist (PICO </w:t>
      </w:r>
      <w:r w:rsidR="00B104E9">
        <w:rPr>
          <w:iCs/>
        </w:rPr>
        <w:t>s</w:t>
      </w:r>
      <w:r w:rsidRPr="00F12C22">
        <w:rPr>
          <w:iCs/>
        </w:rPr>
        <w:t xml:space="preserve">et 2) to: </w:t>
      </w:r>
    </w:p>
    <w:p w14:paraId="6B8251E9" w14:textId="77777777" w:rsidR="00E20C8D" w:rsidRPr="00F12C22" w:rsidRDefault="00E20C8D" w:rsidP="00E20C8D">
      <w:pPr>
        <w:pStyle w:val="ListParagraph"/>
        <w:numPr>
          <w:ilvl w:val="2"/>
          <w:numId w:val="12"/>
        </w:numPr>
        <w:spacing w:after="240"/>
        <w:ind w:left="426" w:hanging="426"/>
        <w:rPr>
          <w:iCs/>
        </w:rPr>
      </w:pPr>
      <w:r w:rsidRPr="00F12C22">
        <w:rPr>
          <w:iCs/>
        </w:rPr>
        <w:t>Collect relevant information, including taking a patient history.</w:t>
      </w:r>
    </w:p>
    <w:p w14:paraId="018D3FF3" w14:textId="77777777" w:rsidR="00E20C8D" w:rsidRPr="00F12C22" w:rsidRDefault="00E20C8D" w:rsidP="00E20C8D">
      <w:pPr>
        <w:pStyle w:val="ListParagraph"/>
        <w:numPr>
          <w:ilvl w:val="2"/>
          <w:numId w:val="12"/>
        </w:numPr>
        <w:spacing w:after="240"/>
        <w:ind w:left="426" w:hanging="426"/>
        <w:rPr>
          <w:iCs/>
        </w:rPr>
      </w:pPr>
      <w:r w:rsidRPr="00F12C22">
        <w:rPr>
          <w:iCs/>
        </w:rPr>
        <w:t>Initiate interventions and referrals as indicated.</w:t>
      </w:r>
    </w:p>
    <w:p w14:paraId="22DAFAC3" w14:textId="77777777" w:rsidR="00E20C8D" w:rsidRPr="00F12C22" w:rsidRDefault="00E20C8D" w:rsidP="00E20C8D">
      <w:pPr>
        <w:pStyle w:val="ListParagraph"/>
        <w:numPr>
          <w:ilvl w:val="2"/>
          <w:numId w:val="12"/>
        </w:numPr>
        <w:spacing w:after="240"/>
        <w:ind w:left="426" w:hanging="426"/>
        <w:rPr>
          <w:iCs/>
        </w:rPr>
      </w:pPr>
      <w:r w:rsidRPr="00F12C22">
        <w:rPr>
          <w:iCs/>
        </w:rPr>
        <w:t>Implement a management plan.</w:t>
      </w:r>
    </w:p>
    <w:p w14:paraId="45D2C822" w14:textId="77777777" w:rsidR="00E20C8D" w:rsidRPr="00F12C22" w:rsidRDefault="00E20C8D" w:rsidP="00E20C8D">
      <w:pPr>
        <w:pStyle w:val="ListParagraph"/>
        <w:numPr>
          <w:ilvl w:val="2"/>
          <w:numId w:val="12"/>
        </w:numPr>
        <w:spacing w:after="240"/>
        <w:ind w:left="426" w:hanging="426"/>
        <w:rPr>
          <w:iCs/>
        </w:rPr>
      </w:pPr>
      <w:r w:rsidRPr="00F12C22">
        <w:rPr>
          <w:iCs/>
        </w:rPr>
        <w:t>Provide the patient with preventative health care advice and information.</w:t>
      </w:r>
    </w:p>
    <w:p w14:paraId="58C8E4B7" w14:textId="7CA9BA48" w:rsidR="00893EFC" w:rsidRDefault="00E20C8D" w:rsidP="000C444D">
      <w:pPr>
        <w:spacing w:after="240"/>
        <w:rPr>
          <w:iCs/>
        </w:rPr>
      </w:pPr>
      <w:r w:rsidRPr="00F12C22">
        <w:rPr>
          <w:iCs/>
        </w:rPr>
        <w:t>While the applicant stated that the clinical utility of VCTE™ relie</w:t>
      </w:r>
      <w:r w:rsidR="005F1719">
        <w:rPr>
          <w:iCs/>
        </w:rPr>
        <w:t>s</w:t>
      </w:r>
      <w:r w:rsidRPr="00F12C22">
        <w:rPr>
          <w:iCs/>
        </w:rPr>
        <w:t xml:space="preserve"> on the consultation part of the item descriptor, there may be a rationale for </w:t>
      </w:r>
      <w:r w:rsidR="005F1719">
        <w:rPr>
          <w:iCs/>
        </w:rPr>
        <w:t>separating</w:t>
      </w:r>
      <w:r w:rsidRPr="00F12C22">
        <w:rPr>
          <w:iCs/>
        </w:rPr>
        <w:t xml:space="preserve"> the VCTE™ scan </w:t>
      </w:r>
      <w:r w:rsidR="005F1719">
        <w:rPr>
          <w:iCs/>
        </w:rPr>
        <w:t>from the</w:t>
      </w:r>
      <w:r w:rsidRPr="00F12C22">
        <w:rPr>
          <w:iCs/>
        </w:rPr>
        <w:t xml:space="preserve"> consultation (particularly in </w:t>
      </w:r>
      <w:r w:rsidR="005F1719">
        <w:rPr>
          <w:iCs/>
        </w:rPr>
        <w:t xml:space="preserve">the </w:t>
      </w:r>
      <w:r w:rsidRPr="00F12C22">
        <w:rPr>
          <w:iCs/>
        </w:rPr>
        <w:t>primary care</w:t>
      </w:r>
      <w:r w:rsidR="005F1719">
        <w:rPr>
          <w:iCs/>
        </w:rPr>
        <w:t xml:space="preserve"> setting</w:t>
      </w:r>
      <w:r w:rsidRPr="00F12C22">
        <w:rPr>
          <w:iCs/>
        </w:rPr>
        <w:t>)</w:t>
      </w:r>
      <w:r w:rsidR="005F1719">
        <w:rPr>
          <w:iCs/>
        </w:rPr>
        <w:t xml:space="preserve"> (</w:t>
      </w:r>
      <w:r w:rsidRPr="00F12C22">
        <w:rPr>
          <w:iCs/>
        </w:rPr>
        <w:t>see ‘Proposal for public funding’ for further discussion</w:t>
      </w:r>
      <w:r w:rsidR="008B40C7">
        <w:rPr>
          <w:iCs/>
        </w:rPr>
        <w:t>)</w:t>
      </w:r>
      <w:r w:rsidRPr="00F12C22">
        <w:rPr>
          <w:iCs/>
        </w:rPr>
        <w:t>.</w:t>
      </w:r>
    </w:p>
    <w:p w14:paraId="1665D523" w14:textId="7423ABC3" w:rsidR="000D348E" w:rsidRPr="004C0B84" w:rsidRDefault="000D348E" w:rsidP="000D348E">
      <w:pPr>
        <w:autoSpaceDE w:val="0"/>
        <w:autoSpaceDN w:val="0"/>
        <w:adjustRightInd w:val="0"/>
        <w:spacing w:line="23" w:lineRule="atLeast"/>
        <w:rPr>
          <w:rFonts w:asciiTheme="minorHAnsi" w:hAnsiTheme="minorHAnsi" w:cstheme="minorBidi"/>
          <w:i/>
          <w:iCs/>
        </w:rPr>
      </w:pPr>
      <w:r w:rsidRPr="004C0B84">
        <w:rPr>
          <w:rFonts w:asciiTheme="minorHAnsi" w:hAnsiTheme="minorHAnsi" w:cstheme="minorBidi"/>
          <w:i/>
          <w:iCs/>
        </w:rPr>
        <w:t xml:space="preserve">PASC noted that the proposed intervention consists of a test component and a consultation component. PASC noted advice from the department that there is a preference to avoid consultation items for specific medical conditions. PASC considered that existing MBS </w:t>
      </w:r>
      <w:r w:rsidRPr="004C0B84">
        <w:rPr>
          <w:rFonts w:asciiTheme="minorHAnsi" w:hAnsiTheme="minorHAnsi" w:cstheme="minorBidi"/>
          <w:i/>
        </w:rPr>
        <w:t>items</w:t>
      </w:r>
      <w:r w:rsidRPr="004C0B84">
        <w:rPr>
          <w:rFonts w:asciiTheme="minorHAnsi" w:hAnsiTheme="minorHAnsi" w:cstheme="minorBidi"/>
          <w:i/>
          <w:iCs/>
        </w:rPr>
        <w:t xml:space="preserve"> could be used for the consultation component, either general attendance items or those specific to chronic diseases</w:t>
      </w:r>
      <w:r w:rsidRPr="004C0B84">
        <w:rPr>
          <w:rFonts w:asciiTheme="minorHAnsi" w:hAnsiTheme="minorHAnsi" w:cstheme="minorBidi"/>
          <w:i/>
        </w:rPr>
        <w:t xml:space="preserve">. </w:t>
      </w:r>
      <w:r>
        <w:rPr>
          <w:rFonts w:asciiTheme="minorHAnsi" w:hAnsiTheme="minorHAnsi" w:cstheme="minorBidi"/>
          <w:i/>
        </w:rPr>
        <w:t xml:space="preserve">Therefore, </w:t>
      </w:r>
      <w:r w:rsidRPr="004C0B84">
        <w:rPr>
          <w:rFonts w:asciiTheme="minorHAnsi" w:hAnsiTheme="minorHAnsi" w:cstheme="minorBidi"/>
          <w:i/>
        </w:rPr>
        <w:t xml:space="preserve">PASC </w:t>
      </w:r>
      <w:r>
        <w:rPr>
          <w:rFonts w:asciiTheme="minorHAnsi" w:hAnsiTheme="minorHAnsi" w:cstheme="minorBidi"/>
          <w:i/>
        </w:rPr>
        <w:t>advised</w:t>
      </w:r>
      <w:r w:rsidRPr="004C0B84">
        <w:rPr>
          <w:rFonts w:asciiTheme="minorHAnsi" w:hAnsiTheme="minorHAnsi" w:cstheme="minorBidi"/>
          <w:i/>
        </w:rPr>
        <w:t xml:space="preserve"> that the consultation component of the proposed item </w:t>
      </w:r>
      <w:r>
        <w:rPr>
          <w:rFonts w:asciiTheme="minorHAnsi" w:hAnsiTheme="minorHAnsi" w:cstheme="minorBidi"/>
          <w:i/>
        </w:rPr>
        <w:t>should</w:t>
      </w:r>
      <w:r w:rsidRPr="004C0B84">
        <w:rPr>
          <w:rFonts w:asciiTheme="minorHAnsi" w:hAnsiTheme="minorHAnsi" w:cstheme="minorBidi"/>
          <w:i/>
        </w:rPr>
        <w:t xml:space="preserve"> be removed, </w:t>
      </w:r>
      <w:r>
        <w:rPr>
          <w:rFonts w:asciiTheme="minorHAnsi" w:hAnsiTheme="minorHAnsi" w:cstheme="minorBidi"/>
          <w:i/>
        </w:rPr>
        <w:t xml:space="preserve">and that the intervention itself should be </w:t>
      </w:r>
      <w:r>
        <w:rPr>
          <w:rFonts w:asciiTheme="minorHAnsi" w:hAnsiTheme="minorHAnsi" w:cstheme="minorBidi"/>
          <w:i/>
        </w:rPr>
        <w:lastRenderedPageBreak/>
        <w:t>focussed on the test alone. PASC advised that</w:t>
      </w:r>
      <w:r w:rsidRPr="004C0B84">
        <w:rPr>
          <w:rFonts w:asciiTheme="minorHAnsi" w:hAnsiTheme="minorHAnsi" w:cstheme="minorBidi"/>
          <w:i/>
        </w:rPr>
        <w:t xml:space="preserve"> only the test </w:t>
      </w:r>
      <w:r>
        <w:rPr>
          <w:rFonts w:asciiTheme="minorHAnsi" w:hAnsiTheme="minorHAnsi" w:cstheme="minorBidi"/>
          <w:i/>
        </w:rPr>
        <w:t>should</w:t>
      </w:r>
      <w:r w:rsidRPr="004C0B84">
        <w:rPr>
          <w:rFonts w:asciiTheme="minorHAnsi" w:hAnsiTheme="minorHAnsi" w:cstheme="minorBidi"/>
          <w:i/>
        </w:rPr>
        <w:t xml:space="preserve"> be included in the item descriptor, which </w:t>
      </w:r>
      <w:r w:rsidRPr="004C0B84">
        <w:rPr>
          <w:rFonts w:asciiTheme="minorHAnsi" w:hAnsiTheme="minorHAnsi" w:cstheme="minorBidi"/>
          <w:i/>
          <w:iCs/>
        </w:rPr>
        <w:t xml:space="preserve">would </w:t>
      </w:r>
      <w:r>
        <w:rPr>
          <w:rFonts w:asciiTheme="minorHAnsi" w:hAnsiTheme="minorHAnsi" w:cstheme="minorBidi"/>
          <w:i/>
          <w:iCs/>
        </w:rPr>
        <w:t xml:space="preserve">also </w:t>
      </w:r>
      <w:r w:rsidRPr="004C0B84">
        <w:rPr>
          <w:rFonts w:asciiTheme="minorHAnsi" w:hAnsiTheme="minorHAnsi" w:cstheme="minorBidi"/>
          <w:i/>
          <w:iCs/>
        </w:rPr>
        <w:t xml:space="preserve">simplify the application </w:t>
      </w:r>
      <w:r>
        <w:rPr>
          <w:rFonts w:asciiTheme="minorHAnsi" w:hAnsiTheme="minorHAnsi" w:cstheme="minorBidi"/>
          <w:i/>
          <w:iCs/>
        </w:rPr>
        <w:t xml:space="preserve">(requiring only a single PICO set) </w:t>
      </w:r>
      <w:r w:rsidRPr="004C0B84">
        <w:rPr>
          <w:rFonts w:asciiTheme="minorHAnsi" w:hAnsiTheme="minorHAnsi" w:cstheme="minorBidi"/>
          <w:i/>
          <w:iCs/>
        </w:rPr>
        <w:t>and its assessment. PASC advised that if either a bundled item descriptor or a standalone disease</w:t>
      </w:r>
      <w:r>
        <w:rPr>
          <w:rFonts w:asciiTheme="minorHAnsi" w:hAnsiTheme="minorHAnsi" w:cstheme="minorBidi"/>
          <w:i/>
          <w:iCs/>
        </w:rPr>
        <w:t>-</w:t>
      </w:r>
      <w:r w:rsidRPr="004C0B84">
        <w:rPr>
          <w:rFonts w:asciiTheme="minorHAnsi" w:hAnsiTheme="minorHAnsi" w:cstheme="minorBidi"/>
          <w:i/>
          <w:iCs/>
        </w:rPr>
        <w:t>specific attendance item is pursued by the applicant, this would need to be supported by evidence to justify the benefits of the consultation element, as well as the test.</w:t>
      </w:r>
    </w:p>
    <w:p w14:paraId="22173EFF" w14:textId="2F8533C5" w:rsidR="000C444D" w:rsidRPr="00F12C22" w:rsidRDefault="000C444D" w:rsidP="000C444D">
      <w:pPr>
        <w:spacing w:after="240"/>
        <w:rPr>
          <w:iCs/>
        </w:rPr>
      </w:pPr>
      <w:r w:rsidRPr="00F12C22">
        <w:rPr>
          <w:iCs/>
        </w:rPr>
        <w:t>The application (PICO Set 1, p8; PICO Set 2, p7) note</w:t>
      </w:r>
      <w:r w:rsidR="004132BD">
        <w:rPr>
          <w:iCs/>
        </w:rPr>
        <w:t>d</w:t>
      </w:r>
      <w:r w:rsidRPr="00F12C22">
        <w:rPr>
          <w:iCs/>
        </w:rPr>
        <w:t xml:space="preserve"> that </w:t>
      </w:r>
      <w:r w:rsidR="00823CCA" w:rsidRPr="00F12C22">
        <w:rPr>
          <w:iCs/>
        </w:rPr>
        <w:t>VCTE™</w:t>
      </w:r>
      <w:r w:rsidRPr="00F12C22">
        <w:rPr>
          <w:iCs/>
        </w:rPr>
        <w:t xml:space="preserve"> has been used interchangeably with transient elastography or with the broader term liver elastography in </w:t>
      </w:r>
      <w:r w:rsidR="00925E13">
        <w:rPr>
          <w:iCs/>
        </w:rPr>
        <w:t>the</w:t>
      </w:r>
      <w:r w:rsidRPr="00F12C22">
        <w:rPr>
          <w:iCs/>
        </w:rPr>
        <w:t xml:space="preserve"> literature. The application note</w:t>
      </w:r>
      <w:r w:rsidR="00905431" w:rsidRPr="00F12C22">
        <w:rPr>
          <w:iCs/>
        </w:rPr>
        <w:t>d</w:t>
      </w:r>
      <w:r w:rsidRPr="00F12C22">
        <w:rPr>
          <w:iCs/>
        </w:rPr>
        <w:t xml:space="preserve"> that</w:t>
      </w:r>
      <w:r w:rsidR="00905431" w:rsidRPr="00F12C22">
        <w:rPr>
          <w:iCs/>
        </w:rPr>
        <w:t xml:space="preserve"> due to</w:t>
      </w:r>
      <w:r w:rsidRPr="00F12C22">
        <w:rPr>
          <w:iCs/>
        </w:rPr>
        <w:t xml:space="preserve"> concerns about </w:t>
      </w:r>
      <w:r w:rsidR="00905431" w:rsidRPr="00F12C22">
        <w:rPr>
          <w:iCs/>
        </w:rPr>
        <w:t>the</w:t>
      </w:r>
      <w:r w:rsidRPr="00F12C22">
        <w:rPr>
          <w:iCs/>
        </w:rPr>
        <w:t xml:space="preserve"> misuse of </w:t>
      </w:r>
      <w:r w:rsidR="00823CCA" w:rsidRPr="00F12C22">
        <w:rPr>
          <w:iCs/>
        </w:rPr>
        <w:t>VCTE™</w:t>
      </w:r>
      <w:r w:rsidRPr="00F12C22">
        <w:rPr>
          <w:iCs/>
        </w:rPr>
        <w:t>-based data to strengthen the validity and accuracy of other transient elastography technologies</w:t>
      </w:r>
      <w:r w:rsidR="00905431" w:rsidRPr="00F12C22">
        <w:rPr>
          <w:iCs/>
        </w:rPr>
        <w:t>,</w:t>
      </w:r>
      <w:r w:rsidRPr="00F12C22">
        <w:rPr>
          <w:iCs/>
        </w:rPr>
        <w:t xml:space="preserve"> the term </w:t>
      </w:r>
      <w:r w:rsidR="00823CCA" w:rsidRPr="00F12C22">
        <w:rPr>
          <w:iCs/>
        </w:rPr>
        <w:t>VCTE™</w:t>
      </w:r>
      <w:r w:rsidRPr="00F12C22">
        <w:rPr>
          <w:iCs/>
        </w:rPr>
        <w:t xml:space="preserve"> </w:t>
      </w:r>
      <w:r w:rsidR="004A0D2E" w:rsidRPr="00F12C22">
        <w:rPr>
          <w:iCs/>
        </w:rPr>
        <w:t>is now exclusively u</w:t>
      </w:r>
      <w:r w:rsidR="004B02A9" w:rsidRPr="00F12C22">
        <w:rPr>
          <w:iCs/>
        </w:rPr>
        <w:t>s</w:t>
      </w:r>
      <w:r w:rsidR="00B14D4B" w:rsidRPr="00F12C22">
        <w:rPr>
          <w:iCs/>
        </w:rPr>
        <w:t xml:space="preserve">ed </w:t>
      </w:r>
      <w:r w:rsidR="00145CEA" w:rsidRPr="00F12C22">
        <w:rPr>
          <w:iCs/>
        </w:rPr>
        <w:t>with reference to</w:t>
      </w:r>
      <w:r w:rsidR="00B14D4B" w:rsidRPr="00F12C22">
        <w:rPr>
          <w:iCs/>
        </w:rPr>
        <w:t xml:space="preserve"> FibroScan®</w:t>
      </w:r>
      <w:r w:rsidR="000D1A5A" w:rsidRPr="00F12C22">
        <w:rPr>
          <w:iCs/>
        </w:rPr>
        <w:t>,</w:t>
      </w:r>
      <w:r w:rsidRPr="00F12C22">
        <w:rPr>
          <w:iCs/>
        </w:rPr>
        <w:t xml:space="preserve"> with most studies referring to FibroScan® as </w:t>
      </w:r>
      <w:r w:rsidR="00823CCA" w:rsidRPr="00F12C22">
        <w:rPr>
          <w:iCs/>
        </w:rPr>
        <w:t>VCTE™</w:t>
      </w:r>
      <w:r w:rsidRPr="00F12C22">
        <w:rPr>
          <w:iCs/>
        </w:rPr>
        <w:t xml:space="preserve"> from 2014 onwards.</w:t>
      </w:r>
    </w:p>
    <w:p w14:paraId="0D4BBA37" w14:textId="0748526A" w:rsidR="00DE7322" w:rsidRDefault="007770FA" w:rsidP="006D4945">
      <w:pPr>
        <w:spacing w:after="240"/>
        <w:rPr>
          <w:iCs/>
        </w:rPr>
      </w:pPr>
      <w:r w:rsidRPr="00F12C22">
        <w:rPr>
          <w:iCs/>
        </w:rPr>
        <w:t xml:space="preserve">The application is specifically seeking use of VCTE™, rather than an agnostic listing for ‘transient elastography’ or ‘elastography’. </w:t>
      </w:r>
      <w:r w:rsidR="00B93D5C" w:rsidRPr="00F12C22">
        <w:rPr>
          <w:iCs/>
        </w:rPr>
        <w:t>Multiple ultrasound elastography variants are available commercially, includ</w:t>
      </w:r>
      <w:r w:rsidR="008125F8">
        <w:rPr>
          <w:iCs/>
        </w:rPr>
        <w:t>ing</w:t>
      </w:r>
      <w:r w:rsidR="00B93D5C" w:rsidRPr="00F12C22">
        <w:rPr>
          <w:iCs/>
        </w:rPr>
        <w:t xml:space="preserve"> VCTE™, Real Time Elastography (RTE), Acoustic Radiation Force Impulse (ARFI) Elastography, Shear Wave Elastography (SWE) and Sound Touch Elastography (STE); all of which (except RTE) provide a quantitative LSM (</w:t>
      </w:r>
      <w:r w:rsidR="00B93D5C" w:rsidRPr="00F01F52">
        <w:rPr>
          <w:iCs/>
        </w:rPr>
        <w:t>Gatos 2022</w:t>
      </w:r>
      <w:r w:rsidR="00B93D5C" w:rsidRPr="00F12C22">
        <w:rPr>
          <w:iCs/>
        </w:rPr>
        <w:t xml:space="preserve">). </w:t>
      </w:r>
      <w:r w:rsidR="006D4945" w:rsidRPr="00F12C22">
        <w:rPr>
          <w:iCs/>
        </w:rPr>
        <w:t xml:space="preserve">A more recent additional variant is Visual Transient Elastography (ViTE) which is similar to VCTE™ and allows guidance through B-Mode visualisation (Gatos 2022). Gatos (2022) compared VCTE™, ViTE, SWE and STE in chronic liver disease patients using liver biopsy as the gold standard. Patients (n=152) with varying stages of liver disease were included: 30% F0, 20% F1, 9% F2, 18% F3 and 22% F4. The authors concluded that ‘[t]he results indicate that all methods analyzed in this study perform similarly and can well differentiate fibrosis stage groups, as all balanced accuracies are higher than 0.875 and corresponding AUCs are also higher than 0.945’. </w:t>
      </w:r>
    </w:p>
    <w:p w14:paraId="1171D51B" w14:textId="58CAC7C7" w:rsidR="00F906A9" w:rsidRDefault="00033E62" w:rsidP="00033E62">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proposed intervention is specifically limited to branded </w:t>
      </w:r>
      <w:r w:rsidRPr="00307C44">
        <w:rPr>
          <w:rFonts w:asciiTheme="minorHAnsi" w:hAnsiTheme="minorHAnsi" w:cstheme="minorHAnsi"/>
          <w:i/>
          <w:iCs/>
        </w:rPr>
        <w:t>VCTE™</w:t>
      </w:r>
      <w:r>
        <w:rPr>
          <w:rFonts w:asciiTheme="minorHAnsi" w:hAnsiTheme="minorHAnsi" w:cstheme="minorHAnsi"/>
          <w:i/>
          <w:iCs/>
        </w:rPr>
        <w:t xml:space="preserve">, rather than using broader terms such as ‘transient elastography’ or ‘elastography’ to encompass the use of other branded technologies. However, PASC noted that MSAC has a preference for an agnostic approach, rather than branded device- or method-specific tests and interventions, where appropriate. PASC noted the applicant’s reasoning, which stated that </w:t>
      </w:r>
      <w:r w:rsidRPr="00986FC5">
        <w:rPr>
          <w:rFonts w:asciiTheme="minorHAnsi" w:hAnsiTheme="minorHAnsi" w:cstheme="minorHAnsi"/>
          <w:i/>
          <w:iCs/>
        </w:rPr>
        <w:t>VCTE™</w:t>
      </w:r>
      <w:r>
        <w:rPr>
          <w:rFonts w:asciiTheme="minorHAnsi" w:hAnsiTheme="minorHAnsi" w:cstheme="minorHAnsi"/>
          <w:i/>
          <w:iCs/>
        </w:rPr>
        <w:t xml:space="preserve"> is accepted by specialists, has validated cutoffs, is reproducible and is more reliable than other methods. PASC advised that these claims would need to be supported by evidence within the assessment report to justify the proposed brand-specific item descriptor, which specifies VCTE™. This would include evidence demonstrating that alternative methods, such as SWE, are inferior for the detection and risk stratification of liver fibrosis in the proposed populations. If this evidence is not available, PASC advised that the proposed intervention and corresponding item descriptor should be agnostic and instead use a broader term such as ‘transient elastography’.</w:t>
      </w:r>
    </w:p>
    <w:p w14:paraId="48CEB457" w14:textId="0E4B2CEA" w:rsidR="00390118" w:rsidRPr="00F12C22" w:rsidRDefault="00390118" w:rsidP="001D5F50">
      <w:pPr>
        <w:spacing w:after="240"/>
        <w:rPr>
          <w:iCs/>
        </w:rPr>
      </w:pPr>
      <w:r w:rsidRPr="00F12C22">
        <w:rPr>
          <w:iCs/>
        </w:rPr>
        <w:t xml:space="preserve">The application (PICO Set 1, p4; PICO Set 2, pp3-4) describes </w:t>
      </w:r>
      <w:r w:rsidR="00823CCA" w:rsidRPr="00F12C22">
        <w:rPr>
          <w:iCs/>
        </w:rPr>
        <w:t>VCTE™</w:t>
      </w:r>
      <w:r w:rsidR="00A57D02" w:rsidRPr="00F12C22">
        <w:rPr>
          <w:iCs/>
        </w:rPr>
        <w:t xml:space="preserve"> </w:t>
      </w:r>
      <w:r w:rsidRPr="00F12C22">
        <w:rPr>
          <w:iCs/>
        </w:rPr>
        <w:t>a</w:t>
      </w:r>
      <w:r w:rsidR="00F9474D" w:rsidRPr="00F12C22">
        <w:rPr>
          <w:iCs/>
        </w:rPr>
        <w:t xml:space="preserve">s </w:t>
      </w:r>
      <w:r w:rsidR="001D5F50" w:rsidRPr="00F12C22">
        <w:rPr>
          <w:iCs/>
        </w:rPr>
        <w:t>a non-invasive diagnostic tool that assesses the extent of liver</w:t>
      </w:r>
      <w:r w:rsidR="00321CBA" w:rsidRPr="00F12C22">
        <w:rPr>
          <w:iCs/>
        </w:rPr>
        <w:t xml:space="preserve"> </w:t>
      </w:r>
      <w:r w:rsidR="001D5F50" w:rsidRPr="00F12C22">
        <w:rPr>
          <w:iCs/>
        </w:rPr>
        <w:t>fibrosis</w:t>
      </w:r>
      <w:r w:rsidRPr="00F12C22">
        <w:rPr>
          <w:iCs/>
        </w:rPr>
        <w:t xml:space="preserve">. </w:t>
      </w:r>
      <w:r w:rsidR="00823CCA" w:rsidRPr="00F12C22">
        <w:rPr>
          <w:iCs/>
        </w:rPr>
        <w:t>VCTE™</w:t>
      </w:r>
      <w:r w:rsidRPr="00F12C22">
        <w:rPr>
          <w:iCs/>
        </w:rPr>
        <w:t xml:space="preserve"> </w:t>
      </w:r>
      <w:r w:rsidR="001D5F50" w:rsidRPr="00F12C22">
        <w:rPr>
          <w:iCs/>
        </w:rPr>
        <w:t xml:space="preserve">works by generating a mechanical pulse that creates a shear wave through the liver tissue. </w:t>
      </w:r>
      <w:r w:rsidR="00823CCA" w:rsidRPr="00F12C22">
        <w:rPr>
          <w:iCs/>
        </w:rPr>
        <w:t>VCTE™</w:t>
      </w:r>
      <w:r w:rsidR="001D5F50" w:rsidRPr="00F12C22">
        <w:rPr>
          <w:iCs/>
        </w:rPr>
        <w:t xml:space="preserve"> measures the speed of a mechanically induced shear wave using pulse-echo ultrasonic acquisitions in a much larger portion of the tissue, approximately 100 times more than a liver biopsy core. The speed of the wave correlates directly with liver stiffness - faster speeds indicate stiffer tissue and more advanced fibrosis. </w:t>
      </w:r>
    </w:p>
    <w:p w14:paraId="4DEA18E9" w14:textId="3EB9CC52" w:rsidR="001103F6" w:rsidRPr="00F12C22" w:rsidRDefault="009635D1" w:rsidP="001D5F50">
      <w:pPr>
        <w:spacing w:after="240"/>
        <w:rPr>
          <w:iCs/>
        </w:rPr>
      </w:pPr>
      <w:r w:rsidRPr="00F12C22">
        <w:rPr>
          <w:iCs/>
        </w:rPr>
        <w:t xml:space="preserve">The </w:t>
      </w:r>
      <w:r w:rsidR="00823CCA" w:rsidRPr="00F12C22">
        <w:rPr>
          <w:iCs/>
        </w:rPr>
        <w:t>VCTE™</w:t>
      </w:r>
      <w:r w:rsidRPr="00F12C22">
        <w:rPr>
          <w:iCs/>
        </w:rPr>
        <w:t xml:space="preserve"> measurement is converted into a numerical value expressed </w:t>
      </w:r>
      <w:r w:rsidRPr="002805E7">
        <w:rPr>
          <w:iCs/>
        </w:rPr>
        <w:t xml:space="preserve">in </w:t>
      </w:r>
      <w:r w:rsidRPr="00F42687">
        <w:rPr>
          <w:iCs/>
        </w:rPr>
        <w:t>kPa</w:t>
      </w:r>
      <w:r w:rsidRPr="002805E7">
        <w:rPr>
          <w:iCs/>
        </w:rPr>
        <w:t>, known</w:t>
      </w:r>
      <w:r w:rsidRPr="00F12C22">
        <w:rPr>
          <w:iCs/>
        </w:rPr>
        <w:t xml:space="preserve"> as the Liver Stiffness Measurement (LSM). LSM is the median of the successful stiffness measurements (target ≥10). </w:t>
      </w:r>
      <w:r w:rsidRPr="00F12C22">
        <w:rPr>
          <w:iCs/>
        </w:rPr>
        <w:lastRenderedPageBreak/>
        <w:t>The LSM ranges from 2.5 (lowest stiffness) to 75 kPa (highest stiffness).</w:t>
      </w:r>
      <w:r w:rsidR="0008157D" w:rsidRPr="00F12C22">
        <w:rPr>
          <w:iCs/>
        </w:rPr>
        <w:t xml:space="preserve"> </w:t>
      </w:r>
      <w:r w:rsidR="001103F6" w:rsidRPr="00F12C22">
        <w:rPr>
          <w:iCs/>
        </w:rPr>
        <w:t>The Memorial Sloan Kettering Cancer Cent</w:t>
      </w:r>
      <w:r w:rsidR="00DB50A9" w:rsidRPr="00F12C22">
        <w:rPr>
          <w:iCs/>
        </w:rPr>
        <w:t>er</w:t>
      </w:r>
      <w:r w:rsidR="001103F6" w:rsidRPr="00F12C22">
        <w:rPr>
          <w:rStyle w:val="FootnoteReference"/>
          <w:iCs/>
        </w:rPr>
        <w:footnoteReference w:id="4"/>
      </w:r>
      <w:r w:rsidR="001103F6" w:rsidRPr="00F12C22">
        <w:rPr>
          <w:iCs/>
        </w:rPr>
        <w:t xml:space="preserve"> provide the following interpretations for LSM:</w:t>
      </w:r>
    </w:p>
    <w:p w14:paraId="53878CFC" w14:textId="188D4DD7" w:rsidR="001103F6" w:rsidRPr="00F12C22" w:rsidRDefault="001103F6" w:rsidP="00E31D34">
      <w:pPr>
        <w:pStyle w:val="ListParagraph"/>
        <w:numPr>
          <w:ilvl w:val="0"/>
          <w:numId w:val="22"/>
        </w:numPr>
        <w:spacing w:after="240"/>
        <w:ind w:left="284" w:hanging="284"/>
        <w:rPr>
          <w:iCs/>
        </w:rPr>
      </w:pPr>
      <w:r w:rsidRPr="00F12C22">
        <w:rPr>
          <w:iCs/>
        </w:rPr>
        <w:t>2 to 7 kPa: F0 to F1, normal.</w:t>
      </w:r>
    </w:p>
    <w:p w14:paraId="581868EC" w14:textId="461121C5" w:rsidR="001103F6" w:rsidRPr="00F12C22" w:rsidRDefault="001103F6" w:rsidP="00E31D34">
      <w:pPr>
        <w:pStyle w:val="ListParagraph"/>
        <w:numPr>
          <w:ilvl w:val="0"/>
          <w:numId w:val="22"/>
        </w:numPr>
        <w:spacing w:after="240"/>
        <w:ind w:left="284" w:hanging="284"/>
        <w:rPr>
          <w:iCs/>
        </w:rPr>
      </w:pPr>
      <w:r w:rsidRPr="00F12C22">
        <w:rPr>
          <w:iCs/>
        </w:rPr>
        <w:t>7.5 to 10 kPa: F2, moderate scarring.</w:t>
      </w:r>
    </w:p>
    <w:p w14:paraId="38A1E081" w14:textId="2BFE22D9" w:rsidR="001103F6" w:rsidRPr="00F12C22" w:rsidRDefault="001103F6" w:rsidP="00E31D34">
      <w:pPr>
        <w:pStyle w:val="ListParagraph"/>
        <w:numPr>
          <w:ilvl w:val="0"/>
          <w:numId w:val="22"/>
        </w:numPr>
        <w:spacing w:after="240"/>
        <w:ind w:left="284" w:hanging="284"/>
        <w:rPr>
          <w:iCs/>
        </w:rPr>
      </w:pPr>
      <w:r w:rsidRPr="00F12C22">
        <w:rPr>
          <w:iCs/>
        </w:rPr>
        <w:t>10 to 14 kPa: F3, severe scarring.</w:t>
      </w:r>
    </w:p>
    <w:p w14:paraId="332F4E8C" w14:textId="3E6FA5FF" w:rsidR="001103F6" w:rsidRPr="00F12C22" w:rsidRDefault="001103F6" w:rsidP="00E31D34">
      <w:pPr>
        <w:pStyle w:val="ListParagraph"/>
        <w:numPr>
          <w:ilvl w:val="0"/>
          <w:numId w:val="22"/>
        </w:numPr>
        <w:spacing w:after="240"/>
        <w:ind w:left="284" w:hanging="284"/>
        <w:rPr>
          <w:iCs/>
        </w:rPr>
      </w:pPr>
      <w:r w:rsidRPr="00F12C22">
        <w:rPr>
          <w:iCs/>
        </w:rPr>
        <w:t>&gt;14 kPa: F4, cirrhosis.</w:t>
      </w:r>
    </w:p>
    <w:p w14:paraId="0F06FF97" w14:textId="67770EAA" w:rsidR="009635D1" w:rsidRPr="00F12C22" w:rsidRDefault="00033133" w:rsidP="001D5F50">
      <w:pPr>
        <w:spacing w:after="240"/>
        <w:rPr>
          <w:iCs/>
        </w:rPr>
      </w:pPr>
      <w:r>
        <w:rPr>
          <w:iCs/>
        </w:rPr>
        <w:t xml:space="preserve">The applicant stated </w:t>
      </w:r>
      <w:r w:rsidRPr="00033133">
        <w:rPr>
          <w:iCs/>
        </w:rPr>
        <w:t xml:space="preserve">the proposed LSM threshold of ≥8 kPa for referral to specialist care aligns with </w:t>
      </w:r>
      <w:r>
        <w:rPr>
          <w:iCs/>
        </w:rPr>
        <w:t xml:space="preserve">their </w:t>
      </w:r>
      <w:r w:rsidRPr="00033133">
        <w:rPr>
          <w:iCs/>
        </w:rPr>
        <w:t xml:space="preserve">interpretation and clinical intent. The </w:t>
      </w:r>
      <w:r>
        <w:rPr>
          <w:iCs/>
        </w:rPr>
        <w:t xml:space="preserve">applicant further stated the </w:t>
      </w:r>
      <w:r w:rsidRPr="00033133">
        <w:rPr>
          <w:iCs/>
        </w:rPr>
        <w:t>8 kPa threshold for FibroScan</w:t>
      </w:r>
      <w:r>
        <w:rPr>
          <w:iCs/>
        </w:rPr>
        <w:t>®</w:t>
      </w:r>
      <w:r w:rsidRPr="00033133">
        <w:rPr>
          <w:iCs/>
        </w:rPr>
        <w:t xml:space="preserve"> is aligned with international guidelines, including those from the European Association for the Study of the Liver (</w:t>
      </w:r>
      <w:r w:rsidRPr="002B03D8">
        <w:rPr>
          <w:iCs/>
        </w:rPr>
        <w:t>EASL</w:t>
      </w:r>
      <w:r w:rsidR="002B03D8" w:rsidRPr="002B03D8">
        <w:rPr>
          <w:iCs/>
        </w:rPr>
        <w:t xml:space="preserve"> 2021</w:t>
      </w:r>
      <w:r w:rsidRPr="002B03D8">
        <w:rPr>
          <w:iCs/>
        </w:rPr>
        <w:t>), the American Association for the Study of Liver Diseases (AASLD</w:t>
      </w:r>
      <w:r w:rsidR="002B03D8" w:rsidRPr="002B03D8">
        <w:rPr>
          <w:iCs/>
        </w:rPr>
        <w:t>; Rinella 2023</w:t>
      </w:r>
      <w:r w:rsidRPr="002B03D8">
        <w:rPr>
          <w:iCs/>
        </w:rPr>
        <w:t>), and the Asian Pacific Association for the Study of the Liver (APASL</w:t>
      </w:r>
      <w:r w:rsidR="002B03D8" w:rsidRPr="002B03D8">
        <w:rPr>
          <w:iCs/>
        </w:rPr>
        <w:t>; Eslam 2025</w:t>
      </w:r>
      <w:r w:rsidRPr="002B03D8">
        <w:rPr>
          <w:iCs/>
        </w:rPr>
        <w:t>) where</w:t>
      </w:r>
      <w:r>
        <w:rPr>
          <w:iCs/>
        </w:rPr>
        <w:t xml:space="preserve"> t</w:t>
      </w:r>
      <w:r w:rsidRPr="00033133">
        <w:rPr>
          <w:iCs/>
        </w:rPr>
        <w:t>hese guidelines recognise 8 kPa as a key low cut-off value that provides high confidence in ruling out significant fibrosis.</w:t>
      </w:r>
      <w:r>
        <w:rPr>
          <w:iCs/>
        </w:rPr>
        <w:t xml:space="preserve"> The applicant further stated that i</w:t>
      </w:r>
      <w:r w:rsidRPr="00033133">
        <w:rPr>
          <w:iCs/>
        </w:rPr>
        <w:t>n NSW, the eHealth pathways also adopt an 8 kPa threshold, reinforcing its clinical relevance in local practice</w:t>
      </w:r>
      <w:r>
        <w:rPr>
          <w:iCs/>
        </w:rPr>
        <w:t xml:space="preserve"> functioning</w:t>
      </w:r>
      <w:r w:rsidRPr="00033133">
        <w:rPr>
          <w:iCs/>
        </w:rPr>
        <w:t xml:space="preserve"> as a reliable exclusion criterion</w:t>
      </w:r>
      <w:r>
        <w:rPr>
          <w:iCs/>
        </w:rPr>
        <w:t xml:space="preserve"> - i</w:t>
      </w:r>
      <w:r w:rsidRPr="00033133">
        <w:rPr>
          <w:iCs/>
        </w:rPr>
        <w:t>f a patient’s LSM is below this value, clinicians can be confident that significant fibrosis is unlikely to be missed, ensuring appropriate triage and resource allocation.</w:t>
      </w:r>
      <w:r>
        <w:rPr>
          <w:iCs/>
        </w:rPr>
        <w:t xml:space="preserve"> </w:t>
      </w:r>
      <w:r w:rsidR="0008157D" w:rsidRPr="00F12C22">
        <w:rPr>
          <w:iCs/>
        </w:rPr>
        <w:t>Of note, liver stiffness is a physical property of the tissue, which depends not only on the amount of liver fibrosis but also on several other factors. LSM results can overestimate fibrosis in case</w:t>
      </w:r>
      <w:r w:rsidR="001103F6" w:rsidRPr="00F12C22">
        <w:rPr>
          <w:iCs/>
        </w:rPr>
        <w:t>s</w:t>
      </w:r>
      <w:r w:rsidR="0008157D" w:rsidRPr="00F12C22">
        <w:rPr>
          <w:iCs/>
        </w:rPr>
        <w:t xml:space="preserve"> of inflammation, obstructive cholestasis, food ingestion, exercise, or venous congestion. These should be carefully excluded to avoid misdiagnosis (</w:t>
      </w:r>
      <w:r w:rsidR="0008157D" w:rsidRPr="002B03D8">
        <w:rPr>
          <w:iCs/>
        </w:rPr>
        <w:t>EASL 2021</w:t>
      </w:r>
      <w:r w:rsidR="0008157D" w:rsidRPr="00F12C22">
        <w:rPr>
          <w:iCs/>
        </w:rPr>
        <w:t>).</w:t>
      </w:r>
    </w:p>
    <w:p w14:paraId="7E8BF45B" w14:textId="5D7A8458" w:rsidR="00734FE6" w:rsidRPr="00F12C22" w:rsidRDefault="00390118" w:rsidP="001D5F50">
      <w:pPr>
        <w:spacing w:after="240"/>
        <w:rPr>
          <w:iCs/>
        </w:rPr>
      </w:pPr>
      <w:r w:rsidRPr="00F12C22">
        <w:rPr>
          <w:iCs/>
        </w:rPr>
        <w:t>The application (PICO Set 1, p</w:t>
      </w:r>
      <w:r w:rsidR="004F736D" w:rsidRPr="00F12C22">
        <w:rPr>
          <w:iCs/>
        </w:rPr>
        <w:t>8</w:t>
      </w:r>
      <w:r w:rsidRPr="00F12C22">
        <w:rPr>
          <w:iCs/>
        </w:rPr>
        <w:t xml:space="preserve">; PICO Set 2, </w:t>
      </w:r>
      <w:r w:rsidR="004F736D" w:rsidRPr="00F12C22">
        <w:rPr>
          <w:iCs/>
        </w:rPr>
        <w:t>p7</w:t>
      </w:r>
      <w:r w:rsidRPr="00F12C22">
        <w:rPr>
          <w:iCs/>
        </w:rPr>
        <w:t>) states that p</w:t>
      </w:r>
      <w:r w:rsidR="007F011C" w:rsidRPr="00F12C22">
        <w:rPr>
          <w:iCs/>
        </w:rPr>
        <w:t>atients are required to fast for at least 2 hours before taking the test. Once fasting is complete, patients are placed in a supine position with their right arm positioned behind their head</w:t>
      </w:r>
      <w:r w:rsidR="00FD4FA3" w:rsidRPr="00F12C22">
        <w:rPr>
          <w:iCs/>
        </w:rPr>
        <w:t>.</w:t>
      </w:r>
      <w:r w:rsidR="00FD4FA3" w:rsidRPr="00F12C22">
        <w:t xml:space="preserve"> </w:t>
      </w:r>
      <w:r w:rsidR="00FD4FA3" w:rsidRPr="00F12C22">
        <w:rPr>
          <w:iCs/>
        </w:rPr>
        <w:t>An ultrasound-like probe is placed on the skin over the liver area, typically in the right mid-axillary line</w:t>
      </w:r>
      <w:r w:rsidR="007F011C" w:rsidRPr="00F12C22">
        <w:rPr>
          <w:iCs/>
        </w:rPr>
        <w:t xml:space="preserve">. The test requires a minimum of </w:t>
      </w:r>
      <w:r w:rsidR="00412A12">
        <w:rPr>
          <w:iCs/>
        </w:rPr>
        <w:t>10</w:t>
      </w:r>
      <w:r w:rsidR="00412A12" w:rsidRPr="00F12C22">
        <w:rPr>
          <w:iCs/>
        </w:rPr>
        <w:t xml:space="preserve"> </w:t>
      </w:r>
      <w:r w:rsidR="007F011C" w:rsidRPr="00F12C22">
        <w:rPr>
          <w:iCs/>
        </w:rPr>
        <w:t>valid readings per patient, with at least a 60% success rate and an interquartile range</w:t>
      </w:r>
      <w:r w:rsidR="004F69E2" w:rsidRPr="00F12C22">
        <w:rPr>
          <w:iCs/>
        </w:rPr>
        <w:t xml:space="preserve"> (IQR)</w:t>
      </w:r>
      <w:r w:rsidR="007F011C" w:rsidRPr="00F12C22">
        <w:rPr>
          <w:iCs/>
        </w:rPr>
        <w:t xml:space="preserve"> of ≤30% of the median value being taken (</w:t>
      </w:r>
      <w:r w:rsidR="007F011C" w:rsidRPr="002B03D8">
        <w:rPr>
          <w:iCs/>
        </w:rPr>
        <w:t xml:space="preserve">Kemp </w:t>
      </w:r>
      <w:r w:rsidR="0039446A" w:rsidRPr="002B03D8">
        <w:rPr>
          <w:iCs/>
        </w:rPr>
        <w:t xml:space="preserve">&amp; Roberts </w:t>
      </w:r>
      <w:r w:rsidR="007F011C" w:rsidRPr="002B03D8">
        <w:rPr>
          <w:iCs/>
        </w:rPr>
        <w:t>2013</w:t>
      </w:r>
      <w:r w:rsidR="007F011C" w:rsidRPr="00F12C22">
        <w:rPr>
          <w:iCs/>
        </w:rPr>
        <w:t xml:space="preserve">). </w:t>
      </w:r>
      <w:r w:rsidR="00907549" w:rsidRPr="00F12C22">
        <w:rPr>
          <w:iCs/>
        </w:rPr>
        <w:t xml:space="preserve">The </w:t>
      </w:r>
      <w:r w:rsidR="00A17E2F" w:rsidRPr="00F12C22">
        <w:rPr>
          <w:iCs/>
        </w:rPr>
        <w:t xml:space="preserve">applicant advised that the </w:t>
      </w:r>
      <w:r w:rsidR="00907549" w:rsidRPr="00F12C22">
        <w:rPr>
          <w:iCs/>
        </w:rPr>
        <w:t xml:space="preserve">machine </w:t>
      </w:r>
      <w:r w:rsidR="00C301B2" w:rsidRPr="00F12C22">
        <w:rPr>
          <w:iCs/>
        </w:rPr>
        <w:t>indicate</w:t>
      </w:r>
      <w:r w:rsidR="00165804" w:rsidRPr="00F12C22">
        <w:rPr>
          <w:iCs/>
        </w:rPr>
        <w:t>s</w:t>
      </w:r>
      <w:r w:rsidR="00C301B2" w:rsidRPr="00F12C22">
        <w:rPr>
          <w:iCs/>
        </w:rPr>
        <w:t xml:space="preserve"> to the</w:t>
      </w:r>
      <w:r w:rsidR="004C7945" w:rsidRPr="00F12C22">
        <w:rPr>
          <w:iCs/>
        </w:rPr>
        <w:t xml:space="preserve"> </w:t>
      </w:r>
      <w:r w:rsidR="00165804" w:rsidRPr="00F12C22">
        <w:rPr>
          <w:iCs/>
        </w:rPr>
        <w:t xml:space="preserve">operator </w:t>
      </w:r>
      <w:r w:rsidR="004C7945" w:rsidRPr="00F12C22">
        <w:rPr>
          <w:iCs/>
        </w:rPr>
        <w:t xml:space="preserve">performing </w:t>
      </w:r>
      <w:r w:rsidR="00823CCA" w:rsidRPr="00F12C22">
        <w:rPr>
          <w:iCs/>
        </w:rPr>
        <w:t>VCTE™</w:t>
      </w:r>
      <w:r w:rsidR="00907549" w:rsidRPr="00F12C22">
        <w:rPr>
          <w:iCs/>
        </w:rPr>
        <w:t xml:space="preserve"> if </w:t>
      </w:r>
      <w:r w:rsidR="00C301B2" w:rsidRPr="00F12C22">
        <w:rPr>
          <w:iCs/>
        </w:rPr>
        <w:t>there is</w:t>
      </w:r>
      <w:r w:rsidR="00907549" w:rsidRPr="00F12C22">
        <w:rPr>
          <w:iCs/>
        </w:rPr>
        <w:t xml:space="preserve"> an invalid result, and </w:t>
      </w:r>
      <w:r w:rsidR="00A17E2F" w:rsidRPr="00F12C22">
        <w:rPr>
          <w:iCs/>
        </w:rPr>
        <w:t xml:space="preserve">validity of the results can be assessed by the </w:t>
      </w:r>
      <w:r w:rsidR="00D446C5" w:rsidRPr="00F12C22">
        <w:rPr>
          <w:iCs/>
        </w:rPr>
        <w:t>operator</w:t>
      </w:r>
      <w:r w:rsidR="00907549" w:rsidRPr="00F12C22">
        <w:rPr>
          <w:iCs/>
        </w:rPr>
        <w:t xml:space="preserve">. </w:t>
      </w:r>
    </w:p>
    <w:p w14:paraId="7994D05B" w14:textId="04D560C1" w:rsidR="00631482" w:rsidRPr="00F12C22" w:rsidRDefault="00631482" w:rsidP="001D5F50">
      <w:pPr>
        <w:spacing w:after="240"/>
        <w:rPr>
          <w:szCs w:val="24"/>
        </w:rPr>
      </w:pPr>
      <w:r w:rsidRPr="00F12C22">
        <w:t>Among patients with NAFLD in an Australian primary care setting, the prevalence of overweight and obesity were reported as 27% and 67%, respectively (</w:t>
      </w:r>
      <w:r w:rsidRPr="002B03D8">
        <w:t>Patel 2018b</w:t>
      </w:r>
      <w:r w:rsidRPr="00F12C22">
        <w:t>). GESA (2024) reported that ‘VCTE™ scans are less accurate with increasing BMI and are invalid in up to 20% of patients with morbid obesity (BMI &gt;35 kg/m</w:t>
      </w:r>
      <w:r w:rsidRPr="00F12C22">
        <w:rPr>
          <w:vertAlign w:val="superscript"/>
        </w:rPr>
        <w:t>2</w:t>
      </w:r>
      <w:r w:rsidRPr="00F12C22">
        <w:t xml:space="preserve">)’. The applicant clarified that the term ‘invalid’ does not mean the whole test is invalid, but </w:t>
      </w:r>
      <w:r w:rsidR="00D5324E">
        <w:t xml:space="preserve">that </w:t>
      </w:r>
      <w:r w:rsidRPr="00F12C22">
        <w:t xml:space="preserve">a particular shear wave </w:t>
      </w:r>
      <w:r w:rsidR="00675A40">
        <w:t>reading</w:t>
      </w:r>
      <w:r w:rsidRPr="00F12C22">
        <w:t xml:space="preserve"> </w:t>
      </w:r>
      <w:r w:rsidR="006D1EDE">
        <w:t>has</w:t>
      </w:r>
      <w:r w:rsidR="006D1EDE" w:rsidRPr="00F12C22">
        <w:t xml:space="preserve"> </w:t>
      </w:r>
      <w:r w:rsidRPr="00F12C22">
        <w:t>not work</w:t>
      </w:r>
      <w:r w:rsidR="00637D3C">
        <w:t>ed</w:t>
      </w:r>
      <w:r w:rsidRPr="00F12C22">
        <w:t xml:space="preserve">. The applicant explained that this may mean the test may take longer (as more </w:t>
      </w:r>
      <w:r w:rsidR="00D5324E">
        <w:t xml:space="preserve">shear wave </w:t>
      </w:r>
      <w:r w:rsidRPr="00F12C22">
        <w:t xml:space="preserve">readings are taken). The applicant further advised there have been technological advancements to improve performance in obese patients. </w:t>
      </w:r>
    </w:p>
    <w:p w14:paraId="53F886ED" w14:textId="2D20AFC4" w:rsidR="00631482" w:rsidRPr="00F12C22" w:rsidRDefault="00631482" w:rsidP="00412A12">
      <w:pPr>
        <w:spacing w:after="240"/>
        <w:rPr>
          <w:iCs/>
        </w:rPr>
      </w:pPr>
      <w:r w:rsidRPr="00F12C22">
        <w:rPr>
          <w:iCs/>
        </w:rPr>
        <w:t>I</w:t>
      </w:r>
      <w:r w:rsidR="00A17E2F" w:rsidRPr="00F12C22">
        <w:rPr>
          <w:iCs/>
        </w:rPr>
        <w:t xml:space="preserve">n recognition that </w:t>
      </w:r>
      <w:r w:rsidR="00823CCA" w:rsidRPr="00F12C22">
        <w:rPr>
          <w:iCs/>
        </w:rPr>
        <w:t>VCTE™</w:t>
      </w:r>
      <w:r w:rsidR="00692FD7" w:rsidRPr="00F12C22">
        <w:rPr>
          <w:iCs/>
        </w:rPr>
        <w:t xml:space="preserve"> assessment </w:t>
      </w:r>
      <w:r w:rsidR="00A17E2F" w:rsidRPr="00F12C22">
        <w:rPr>
          <w:iCs/>
        </w:rPr>
        <w:t>with a</w:t>
      </w:r>
      <w:r w:rsidR="00B40AA2" w:rsidRPr="00F12C22">
        <w:rPr>
          <w:iCs/>
        </w:rPr>
        <w:t xml:space="preserve"> medium (</w:t>
      </w:r>
      <w:r w:rsidR="00A17E2F" w:rsidRPr="00F12C22">
        <w:rPr>
          <w:iCs/>
        </w:rPr>
        <w:t>M</w:t>
      </w:r>
      <w:r w:rsidR="00B40AA2" w:rsidRPr="00F12C22">
        <w:rPr>
          <w:iCs/>
        </w:rPr>
        <w:t>)</w:t>
      </w:r>
      <w:r w:rsidR="00A17E2F" w:rsidRPr="00F12C22">
        <w:rPr>
          <w:iCs/>
        </w:rPr>
        <w:t xml:space="preserve"> probe </w:t>
      </w:r>
      <w:r w:rsidR="00692FD7" w:rsidRPr="00F12C22">
        <w:rPr>
          <w:iCs/>
        </w:rPr>
        <w:t>is difficult to perform in obese and overweight patients</w:t>
      </w:r>
      <w:r w:rsidR="00A17E2F" w:rsidRPr="00F12C22">
        <w:rPr>
          <w:iCs/>
        </w:rPr>
        <w:t xml:space="preserve">, </w:t>
      </w:r>
      <w:r w:rsidR="006B5961">
        <w:rPr>
          <w:iCs/>
        </w:rPr>
        <w:t>an</w:t>
      </w:r>
      <w:r w:rsidR="006B5961" w:rsidRPr="00F12C22">
        <w:rPr>
          <w:iCs/>
        </w:rPr>
        <w:t xml:space="preserve"> </w:t>
      </w:r>
      <w:r w:rsidR="00A17E2F" w:rsidRPr="00F12C22">
        <w:rPr>
          <w:iCs/>
        </w:rPr>
        <w:t xml:space="preserve">advancement in the technology has been the development of the </w:t>
      </w:r>
      <w:r w:rsidR="00B40AA2" w:rsidRPr="00F12C22">
        <w:rPr>
          <w:iCs/>
        </w:rPr>
        <w:t>extra-large (</w:t>
      </w:r>
      <w:r w:rsidR="00692FD7" w:rsidRPr="00F12C22">
        <w:rPr>
          <w:iCs/>
        </w:rPr>
        <w:t>XL</w:t>
      </w:r>
      <w:r w:rsidR="00B40AA2" w:rsidRPr="00F12C22">
        <w:rPr>
          <w:iCs/>
        </w:rPr>
        <w:t>)</w:t>
      </w:r>
      <w:r w:rsidR="00692FD7" w:rsidRPr="00F12C22">
        <w:rPr>
          <w:iCs/>
        </w:rPr>
        <w:t xml:space="preserve"> probe. The M probe has an ultrasound frequency of 3.5 MHz for measurement at a depth from 2.5 to 6.5 cm from the skin</w:t>
      </w:r>
      <w:r w:rsidR="001660E9" w:rsidRPr="00F12C22">
        <w:rPr>
          <w:iCs/>
        </w:rPr>
        <w:t>, while t</w:t>
      </w:r>
      <w:r w:rsidR="00692FD7" w:rsidRPr="00F12C22">
        <w:rPr>
          <w:iCs/>
        </w:rPr>
        <w:t>he XL probe, with an ultrasound frequency of 2.5 MHz for measurement from 3.5 to 7.5 cm, is used when the skin-to-liver capsule distance is &gt;2.5 cm</w:t>
      </w:r>
      <w:r w:rsidR="00B40AA2" w:rsidRPr="00F12C22">
        <w:rPr>
          <w:iCs/>
        </w:rPr>
        <w:t xml:space="preserve"> (</w:t>
      </w:r>
      <w:r w:rsidR="00B40AA2" w:rsidRPr="002B03D8">
        <w:rPr>
          <w:iCs/>
        </w:rPr>
        <w:t>Vuppalanchi 2018</w:t>
      </w:r>
      <w:r w:rsidR="00B40AA2" w:rsidRPr="00F12C22">
        <w:rPr>
          <w:iCs/>
        </w:rPr>
        <w:t>)</w:t>
      </w:r>
      <w:r w:rsidR="00692FD7" w:rsidRPr="00F12C22">
        <w:rPr>
          <w:iCs/>
        </w:rPr>
        <w:t xml:space="preserve">. </w:t>
      </w:r>
      <w:r w:rsidR="00B40AA2" w:rsidRPr="00F12C22">
        <w:rPr>
          <w:iCs/>
        </w:rPr>
        <w:t>T</w:t>
      </w:r>
      <w:r w:rsidR="00A17E2F" w:rsidRPr="00F12C22">
        <w:rPr>
          <w:iCs/>
        </w:rPr>
        <w:t xml:space="preserve">he applicant has </w:t>
      </w:r>
      <w:r w:rsidR="00A17E2F" w:rsidRPr="00F12C22">
        <w:rPr>
          <w:iCs/>
        </w:rPr>
        <w:lastRenderedPageBreak/>
        <w:t>also advised there are further development</w:t>
      </w:r>
      <w:r w:rsidR="00991CD3" w:rsidRPr="00F12C22">
        <w:rPr>
          <w:iCs/>
        </w:rPr>
        <w:t>s</w:t>
      </w:r>
      <w:r w:rsidR="00A17E2F" w:rsidRPr="00F12C22">
        <w:rPr>
          <w:iCs/>
        </w:rPr>
        <w:t xml:space="preserve"> with SmartExam (</w:t>
      </w:r>
      <w:r w:rsidR="00A17E2F" w:rsidRPr="005C67C7">
        <w:rPr>
          <w:iCs/>
        </w:rPr>
        <w:t>2021</w:t>
      </w:r>
      <w:r w:rsidR="00A17E2F" w:rsidRPr="00F12C22">
        <w:rPr>
          <w:iCs/>
        </w:rPr>
        <w:t>), and guided-</w:t>
      </w:r>
      <w:r w:rsidR="00823CCA" w:rsidRPr="00F12C22">
        <w:rPr>
          <w:iCs/>
        </w:rPr>
        <w:t>VCTE™</w:t>
      </w:r>
      <w:r w:rsidR="00A17E2F" w:rsidRPr="00F12C22">
        <w:rPr>
          <w:iCs/>
        </w:rPr>
        <w:t xml:space="preserve"> (</w:t>
      </w:r>
      <w:r w:rsidR="00A17E2F" w:rsidRPr="005C67C7">
        <w:rPr>
          <w:iCs/>
        </w:rPr>
        <w:t>2024</w:t>
      </w:r>
      <w:r w:rsidR="00A17E2F" w:rsidRPr="00F12C22">
        <w:rPr>
          <w:iCs/>
        </w:rPr>
        <w:t>), which have also improved performance in the obese.</w:t>
      </w:r>
      <w:r w:rsidRPr="00F12C22">
        <w:rPr>
          <w:iCs/>
        </w:rPr>
        <w:t xml:space="preserve"> </w:t>
      </w:r>
      <w:r w:rsidR="00412A12" w:rsidRPr="00C37043">
        <w:rPr>
          <w:iCs/>
        </w:rPr>
        <w:t>Bastard (2025)</w:t>
      </w:r>
      <w:r w:rsidR="00412A12">
        <w:rPr>
          <w:iCs/>
        </w:rPr>
        <w:t xml:space="preserve"> provided the following information: “</w:t>
      </w:r>
      <w:r w:rsidR="00412A12" w:rsidRPr="00412A12">
        <w:rPr>
          <w:iCs/>
        </w:rPr>
        <w:t>Guided-</w:t>
      </w:r>
      <w:r w:rsidR="00412A12">
        <w:rPr>
          <w:iCs/>
        </w:rPr>
        <w:t>VC</w:t>
      </w:r>
      <w:r w:rsidR="00412A12" w:rsidRPr="00412A12">
        <w:rPr>
          <w:iCs/>
        </w:rPr>
        <w:t>TE</w:t>
      </w:r>
      <w:r w:rsidR="00412A12">
        <w:rPr>
          <w:iCs/>
        </w:rPr>
        <w:t xml:space="preserve"> </w:t>
      </w:r>
      <w:r w:rsidR="00412A12" w:rsidRPr="00412A12">
        <w:rPr>
          <w:iCs/>
        </w:rPr>
        <w:t>relies</w:t>
      </w:r>
      <w:r w:rsidR="00412A12">
        <w:rPr>
          <w:iCs/>
        </w:rPr>
        <w:t xml:space="preserve"> </w:t>
      </w:r>
      <w:r w:rsidR="00412A12" w:rsidRPr="00412A12">
        <w:rPr>
          <w:iCs/>
        </w:rPr>
        <w:t>on</w:t>
      </w:r>
      <w:r w:rsidR="00412A12">
        <w:rPr>
          <w:iCs/>
        </w:rPr>
        <w:t xml:space="preserve"> </w:t>
      </w:r>
      <w:r w:rsidR="00412A12" w:rsidRPr="00412A12">
        <w:rPr>
          <w:iCs/>
        </w:rPr>
        <w:t>the</w:t>
      </w:r>
      <w:r w:rsidR="00412A12">
        <w:rPr>
          <w:iCs/>
        </w:rPr>
        <w:t xml:space="preserve"> </w:t>
      </w:r>
      <w:r w:rsidR="00412A12" w:rsidRPr="00412A12">
        <w:rPr>
          <w:iCs/>
        </w:rPr>
        <w:t>use</w:t>
      </w:r>
      <w:r w:rsidR="00412A12">
        <w:rPr>
          <w:iCs/>
        </w:rPr>
        <w:t xml:space="preserve"> </w:t>
      </w:r>
      <w:r w:rsidR="00412A12" w:rsidRPr="00412A12">
        <w:rPr>
          <w:iCs/>
        </w:rPr>
        <w:t>of</w:t>
      </w:r>
      <w:r w:rsidR="00412A12">
        <w:rPr>
          <w:iCs/>
        </w:rPr>
        <w:t xml:space="preserve"> </w:t>
      </w:r>
      <w:r w:rsidR="00412A12" w:rsidRPr="00412A12">
        <w:rPr>
          <w:iCs/>
        </w:rPr>
        <w:t>s</w:t>
      </w:r>
      <w:r w:rsidR="00412A12">
        <w:rPr>
          <w:iCs/>
        </w:rPr>
        <w:t>h</w:t>
      </w:r>
      <w:r w:rsidR="00412A12" w:rsidRPr="00412A12">
        <w:rPr>
          <w:iCs/>
        </w:rPr>
        <w:t>ear</w:t>
      </w:r>
      <w:r w:rsidR="00412A12">
        <w:rPr>
          <w:iCs/>
        </w:rPr>
        <w:t xml:space="preserve"> </w:t>
      </w:r>
      <w:r w:rsidR="00412A12" w:rsidRPr="00412A12">
        <w:rPr>
          <w:iCs/>
        </w:rPr>
        <w:t>waves</w:t>
      </w:r>
      <w:r w:rsidR="00412A12">
        <w:rPr>
          <w:iCs/>
        </w:rPr>
        <w:t xml:space="preserve"> </w:t>
      </w:r>
      <w:r w:rsidR="00412A12" w:rsidRPr="00412A12">
        <w:rPr>
          <w:iCs/>
        </w:rPr>
        <w:t>not</w:t>
      </w:r>
      <w:r w:rsidR="00412A12">
        <w:rPr>
          <w:iCs/>
        </w:rPr>
        <w:t xml:space="preserve"> </w:t>
      </w:r>
      <w:r w:rsidR="00412A12" w:rsidRPr="00412A12">
        <w:rPr>
          <w:iCs/>
        </w:rPr>
        <w:t>only</w:t>
      </w:r>
      <w:r w:rsidR="00412A12">
        <w:rPr>
          <w:iCs/>
        </w:rPr>
        <w:t xml:space="preserve"> </w:t>
      </w:r>
      <w:r w:rsidR="00412A12" w:rsidRPr="00412A12">
        <w:rPr>
          <w:iCs/>
        </w:rPr>
        <w:t>to</w:t>
      </w:r>
      <w:r w:rsidR="00412A12">
        <w:rPr>
          <w:iCs/>
        </w:rPr>
        <w:t xml:space="preserve"> </w:t>
      </w:r>
      <w:r w:rsidR="00412A12" w:rsidRPr="00412A12">
        <w:rPr>
          <w:iCs/>
        </w:rPr>
        <w:t>measure</w:t>
      </w:r>
      <w:r w:rsidR="00412A12">
        <w:rPr>
          <w:iCs/>
        </w:rPr>
        <w:t xml:space="preserve"> </w:t>
      </w:r>
      <w:r w:rsidR="00412A12" w:rsidRPr="00412A12">
        <w:rPr>
          <w:iCs/>
        </w:rPr>
        <w:t>liver</w:t>
      </w:r>
      <w:r w:rsidR="00412A12">
        <w:rPr>
          <w:iCs/>
        </w:rPr>
        <w:t xml:space="preserve"> </w:t>
      </w:r>
      <w:r w:rsidR="00412A12" w:rsidRPr="00412A12">
        <w:rPr>
          <w:iCs/>
        </w:rPr>
        <w:t>stiffness,</w:t>
      </w:r>
      <w:r w:rsidR="00412A12">
        <w:rPr>
          <w:iCs/>
        </w:rPr>
        <w:t xml:space="preserve"> </w:t>
      </w:r>
      <w:r w:rsidR="00412A12" w:rsidRPr="00412A12">
        <w:rPr>
          <w:iCs/>
        </w:rPr>
        <w:t>but</w:t>
      </w:r>
      <w:r w:rsidR="00412A12">
        <w:rPr>
          <w:iCs/>
        </w:rPr>
        <w:t xml:space="preserve"> </w:t>
      </w:r>
      <w:r w:rsidR="00412A12" w:rsidRPr="00412A12">
        <w:rPr>
          <w:iCs/>
        </w:rPr>
        <w:t>also</w:t>
      </w:r>
      <w:r w:rsidR="00412A12">
        <w:rPr>
          <w:iCs/>
        </w:rPr>
        <w:t xml:space="preserve"> </w:t>
      </w:r>
      <w:r w:rsidR="00412A12" w:rsidRPr="00412A12">
        <w:rPr>
          <w:iCs/>
        </w:rPr>
        <w:t>to</w:t>
      </w:r>
      <w:r w:rsidR="00412A12">
        <w:rPr>
          <w:iCs/>
        </w:rPr>
        <w:t xml:space="preserve"> </w:t>
      </w:r>
      <w:r w:rsidR="00412A12" w:rsidRPr="00412A12">
        <w:rPr>
          <w:iCs/>
        </w:rPr>
        <w:t>help</w:t>
      </w:r>
      <w:r w:rsidR="00412A12">
        <w:rPr>
          <w:iCs/>
        </w:rPr>
        <w:t xml:space="preserve"> </w:t>
      </w:r>
      <w:r w:rsidR="00412A12" w:rsidRPr="00412A12">
        <w:rPr>
          <w:iCs/>
        </w:rPr>
        <w:t>the</w:t>
      </w:r>
      <w:r w:rsidR="00412A12">
        <w:rPr>
          <w:iCs/>
        </w:rPr>
        <w:t xml:space="preserve"> </w:t>
      </w:r>
      <w:r w:rsidR="00412A12" w:rsidRPr="00412A12">
        <w:rPr>
          <w:iCs/>
        </w:rPr>
        <w:t>operator</w:t>
      </w:r>
      <w:r w:rsidR="00412A12">
        <w:rPr>
          <w:iCs/>
        </w:rPr>
        <w:t xml:space="preserve"> </w:t>
      </w:r>
      <w:r w:rsidR="00412A12" w:rsidRPr="00412A12">
        <w:rPr>
          <w:iCs/>
        </w:rPr>
        <w:t>locate</w:t>
      </w:r>
      <w:r w:rsidR="00412A12">
        <w:rPr>
          <w:iCs/>
        </w:rPr>
        <w:t xml:space="preserve"> </w:t>
      </w:r>
      <w:r w:rsidR="00412A12" w:rsidRPr="00412A12">
        <w:rPr>
          <w:iCs/>
        </w:rPr>
        <w:t>the</w:t>
      </w:r>
      <w:r w:rsidR="00412A12">
        <w:rPr>
          <w:iCs/>
        </w:rPr>
        <w:t xml:space="preserve"> </w:t>
      </w:r>
      <w:r w:rsidR="00412A12" w:rsidRPr="00412A12">
        <w:rPr>
          <w:iCs/>
        </w:rPr>
        <w:t>liver.</w:t>
      </w:r>
      <w:r w:rsidR="00412A12">
        <w:rPr>
          <w:iCs/>
        </w:rPr>
        <w:t xml:space="preserve"> </w:t>
      </w:r>
      <w:r w:rsidR="00412A12" w:rsidRPr="00412A12">
        <w:rPr>
          <w:iCs/>
        </w:rPr>
        <w:t>In</w:t>
      </w:r>
      <w:r w:rsidR="00412A12">
        <w:rPr>
          <w:iCs/>
        </w:rPr>
        <w:t xml:space="preserve"> </w:t>
      </w:r>
      <w:r w:rsidR="00412A12" w:rsidRPr="00412A12">
        <w:rPr>
          <w:iCs/>
        </w:rPr>
        <w:t>addition</w:t>
      </w:r>
      <w:r w:rsidR="00412A12">
        <w:rPr>
          <w:iCs/>
        </w:rPr>
        <w:t xml:space="preserve"> </w:t>
      </w:r>
      <w:r w:rsidR="00412A12" w:rsidRPr="00412A12">
        <w:rPr>
          <w:iCs/>
        </w:rPr>
        <w:t>to</w:t>
      </w:r>
      <w:r w:rsidR="00412A12">
        <w:rPr>
          <w:iCs/>
        </w:rPr>
        <w:t xml:space="preserve"> </w:t>
      </w:r>
      <w:r w:rsidR="00412A12" w:rsidRPr="00412A12">
        <w:rPr>
          <w:iCs/>
        </w:rPr>
        <w:t>the</w:t>
      </w:r>
      <w:r w:rsidR="00412A12">
        <w:rPr>
          <w:iCs/>
        </w:rPr>
        <w:t xml:space="preserve"> </w:t>
      </w:r>
      <w:r w:rsidR="00412A12" w:rsidRPr="00412A12">
        <w:rPr>
          <w:iCs/>
        </w:rPr>
        <w:t>ultrasound</w:t>
      </w:r>
      <w:r w:rsidR="00412A12">
        <w:rPr>
          <w:iCs/>
        </w:rPr>
        <w:t xml:space="preserve"> </w:t>
      </w:r>
      <w:r w:rsidR="00412A12" w:rsidRPr="00412A12">
        <w:rPr>
          <w:iCs/>
        </w:rPr>
        <w:t>images</w:t>
      </w:r>
      <w:r w:rsidR="00412A12">
        <w:rPr>
          <w:iCs/>
        </w:rPr>
        <w:t xml:space="preserve"> </w:t>
      </w:r>
      <w:r w:rsidR="00412A12" w:rsidRPr="00412A12">
        <w:rPr>
          <w:iCs/>
        </w:rPr>
        <w:t>and</w:t>
      </w:r>
      <w:r w:rsidR="00412A12">
        <w:rPr>
          <w:iCs/>
        </w:rPr>
        <w:t xml:space="preserve"> </w:t>
      </w:r>
      <w:r w:rsidR="00412A12" w:rsidRPr="00412A12">
        <w:rPr>
          <w:iCs/>
        </w:rPr>
        <w:t>ultrasound-based</w:t>
      </w:r>
      <w:r w:rsidR="00412A12">
        <w:rPr>
          <w:iCs/>
        </w:rPr>
        <w:t xml:space="preserve"> </w:t>
      </w:r>
      <w:r w:rsidR="00412A12" w:rsidRPr="00412A12">
        <w:rPr>
          <w:iCs/>
        </w:rPr>
        <w:t>indicators,</w:t>
      </w:r>
      <w:r w:rsidR="00412A12">
        <w:rPr>
          <w:iCs/>
        </w:rPr>
        <w:t xml:space="preserve"> </w:t>
      </w:r>
      <w:r w:rsidR="00412A12" w:rsidRPr="00412A12">
        <w:rPr>
          <w:iCs/>
        </w:rPr>
        <w:t>a</w:t>
      </w:r>
      <w:r w:rsidR="00412A12">
        <w:rPr>
          <w:iCs/>
        </w:rPr>
        <w:t xml:space="preserve"> </w:t>
      </w:r>
      <w:r w:rsidR="00412A12" w:rsidRPr="00412A12">
        <w:rPr>
          <w:iCs/>
        </w:rPr>
        <w:t>real-time</w:t>
      </w:r>
      <w:r w:rsidR="00412A12">
        <w:rPr>
          <w:iCs/>
        </w:rPr>
        <w:t xml:space="preserve"> </w:t>
      </w:r>
      <w:r w:rsidR="00412A12" w:rsidRPr="00412A12">
        <w:rPr>
          <w:iCs/>
        </w:rPr>
        <w:t>predictive</w:t>
      </w:r>
      <w:r w:rsidR="00412A12">
        <w:rPr>
          <w:iCs/>
        </w:rPr>
        <w:t xml:space="preserve"> </w:t>
      </w:r>
      <w:r w:rsidR="00412A12" w:rsidRPr="00412A12">
        <w:rPr>
          <w:iCs/>
        </w:rPr>
        <w:t>indicator</w:t>
      </w:r>
      <w:r w:rsidR="00412A12">
        <w:rPr>
          <w:iCs/>
        </w:rPr>
        <w:t xml:space="preserve"> </w:t>
      </w:r>
      <w:r w:rsidR="00412A12" w:rsidRPr="00412A12">
        <w:rPr>
          <w:iCs/>
        </w:rPr>
        <w:t>of</w:t>
      </w:r>
      <w:r w:rsidR="00412A12">
        <w:rPr>
          <w:iCs/>
        </w:rPr>
        <w:t xml:space="preserve"> </w:t>
      </w:r>
      <w:r w:rsidR="00412A12" w:rsidRPr="00412A12">
        <w:rPr>
          <w:iCs/>
        </w:rPr>
        <w:t>shear</w:t>
      </w:r>
      <w:r w:rsidR="00412A12">
        <w:rPr>
          <w:iCs/>
        </w:rPr>
        <w:t xml:space="preserve"> </w:t>
      </w:r>
      <w:r w:rsidR="00412A12" w:rsidRPr="00412A12">
        <w:rPr>
          <w:iCs/>
        </w:rPr>
        <w:t>wave</w:t>
      </w:r>
      <w:r w:rsidR="00412A12">
        <w:rPr>
          <w:iCs/>
        </w:rPr>
        <w:t xml:space="preserve"> </w:t>
      </w:r>
      <w:r w:rsidR="00412A12" w:rsidRPr="00412A12">
        <w:rPr>
          <w:iCs/>
        </w:rPr>
        <w:t>propagation</w:t>
      </w:r>
      <w:r w:rsidR="00412A12">
        <w:rPr>
          <w:iCs/>
        </w:rPr>
        <w:t xml:space="preserve"> </w:t>
      </w:r>
      <w:r w:rsidR="00412A12" w:rsidRPr="00412A12">
        <w:rPr>
          <w:iCs/>
        </w:rPr>
        <w:t>is</w:t>
      </w:r>
      <w:r w:rsidR="00412A12">
        <w:rPr>
          <w:iCs/>
        </w:rPr>
        <w:t xml:space="preserve"> </w:t>
      </w:r>
      <w:r w:rsidR="00412A12" w:rsidRPr="00412A12">
        <w:rPr>
          <w:iCs/>
        </w:rPr>
        <w:t>displayed</w:t>
      </w:r>
      <w:r w:rsidR="00412A12">
        <w:rPr>
          <w:iCs/>
        </w:rPr>
        <w:t xml:space="preserve"> </w:t>
      </w:r>
      <w:r w:rsidR="00412A12" w:rsidRPr="00412A12">
        <w:rPr>
          <w:iCs/>
        </w:rPr>
        <w:t>to</w:t>
      </w:r>
      <w:r w:rsidR="00412A12">
        <w:rPr>
          <w:iCs/>
        </w:rPr>
        <w:t xml:space="preserve"> </w:t>
      </w:r>
      <w:r w:rsidR="00412A12" w:rsidRPr="00412A12">
        <w:rPr>
          <w:iCs/>
        </w:rPr>
        <w:t>the</w:t>
      </w:r>
      <w:r w:rsidR="00412A12">
        <w:rPr>
          <w:iCs/>
        </w:rPr>
        <w:t xml:space="preserve"> </w:t>
      </w:r>
      <w:r w:rsidR="00412A12" w:rsidRPr="00412A12">
        <w:rPr>
          <w:iCs/>
        </w:rPr>
        <w:t>operator</w:t>
      </w:r>
      <w:r w:rsidR="00412A12">
        <w:rPr>
          <w:iCs/>
        </w:rPr>
        <w:t xml:space="preserve"> </w:t>
      </w:r>
      <w:r w:rsidR="00412A12" w:rsidRPr="00412A12">
        <w:rPr>
          <w:iCs/>
        </w:rPr>
        <w:t>during</w:t>
      </w:r>
      <w:r w:rsidR="00412A12">
        <w:rPr>
          <w:iCs/>
        </w:rPr>
        <w:t xml:space="preserve"> </w:t>
      </w:r>
      <w:r w:rsidR="00412A12" w:rsidRPr="00412A12">
        <w:rPr>
          <w:iCs/>
        </w:rPr>
        <w:t>the</w:t>
      </w:r>
      <w:r w:rsidR="00412A12">
        <w:rPr>
          <w:iCs/>
        </w:rPr>
        <w:t xml:space="preserve"> </w:t>
      </w:r>
      <w:r w:rsidR="00412A12" w:rsidRPr="00412A12">
        <w:rPr>
          <w:iCs/>
        </w:rPr>
        <w:t>Guided-</w:t>
      </w:r>
      <w:r w:rsidR="002B3E97" w:rsidRPr="002B3E97">
        <w:t xml:space="preserve"> </w:t>
      </w:r>
      <w:r w:rsidR="002B3E97">
        <w:t>VCTE</w:t>
      </w:r>
      <w:r w:rsidR="00412A12">
        <w:rPr>
          <w:iCs/>
        </w:rPr>
        <w:t xml:space="preserve"> </w:t>
      </w:r>
      <w:r w:rsidR="00412A12" w:rsidRPr="00412A12">
        <w:rPr>
          <w:iCs/>
        </w:rPr>
        <w:t>procedure.</w:t>
      </w:r>
      <w:r w:rsidR="00412A12">
        <w:rPr>
          <w:iCs/>
        </w:rPr>
        <w:t xml:space="preserve"> </w:t>
      </w:r>
      <w:r w:rsidR="00412A12" w:rsidRPr="00412A12">
        <w:rPr>
          <w:iCs/>
        </w:rPr>
        <w:t>To</w:t>
      </w:r>
      <w:r w:rsidR="00412A12">
        <w:rPr>
          <w:iCs/>
        </w:rPr>
        <w:t xml:space="preserve"> </w:t>
      </w:r>
      <w:r w:rsidR="00412A12" w:rsidRPr="00412A12">
        <w:rPr>
          <w:iCs/>
        </w:rPr>
        <w:t>improve</w:t>
      </w:r>
      <w:r w:rsidR="00412A12">
        <w:rPr>
          <w:iCs/>
        </w:rPr>
        <w:t xml:space="preserve"> </w:t>
      </w:r>
      <w:r w:rsidR="00412A12" w:rsidRPr="00412A12">
        <w:rPr>
          <w:iCs/>
        </w:rPr>
        <w:t>stiffness</w:t>
      </w:r>
      <w:r w:rsidR="00412A12">
        <w:rPr>
          <w:iCs/>
        </w:rPr>
        <w:t xml:space="preserve"> </w:t>
      </w:r>
      <w:r w:rsidR="00412A12" w:rsidRPr="00412A12">
        <w:rPr>
          <w:iCs/>
        </w:rPr>
        <w:t>measurement</w:t>
      </w:r>
      <w:r w:rsidR="00412A12">
        <w:rPr>
          <w:iCs/>
        </w:rPr>
        <w:t xml:space="preserve"> </w:t>
      </w:r>
      <w:r w:rsidR="00412A12" w:rsidRPr="00412A12">
        <w:rPr>
          <w:iCs/>
        </w:rPr>
        <w:t>in</w:t>
      </w:r>
      <w:r w:rsidR="00412A12">
        <w:rPr>
          <w:iCs/>
        </w:rPr>
        <w:t xml:space="preserve"> </w:t>
      </w:r>
      <w:r w:rsidR="00412A12" w:rsidRPr="00412A12">
        <w:rPr>
          <w:iCs/>
        </w:rPr>
        <w:t>patients</w:t>
      </w:r>
      <w:r w:rsidR="00412A12">
        <w:rPr>
          <w:iCs/>
        </w:rPr>
        <w:t xml:space="preserve"> </w:t>
      </w:r>
      <w:r w:rsidR="00412A12" w:rsidRPr="00412A12">
        <w:rPr>
          <w:iCs/>
        </w:rPr>
        <w:t>with</w:t>
      </w:r>
      <w:r w:rsidR="00412A12">
        <w:rPr>
          <w:iCs/>
        </w:rPr>
        <w:t xml:space="preserve"> </w:t>
      </w:r>
      <w:r w:rsidR="00412A12" w:rsidRPr="00412A12">
        <w:rPr>
          <w:iCs/>
        </w:rPr>
        <w:t>high</w:t>
      </w:r>
      <w:r w:rsidR="00412A12">
        <w:rPr>
          <w:iCs/>
        </w:rPr>
        <w:t xml:space="preserve"> </w:t>
      </w:r>
      <w:r w:rsidR="00412A12" w:rsidRPr="00412A12">
        <w:rPr>
          <w:iCs/>
        </w:rPr>
        <w:t>BMI,</w:t>
      </w:r>
      <w:r w:rsidR="00412A12">
        <w:rPr>
          <w:iCs/>
        </w:rPr>
        <w:t xml:space="preserve"> </w:t>
      </w:r>
      <w:r w:rsidR="00412A12" w:rsidRPr="00412A12">
        <w:rPr>
          <w:iCs/>
        </w:rPr>
        <w:t>this</w:t>
      </w:r>
      <w:r w:rsidR="00412A12">
        <w:rPr>
          <w:iCs/>
        </w:rPr>
        <w:t xml:space="preserve"> </w:t>
      </w:r>
      <w:r w:rsidR="00412A12" w:rsidRPr="00412A12">
        <w:rPr>
          <w:iCs/>
        </w:rPr>
        <w:t>new</w:t>
      </w:r>
      <w:r w:rsidR="00412A12">
        <w:rPr>
          <w:iCs/>
        </w:rPr>
        <w:t xml:space="preserve"> </w:t>
      </w:r>
      <w:r w:rsidR="00412A12" w:rsidRPr="00412A12">
        <w:rPr>
          <w:iCs/>
        </w:rPr>
        <w:t>technique</w:t>
      </w:r>
      <w:r w:rsidR="00412A12">
        <w:rPr>
          <w:iCs/>
        </w:rPr>
        <w:t xml:space="preserve"> </w:t>
      </w:r>
      <w:r w:rsidR="00412A12" w:rsidRPr="00412A12">
        <w:rPr>
          <w:iCs/>
        </w:rPr>
        <w:t>also</w:t>
      </w:r>
      <w:r w:rsidR="00412A12">
        <w:rPr>
          <w:iCs/>
        </w:rPr>
        <w:t xml:space="preserve"> </w:t>
      </w:r>
      <w:r w:rsidR="00412A12" w:rsidRPr="00412A12">
        <w:rPr>
          <w:iCs/>
        </w:rPr>
        <w:t>takes</w:t>
      </w:r>
      <w:r w:rsidR="00412A12">
        <w:rPr>
          <w:iCs/>
        </w:rPr>
        <w:t xml:space="preserve"> </w:t>
      </w:r>
      <w:r w:rsidR="00412A12" w:rsidRPr="00412A12">
        <w:rPr>
          <w:iCs/>
        </w:rPr>
        <w:t>advantage</w:t>
      </w:r>
      <w:r w:rsidR="00412A12">
        <w:rPr>
          <w:iCs/>
        </w:rPr>
        <w:t xml:space="preserve"> </w:t>
      </w:r>
      <w:r w:rsidR="00412A12" w:rsidRPr="00412A12">
        <w:rPr>
          <w:iCs/>
        </w:rPr>
        <w:t>of</w:t>
      </w:r>
      <w:r w:rsidR="00412A12">
        <w:rPr>
          <w:iCs/>
        </w:rPr>
        <w:t xml:space="preserve"> </w:t>
      </w:r>
      <w:r w:rsidR="00412A12" w:rsidRPr="00412A12">
        <w:rPr>
          <w:iCs/>
        </w:rPr>
        <w:t>continuous</w:t>
      </w:r>
      <w:r w:rsidR="00412A12">
        <w:rPr>
          <w:iCs/>
        </w:rPr>
        <w:t xml:space="preserve"> </w:t>
      </w:r>
      <w:r w:rsidR="00412A12" w:rsidRPr="00412A12">
        <w:rPr>
          <w:iCs/>
        </w:rPr>
        <w:t>shear</w:t>
      </w:r>
      <w:r w:rsidR="00412A12">
        <w:rPr>
          <w:iCs/>
        </w:rPr>
        <w:t xml:space="preserve"> </w:t>
      </w:r>
      <w:r w:rsidR="00412A12" w:rsidRPr="00412A12">
        <w:rPr>
          <w:iCs/>
        </w:rPr>
        <w:t>wave</w:t>
      </w:r>
      <w:r w:rsidR="00412A12">
        <w:rPr>
          <w:iCs/>
        </w:rPr>
        <w:t xml:space="preserve"> </w:t>
      </w:r>
      <w:r w:rsidR="00412A12" w:rsidRPr="00412A12">
        <w:rPr>
          <w:iCs/>
        </w:rPr>
        <w:t>propagation</w:t>
      </w:r>
      <w:r w:rsidR="00412A12">
        <w:rPr>
          <w:iCs/>
        </w:rPr>
        <w:t xml:space="preserve"> </w:t>
      </w:r>
      <w:r w:rsidR="00412A12" w:rsidRPr="00412A12">
        <w:rPr>
          <w:iCs/>
        </w:rPr>
        <w:t>to</w:t>
      </w:r>
      <w:r w:rsidR="00412A12">
        <w:rPr>
          <w:iCs/>
        </w:rPr>
        <w:t xml:space="preserve"> </w:t>
      </w:r>
      <w:r w:rsidR="00412A12" w:rsidRPr="00412A12">
        <w:rPr>
          <w:iCs/>
        </w:rPr>
        <w:t>implement</w:t>
      </w:r>
      <w:r w:rsidR="00412A12">
        <w:rPr>
          <w:iCs/>
        </w:rPr>
        <w:t xml:space="preserve"> </w:t>
      </w:r>
      <w:r w:rsidR="00412A12" w:rsidRPr="00412A12">
        <w:rPr>
          <w:iCs/>
        </w:rPr>
        <w:t>shear</w:t>
      </w:r>
      <w:r w:rsidR="00412A12">
        <w:rPr>
          <w:iCs/>
        </w:rPr>
        <w:t xml:space="preserve"> </w:t>
      </w:r>
      <w:r w:rsidR="00412A12" w:rsidRPr="00412A12">
        <w:rPr>
          <w:iCs/>
        </w:rPr>
        <w:t>wave</w:t>
      </w:r>
      <w:r w:rsidR="00412A12">
        <w:rPr>
          <w:iCs/>
        </w:rPr>
        <w:t xml:space="preserve"> </w:t>
      </w:r>
      <w:r w:rsidR="00412A12" w:rsidRPr="00412A12">
        <w:rPr>
          <w:iCs/>
        </w:rPr>
        <w:t>map</w:t>
      </w:r>
      <w:r w:rsidR="00412A12">
        <w:rPr>
          <w:iCs/>
        </w:rPr>
        <w:t xml:space="preserve"> </w:t>
      </w:r>
      <w:r w:rsidR="00412A12" w:rsidRPr="00412A12">
        <w:rPr>
          <w:iCs/>
        </w:rPr>
        <w:t>(SWMP)</w:t>
      </w:r>
      <w:r w:rsidR="00412A12">
        <w:rPr>
          <w:iCs/>
        </w:rPr>
        <w:t xml:space="preserve"> </w:t>
      </w:r>
      <w:r w:rsidR="00412A12" w:rsidRPr="00412A12">
        <w:rPr>
          <w:iCs/>
        </w:rPr>
        <w:t>averaging,</w:t>
      </w:r>
      <w:r w:rsidR="00412A12">
        <w:rPr>
          <w:iCs/>
        </w:rPr>
        <w:t xml:space="preserve"> </w:t>
      </w:r>
      <w:r w:rsidR="00412A12" w:rsidRPr="00412A12">
        <w:rPr>
          <w:iCs/>
        </w:rPr>
        <w:t>thereby</w:t>
      </w:r>
      <w:r w:rsidR="00412A12">
        <w:rPr>
          <w:iCs/>
        </w:rPr>
        <w:t xml:space="preserve"> </w:t>
      </w:r>
      <w:r w:rsidR="00412A12" w:rsidRPr="00412A12">
        <w:rPr>
          <w:iCs/>
        </w:rPr>
        <w:t>improving</w:t>
      </w:r>
      <w:r w:rsidR="00412A12">
        <w:rPr>
          <w:iCs/>
        </w:rPr>
        <w:t xml:space="preserve"> </w:t>
      </w:r>
      <w:r w:rsidR="00412A12" w:rsidRPr="00412A12">
        <w:rPr>
          <w:iCs/>
        </w:rPr>
        <w:t>signal-to-noise</w:t>
      </w:r>
      <w:r w:rsidR="00412A12">
        <w:rPr>
          <w:iCs/>
        </w:rPr>
        <w:t xml:space="preserve"> </w:t>
      </w:r>
      <w:r w:rsidR="00412A12" w:rsidRPr="00412A12">
        <w:rPr>
          <w:iCs/>
        </w:rPr>
        <w:t>ratio</w:t>
      </w:r>
      <w:r w:rsidR="00412A12">
        <w:rPr>
          <w:iCs/>
        </w:rPr>
        <w:t xml:space="preserve">”. Bastard (2025) reported </w:t>
      </w:r>
      <w:r w:rsidR="00744DBF">
        <w:rPr>
          <w:iCs/>
        </w:rPr>
        <w:t xml:space="preserve">that </w:t>
      </w:r>
      <w:r w:rsidR="00412A12" w:rsidRPr="00412A12">
        <w:rPr>
          <w:iCs/>
        </w:rPr>
        <w:t>the</w:t>
      </w:r>
      <w:r w:rsidR="00412A12">
        <w:rPr>
          <w:iCs/>
        </w:rPr>
        <w:t xml:space="preserve"> </w:t>
      </w:r>
      <w:r w:rsidR="00412A12" w:rsidRPr="00412A12">
        <w:rPr>
          <w:iCs/>
        </w:rPr>
        <w:t>success</w:t>
      </w:r>
      <w:r w:rsidR="00412A12">
        <w:rPr>
          <w:iCs/>
        </w:rPr>
        <w:t xml:space="preserve"> </w:t>
      </w:r>
      <w:r w:rsidR="00412A12" w:rsidRPr="00412A12">
        <w:rPr>
          <w:iCs/>
        </w:rPr>
        <w:t>rate</w:t>
      </w:r>
      <w:r w:rsidR="00412A12">
        <w:rPr>
          <w:iCs/>
        </w:rPr>
        <w:t xml:space="preserve"> </w:t>
      </w:r>
      <w:r w:rsidR="00412A12" w:rsidRPr="00412A12">
        <w:rPr>
          <w:iCs/>
        </w:rPr>
        <w:t>of</w:t>
      </w:r>
      <w:r w:rsidR="00412A12">
        <w:rPr>
          <w:iCs/>
        </w:rPr>
        <w:t xml:space="preserve"> </w:t>
      </w:r>
      <w:r w:rsidR="00412A12" w:rsidRPr="00412A12">
        <w:rPr>
          <w:iCs/>
        </w:rPr>
        <w:t>individual</w:t>
      </w:r>
      <w:r w:rsidR="00412A12">
        <w:rPr>
          <w:iCs/>
        </w:rPr>
        <w:t xml:space="preserve"> </w:t>
      </w:r>
      <w:r w:rsidR="00412A12" w:rsidRPr="00412A12">
        <w:rPr>
          <w:iCs/>
        </w:rPr>
        <w:t>measurements</w:t>
      </w:r>
      <w:r w:rsidR="00412A12">
        <w:rPr>
          <w:iCs/>
        </w:rPr>
        <w:t xml:space="preserve"> </w:t>
      </w:r>
      <w:r w:rsidR="00412A12" w:rsidRPr="00412A12">
        <w:rPr>
          <w:iCs/>
        </w:rPr>
        <w:t>and</w:t>
      </w:r>
      <w:r w:rsidR="00412A12">
        <w:rPr>
          <w:iCs/>
        </w:rPr>
        <w:t xml:space="preserve"> </w:t>
      </w:r>
      <w:r w:rsidR="00412A12" w:rsidRPr="00412A12">
        <w:rPr>
          <w:iCs/>
        </w:rPr>
        <w:t>the</w:t>
      </w:r>
      <w:r w:rsidR="00412A12">
        <w:rPr>
          <w:iCs/>
        </w:rPr>
        <w:t xml:space="preserve"> </w:t>
      </w:r>
      <w:r w:rsidR="00412A12" w:rsidRPr="00412A12">
        <w:rPr>
          <w:iCs/>
        </w:rPr>
        <w:t>time</w:t>
      </w:r>
      <w:r w:rsidR="00412A12">
        <w:rPr>
          <w:iCs/>
        </w:rPr>
        <w:t xml:space="preserve"> </w:t>
      </w:r>
      <w:r w:rsidR="00412A12" w:rsidRPr="00412A12">
        <w:rPr>
          <w:iCs/>
        </w:rPr>
        <w:t>required</w:t>
      </w:r>
      <w:r w:rsidR="00412A12">
        <w:rPr>
          <w:iCs/>
        </w:rPr>
        <w:t xml:space="preserve"> </w:t>
      </w:r>
      <w:r w:rsidR="00412A12" w:rsidRPr="00412A12">
        <w:rPr>
          <w:iCs/>
        </w:rPr>
        <w:t>for</w:t>
      </w:r>
      <w:r w:rsidR="00412A12">
        <w:rPr>
          <w:iCs/>
        </w:rPr>
        <w:t xml:space="preserve"> </w:t>
      </w:r>
      <w:r w:rsidR="00412A12" w:rsidRPr="00412A12">
        <w:rPr>
          <w:iCs/>
        </w:rPr>
        <w:t>locali</w:t>
      </w:r>
      <w:r w:rsidR="00744DBF">
        <w:rPr>
          <w:iCs/>
        </w:rPr>
        <w:t>s</w:t>
      </w:r>
      <w:r w:rsidR="00412A12" w:rsidRPr="00412A12">
        <w:rPr>
          <w:iCs/>
        </w:rPr>
        <w:t>ation</w:t>
      </w:r>
      <w:r w:rsidR="00412A12">
        <w:rPr>
          <w:iCs/>
        </w:rPr>
        <w:t xml:space="preserve"> </w:t>
      </w:r>
      <w:r w:rsidR="00C37043">
        <w:rPr>
          <w:iCs/>
        </w:rPr>
        <w:t xml:space="preserve">of the liver </w:t>
      </w:r>
      <w:r w:rsidR="00744DBF">
        <w:rPr>
          <w:iCs/>
        </w:rPr>
        <w:t>was improved with g</w:t>
      </w:r>
      <w:r w:rsidR="00744DBF" w:rsidRPr="00412A12">
        <w:rPr>
          <w:iCs/>
        </w:rPr>
        <w:t>uided-</w:t>
      </w:r>
      <w:r w:rsidR="002B3E97" w:rsidRPr="002B3E97">
        <w:t xml:space="preserve"> </w:t>
      </w:r>
      <w:r w:rsidR="002B3E97">
        <w:t>VCTE</w:t>
      </w:r>
      <w:r w:rsidR="002B3E97" w:rsidRPr="00F12C22">
        <w:t>™</w:t>
      </w:r>
      <w:r w:rsidR="00744DBF">
        <w:rPr>
          <w:iCs/>
        </w:rPr>
        <w:t xml:space="preserve"> </w:t>
      </w:r>
      <w:r w:rsidR="00744DBF" w:rsidRPr="00412A12">
        <w:rPr>
          <w:iCs/>
        </w:rPr>
        <w:t>examination</w:t>
      </w:r>
      <w:r w:rsidR="00412A12" w:rsidRPr="00412A12">
        <w:rPr>
          <w:iCs/>
        </w:rPr>
        <w:t>,</w:t>
      </w:r>
      <w:r w:rsidR="00412A12">
        <w:rPr>
          <w:iCs/>
        </w:rPr>
        <w:t xml:space="preserve"> </w:t>
      </w:r>
      <w:r w:rsidR="00412A12" w:rsidRPr="00412A12">
        <w:rPr>
          <w:iCs/>
        </w:rPr>
        <w:t>especially</w:t>
      </w:r>
      <w:r w:rsidR="00412A12">
        <w:rPr>
          <w:iCs/>
        </w:rPr>
        <w:t xml:space="preserve"> </w:t>
      </w:r>
      <w:r w:rsidR="00412A12" w:rsidRPr="00412A12">
        <w:rPr>
          <w:iCs/>
        </w:rPr>
        <w:t>in</w:t>
      </w:r>
      <w:r w:rsidR="00412A12">
        <w:rPr>
          <w:iCs/>
        </w:rPr>
        <w:t xml:space="preserve"> </w:t>
      </w:r>
      <w:r w:rsidR="00412A12" w:rsidRPr="00412A12">
        <w:rPr>
          <w:iCs/>
        </w:rPr>
        <w:t>patients</w:t>
      </w:r>
      <w:r w:rsidR="00412A12">
        <w:rPr>
          <w:iCs/>
        </w:rPr>
        <w:t xml:space="preserve"> </w:t>
      </w:r>
      <w:r w:rsidR="00412A12" w:rsidRPr="00412A12">
        <w:rPr>
          <w:iCs/>
        </w:rPr>
        <w:t>with</w:t>
      </w:r>
      <w:r w:rsidR="00412A12">
        <w:rPr>
          <w:iCs/>
        </w:rPr>
        <w:t xml:space="preserve"> </w:t>
      </w:r>
      <w:r w:rsidR="00412A12" w:rsidRPr="00412A12">
        <w:rPr>
          <w:iCs/>
        </w:rPr>
        <w:t>BMI ≥35 kg/m².</w:t>
      </w:r>
      <w:r w:rsidR="00412A12">
        <w:rPr>
          <w:iCs/>
        </w:rPr>
        <w:t xml:space="preserve"> </w:t>
      </w:r>
      <w:r w:rsidRPr="00F12C22">
        <w:t xml:space="preserve">The applicant’s clinical expert also </w:t>
      </w:r>
      <w:r w:rsidR="00C441E2">
        <w:t>advised</w:t>
      </w:r>
      <w:r w:rsidRPr="00F12C22">
        <w:t xml:space="preserve"> that </w:t>
      </w:r>
      <w:r w:rsidRPr="00F12C22">
        <w:rPr>
          <w:szCs w:val="24"/>
        </w:rPr>
        <w:t>very few VCTE™ are unable to be performed in obese patients, except for the patients who are morbidly obese, which is rare.</w:t>
      </w:r>
    </w:p>
    <w:p w14:paraId="5426E46F" w14:textId="631A321E" w:rsidR="009635D1" w:rsidRPr="00F12C22" w:rsidRDefault="00823CCA" w:rsidP="001D5F50">
      <w:pPr>
        <w:spacing w:after="240"/>
        <w:rPr>
          <w:iCs/>
        </w:rPr>
      </w:pPr>
      <w:r w:rsidRPr="00F12C22">
        <w:rPr>
          <w:iCs/>
        </w:rPr>
        <w:t>VCTE™</w:t>
      </w:r>
      <w:r w:rsidR="008E177C" w:rsidRPr="00F12C22">
        <w:rPr>
          <w:iCs/>
        </w:rPr>
        <w:t xml:space="preserve"> can stratify risk of future liver-related events in patients within the indeterminate FIB-4 score range (1.3–2.7); patients with a FIB-4 score ≥1.3 and LSM &lt;8.0 kPa </w:t>
      </w:r>
      <w:r w:rsidR="00F010CD" w:rsidRPr="00F12C22">
        <w:rPr>
          <w:iCs/>
        </w:rPr>
        <w:t xml:space="preserve">are at low risk of </w:t>
      </w:r>
      <w:r w:rsidR="00DA0606" w:rsidRPr="00F12C22">
        <w:rPr>
          <w:iCs/>
        </w:rPr>
        <w:t>AF</w:t>
      </w:r>
      <w:r w:rsidR="00F010CD" w:rsidRPr="00F12C22">
        <w:rPr>
          <w:iCs/>
        </w:rPr>
        <w:t xml:space="preserve"> and liver-related morbidity</w:t>
      </w:r>
      <w:r w:rsidR="008E177C" w:rsidRPr="00F12C22">
        <w:rPr>
          <w:iCs/>
        </w:rPr>
        <w:t>, similar to those with a FIB-4 score of &lt;1.3, whereas those with a FIB-4 score ≥1.3 and LSM ≥8.0 kPa are at an increased risk of liver-related events</w:t>
      </w:r>
      <w:r w:rsidR="00143453" w:rsidRPr="00F12C22">
        <w:rPr>
          <w:iCs/>
        </w:rPr>
        <w:t xml:space="preserve"> (</w:t>
      </w:r>
      <w:r w:rsidR="00F33703" w:rsidRPr="00F12C22">
        <w:rPr>
          <w:iCs/>
        </w:rPr>
        <w:t>Boursier 2022</w:t>
      </w:r>
      <w:r w:rsidR="00A07A9B" w:rsidRPr="00F12C22">
        <w:rPr>
          <w:iCs/>
        </w:rPr>
        <w:t>).</w:t>
      </w:r>
    </w:p>
    <w:p w14:paraId="4A399FF7" w14:textId="471E6D6A" w:rsidR="00C23074" w:rsidRPr="00D917C4" w:rsidRDefault="00C23074" w:rsidP="005C67C7">
      <w:pPr>
        <w:pStyle w:val="Heading4"/>
      </w:pPr>
      <w:r w:rsidRPr="00D917C4">
        <w:t>PICO Set 1</w:t>
      </w:r>
    </w:p>
    <w:p w14:paraId="0EA22AE4" w14:textId="23EC5B3C" w:rsidR="00F64E66" w:rsidRPr="00F12C22" w:rsidRDefault="00750C7A" w:rsidP="00750C7A">
      <w:pPr>
        <w:spacing w:after="240"/>
      </w:pPr>
      <w:r w:rsidRPr="00F12C22">
        <w:t>The application propose</w:t>
      </w:r>
      <w:r w:rsidR="00156109">
        <w:t>d</w:t>
      </w:r>
      <w:r w:rsidRPr="00F12C22">
        <w:t xml:space="preserve"> a </w:t>
      </w:r>
      <w:r w:rsidR="00A52F4B" w:rsidRPr="00F12C22">
        <w:t xml:space="preserve">two-step </w:t>
      </w:r>
      <w:r w:rsidRPr="00F12C22">
        <w:t xml:space="preserve">non-invasive testing pathway with </w:t>
      </w:r>
      <w:r w:rsidR="001D6413" w:rsidRPr="00F12C22">
        <w:t xml:space="preserve">the first step </w:t>
      </w:r>
      <w:r w:rsidR="00D446C5" w:rsidRPr="00F12C22">
        <w:t xml:space="preserve">– </w:t>
      </w:r>
      <w:r w:rsidRPr="00F12C22">
        <w:t>diagnosis of MAFLD and a FIB-4 test result</w:t>
      </w:r>
      <w:r w:rsidR="00C23074" w:rsidRPr="00F12C22">
        <w:t xml:space="preserve"> </w:t>
      </w:r>
      <w:r w:rsidRPr="00F12C22">
        <w:t>as</w:t>
      </w:r>
      <w:r w:rsidR="009D6DFF" w:rsidRPr="00F12C22">
        <w:t xml:space="preserve"> a</w:t>
      </w:r>
      <w:r w:rsidRPr="00F12C22">
        <w:t xml:space="preserve"> pre-requisite to establish eligibility for the second step – </w:t>
      </w:r>
      <w:r w:rsidR="00823CCA" w:rsidRPr="00F12C22">
        <w:t>VCTE™</w:t>
      </w:r>
      <w:r w:rsidR="00DA0606" w:rsidRPr="00F12C22">
        <w:t xml:space="preserve"> </w:t>
      </w:r>
      <w:r w:rsidR="00877A03">
        <w:t xml:space="preserve">(and consultation) </w:t>
      </w:r>
      <w:r w:rsidR="00DA0606" w:rsidRPr="00F12C22">
        <w:t>conducted in primary care</w:t>
      </w:r>
      <w:r w:rsidRPr="00F12C22">
        <w:t xml:space="preserve">, which would assist a </w:t>
      </w:r>
      <w:r w:rsidRPr="00F42687">
        <w:t>GP</w:t>
      </w:r>
      <w:r w:rsidRPr="00744DBF">
        <w:t xml:space="preserve"> i</w:t>
      </w:r>
      <w:r w:rsidRPr="00F12C22">
        <w:t xml:space="preserve">n making a </w:t>
      </w:r>
      <w:r w:rsidR="00A07F00">
        <w:t xml:space="preserve">decision to refer </w:t>
      </w:r>
      <w:r w:rsidR="00F5292D">
        <w:t xml:space="preserve">a patient to a </w:t>
      </w:r>
      <w:r w:rsidRPr="00F12C22">
        <w:t>specialist</w:t>
      </w:r>
      <w:r w:rsidR="00F64E66" w:rsidRPr="00F12C22">
        <w:t>:</w:t>
      </w:r>
    </w:p>
    <w:p w14:paraId="24C3F41E" w14:textId="10E0FBAA" w:rsidR="00F64E66" w:rsidRPr="00F12C22" w:rsidRDefault="00F64E66" w:rsidP="00E31D34">
      <w:pPr>
        <w:pStyle w:val="ListParagraph"/>
        <w:numPr>
          <w:ilvl w:val="0"/>
          <w:numId w:val="23"/>
        </w:numPr>
        <w:spacing w:after="240"/>
        <w:ind w:left="284" w:hanging="284"/>
        <w:rPr>
          <w:iCs/>
        </w:rPr>
      </w:pPr>
      <w:r w:rsidRPr="00F12C22">
        <w:t>Patients with MAFLD, a FIB-4 score of 1.3 to 2.7 and LSM of &lt;8 kPa would be managed in primary care.</w:t>
      </w:r>
    </w:p>
    <w:p w14:paraId="0B126214" w14:textId="2E94A5AB" w:rsidR="00750C7A" w:rsidRPr="00F12C22" w:rsidRDefault="00F64E66" w:rsidP="00E31D34">
      <w:pPr>
        <w:pStyle w:val="ListParagraph"/>
        <w:numPr>
          <w:ilvl w:val="0"/>
          <w:numId w:val="23"/>
        </w:numPr>
        <w:spacing w:after="240"/>
        <w:ind w:left="284" w:hanging="284"/>
        <w:rPr>
          <w:iCs/>
        </w:rPr>
      </w:pPr>
      <w:r w:rsidRPr="00F12C22">
        <w:t xml:space="preserve">Patients with MAFLD, a FIB-4 score of 1.3 to 2.7 and LSM </w:t>
      </w:r>
      <w:r w:rsidRPr="00F12C22">
        <w:rPr>
          <w:iCs/>
        </w:rPr>
        <w:t>≥8.0 kPa are referred to specialist care.</w:t>
      </w:r>
      <w:r w:rsidR="00750C7A" w:rsidRPr="00F12C22">
        <w:rPr>
          <w:iCs/>
        </w:rPr>
        <w:t xml:space="preserve"> </w:t>
      </w:r>
    </w:p>
    <w:p w14:paraId="006D09E6" w14:textId="2F009F54" w:rsidR="00F64E66" w:rsidRPr="00F12C22" w:rsidRDefault="00F64E66" w:rsidP="00F64E66">
      <w:pPr>
        <w:spacing w:after="240"/>
        <w:rPr>
          <w:iCs/>
        </w:rPr>
      </w:pPr>
      <w:r w:rsidRPr="00F12C22">
        <w:rPr>
          <w:iCs/>
        </w:rPr>
        <w:t xml:space="preserve">Although </w:t>
      </w:r>
      <w:r w:rsidR="0090530A">
        <w:rPr>
          <w:iCs/>
        </w:rPr>
        <w:t xml:space="preserve">this is </w:t>
      </w:r>
      <w:r w:rsidRPr="00F12C22">
        <w:rPr>
          <w:iCs/>
        </w:rPr>
        <w:t xml:space="preserve">generally </w:t>
      </w:r>
      <w:r w:rsidRPr="00F12C22">
        <w:t xml:space="preserve">consistent with </w:t>
      </w:r>
      <w:r w:rsidR="0023666F">
        <w:t>the</w:t>
      </w:r>
      <w:r w:rsidRPr="00F12C22">
        <w:t xml:space="preserve"> GESA Consensus Statement (</w:t>
      </w:r>
      <w:r w:rsidRPr="00F12C22">
        <w:rPr>
          <w:iCs/>
        </w:rPr>
        <w:t xml:space="preserve">GESA 2024), it should be noted that GESA (2024) </w:t>
      </w:r>
      <w:r w:rsidR="005D44A7" w:rsidRPr="00F12C22">
        <w:rPr>
          <w:iCs/>
        </w:rPr>
        <w:t>recommend</w:t>
      </w:r>
      <w:r w:rsidR="0090530A">
        <w:rPr>
          <w:iCs/>
        </w:rPr>
        <w:t>ation</w:t>
      </w:r>
      <w:r w:rsidR="005D44A7" w:rsidRPr="00F12C22">
        <w:rPr>
          <w:iCs/>
        </w:rPr>
        <w:t>s</w:t>
      </w:r>
      <w:r w:rsidR="0090530A">
        <w:rPr>
          <w:iCs/>
        </w:rPr>
        <w:t xml:space="preserve"> are broader than the proposed intervention, where</w:t>
      </w:r>
      <w:r w:rsidRPr="00F12C22">
        <w:rPr>
          <w:iCs/>
        </w:rPr>
        <w:t xml:space="preserve"> second-line assessment </w:t>
      </w:r>
      <w:r w:rsidR="005D44A7" w:rsidRPr="00F12C22">
        <w:rPr>
          <w:iCs/>
        </w:rPr>
        <w:t xml:space="preserve">(second step) </w:t>
      </w:r>
      <w:r w:rsidRPr="00F12C22">
        <w:rPr>
          <w:iCs/>
        </w:rPr>
        <w:t xml:space="preserve">could be any of </w:t>
      </w:r>
      <w:r w:rsidR="005D44A7" w:rsidRPr="00F12C22">
        <w:t>VCTE™</w:t>
      </w:r>
      <w:r w:rsidRPr="00F12C22">
        <w:rPr>
          <w:iCs/>
        </w:rPr>
        <w:t>, SWE or one of several serum fibrosis tests</w:t>
      </w:r>
      <w:r w:rsidR="005D44A7" w:rsidRPr="00F12C22">
        <w:rPr>
          <w:iCs/>
        </w:rPr>
        <w:t xml:space="preserve"> (including ELF score and Hepascore).</w:t>
      </w:r>
    </w:p>
    <w:p w14:paraId="346402A6" w14:textId="4E2881C4" w:rsidR="00C23074" w:rsidRPr="00D917C4" w:rsidRDefault="00C23074" w:rsidP="00D917C4">
      <w:pPr>
        <w:pStyle w:val="Heading4"/>
      </w:pPr>
      <w:r w:rsidRPr="00D917C4">
        <w:t>PICO Set 2</w:t>
      </w:r>
    </w:p>
    <w:p w14:paraId="669369DA" w14:textId="756D9A84" w:rsidR="0080637D" w:rsidRPr="0080637D" w:rsidRDefault="00B4770D" w:rsidP="008B40C7">
      <w:pPr>
        <w:spacing w:after="240"/>
        <w:rPr>
          <w:iCs/>
        </w:rPr>
      </w:pPr>
      <w:r>
        <w:rPr>
          <w:iCs/>
        </w:rPr>
        <w:t xml:space="preserve">The proposed intervention for PICO set 2 is </w:t>
      </w:r>
      <w:r w:rsidR="00B1157C">
        <w:rPr>
          <w:iCs/>
        </w:rPr>
        <w:t xml:space="preserve">VCTE™ </w:t>
      </w:r>
      <w:r w:rsidR="007B517A">
        <w:rPr>
          <w:iCs/>
        </w:rPr>
        <w:t>(</w:t>
      </w:r>
      <w:r w:rsidR="00B1157C">
        <w:rPr>
          <w:iCs/>
        </w:rPr>
        <w:t>and consultation</w:t>
      </w:r>
      <w:r w:rsidR="007B517A">
        <w:rPr>
          <w:iCs/>
        </w:rPr>
        <w:t>) conducted in specialist care</w:t>
      </w:r>
      <w:r w:rsidR="00ED2039">
        <w:rPr>
          <w:iCs/>
        </w:rPr>
        <w:t xml:space="preserve">. As for PICO set 1, this is broadly consistent with the GESA Consensus Statement (GESA 2024), although it should be noted that other second-line assessment options may also be available and </w:t>
      </w:r>
      <w:r w:rsidR="00F5336C">
        <w:rPr>
          <w:iCs/>
        </w:rPr>
        <w:t>appropriate.</w:t>
      </w:r>
    </w:p>
    <w:p w14:paraId="0D2F84D7" w14:textId="7F1A6933" w:rsidR="00BC486B" w:rsidRPr="00F12C22" w:rsidRDefault="00BC486B" w:rsidP="001D5F50">
      <w:pPr>
        <w:spacing w:after="240"/>
        <w:rPr>
          <w:iCs/>
        </w:rPr>
      </w:pPr>
      <w:r w:rsidRPr="00F12C22">
        <w:rPr>
          <w:iCs/>
        </w:rPr>
        <w:t>The applicant consider</w:t>
      </w:r>
      <w:r w:rsidR="008854D8">
        <w:rPr>
          <w:iCs/>
        </w:rPr>
        <w:t>ed</w:t>
      </w:r>
      <w:r w:rsidRPr="00F12C22">
        <w:rPr>
          <w:iCs/>
        </w:rPr>
        <w:t xml:space="preserve"> that</w:t>
      </w:r>
      <w:r w:rsidR="008854D8">
        <w:rPr>
          <w:iCs/>
        </w:rPr>
        <w:t>, in both the primary and specialist care settings (i.e.</w:t>
      </w:r>
      <w:r w:rsidR="00D464A3">
        <w:rPr>
          <w:iCs/>
        </w:rPr>
        <w:t>,</w:t>
      </w:r>
      <w:r w:rsidR="008854D8">
        <w:rPr>
          <w:iCs/>
        </w:rPr>
        <w:t xml:space="preserve"> PICO set 1 and 2),</w:t>
      </w:r>
      <w:r w:rsidRPr="00F12C22">
        <w:rPr>
          <w:iCs/>
        </w:rPr>
        <w:t xml:space="preserve"> </w:t>
      </w:r>
      <w:r w:rsidR="00823CCA" w:rsidRPr="00F12C22">
        <w:rPr>
          <w:iCs/>
        </w:rPr>
        <w:t>VCTE™</w:t>
      </w:r>
      <w:r w:rsidRPr="00F12C22">
        <w:rPr>
          <w:iCs/>
        </w:rPr>
        <w:t xml:space="preserve"> may be performed by (i) </w:t>
      </w:r>
      <w:r w:rsidR="00D446C5" w:rsidRPr="00F12C22">
        <w:rPr>
          <w:iCs/>
        </w:rPr>
        <w:t>practice staff (e.g., nurses or technicians)</w:t>
      </w:r>
      <w:r w:rsidR="00AF5C98" w:rsidRPr="00F12C22">
        <w:rPr>
          <w:iCs/>
        </w:rPr>
        <w:t>, considered the most likely clinical practice scenario</w:t>
      </w:r>
      <w:r w:rsidRPr="00F12C22">
        <w:rPr>
          <w:iCs/>
        </w:rPr>
        <w:t xml:space="preserve"> or </w:t>
      </w:r>
      <w:r w:rsidR="0008157D" w:rsidRPr="00F12C22">
        <w:rPr>
          <w:iCs/>
        </w:rPr>
        <w:t xml:space="preserve">(ii) </w:t>
      </w:r>
      <w:r w:rsidR="00D446C5" w:rsidRPr="00F12C22">
        <w:rPr>
          <w:iCs/>
        </w:rPr>
        <w:t xml:space="preserve">a </w:t>
      </w:r>
      <w:r w:rsidRPr="00F12C22">
        <w:rPr>
          <w:iCs/>
        </w:rPr>
        <w:t>billing practitioner (either a GP or specialist).</w:t>
      </w:r>
      <w:r w:rsidR="008854D8">
        <w:rPr>
          <w:iCs/>
        </w:rPr>
        <w:t xml:space="preserve"> That is, the two proposed components of the intervention (VCTE™ and consultation) may be performed by different people.</w:t>
      </w:r>
    </w:p>
    <w:p w14:paraId="4BCAFFB6" w14:textId="1022AC36" w:rsidR="00460836" w:rsidRPr="00F12C22" w:rsidRDefault="008854D8" w:rsidP="00B7348D">
      <w:pPr>
        <w:spacing w:after="240"/>
        <w:rPr>
          <w:iCs/>
        </w:rPr>
      </w:pPr>
      <w:r>
        <w:rPr>
          <w:iCs/>
        </w:rPr>
        <w:t>While there is currently no dedicated MBS item for</w:t>
      </w:r>
      <w:r w:rsidR="001E4FF2">
        <w:rPr>
          <w:iCs/>
        </w:rPr>
        <w:t xml:space="preserve"> </w:t>
      </w:r>
      <w:r w:rsidR="00B7348D" w:rsidRPr="00F12C22">
        <w:rPr>
          <w:iCs/>
        </w:rPr>
        <w:t>VCTE™</w:t>
      </w:r>
      <w:r w:rsidR="001E0400">
        <w:rPr>
          <w:iCs/>
        </w:rPr>
        <w:t xml:space="preserve">, </w:t>
      </w:r>
      <w:r w:rsidR="007250DA">
        <w:rPr>
          <w:iCs/>
        </w:rPr>
        <w:t>the proposed intervention</w:t>
      </w:r>
      <w:r w:rsidR="00460836" w:rsidRPr="00F12C22">
        <w:rPr>
          <w:iCs/>
        </w:rPr>
        <w:t xml:space="preserve"> </w:t>
      </w:r>
      <w:r w:rsidR="00635294">
        <w:rPr>
          <w:iCs/>
        </w:rPr>
        <w:t>is</w:t>
      </w:r>
      <w:r w:rsidR="00635294" w:rsidRPr="00F12C22">
        <w:rPr>
          <w:iCs/>
        </w:rPr>
        <w:t xml:space="preserve"> </w:t>
      </w:r>
      <w:r w:rsidR="00460836" w:rsidRPr="00F12C22">
        <w:rPr>
          <w:iCs/>
        </w:rPr>
        <w:t xml:space="preserve">currently </w:t>
      </w:r>
      <w:r w:rsidR="00635294">
        <w:rPr>
          <w:iCs/>
        </w:rPr>
        <w:t>performed in a number of</w:t>
      </w:r>
      <w:r w:rsidR="00B7348D" w:rsidRPr="00F12C22">
        <w:rPr>
          <w:iCs/>
        </w:rPr>
        <w:t xml:space="preserve"> scenarios</w:t>
      </w:r>
      <w:r w:rsidR="00635294">
        <w:rPr>
          <w:iCs/>
        </w:rPr>
        <w:t xml:space="preserve"> and</w:t>
      </w:r>
      <w:r w:rsidR="00D519C2">
        <w:rPr>
          <w:iCs/>
        </w:rPr>
        <w:t xml:space="preserve"> </w:t>
      </w:r>
      <w:r w:rsidR="00635294">
        <w:rPr>
          <w:iCs/>
        </w:rPr>
        <w:t>may be fully or partially publicly funded</w:t>
      </w:r>
      <w:r w:rsidR="00B7348D" w:rsidRPr="00F12C22">
        <w:rPr>
          <w:iCs/>
        </w:rPr>
        <w:t>:</w:t>
      </w:r>
      <w:r w:rsidR="00460836" w:rsidRPr="00F12C22">
        <w:rPr>
          <w:iCs/>
        </w:rPr>
        <w:t xml:space="preserve"> </w:t>
      </w:r>
    </w:p>
    <w:p w14:paraId="45C0C880" w14:textId="6916C761" w:rsidR="00460836" w:rsidRPr="00F12C22" w:rsidRDefault="008854D8" w:rsidP="00E31D34">
      <w:pPr>
        <w:pStyle w:val="ListParagraph"/>
        <w:numPr>
          <w:ilvl w:val="0"/>
          <w:numId w:val="24"/>
        </w:numPr>
        <w:spacing w:after="240"/>
        <w:ind w:left="284" w:hanging="284"/>
        <w:rPr>
          <w:iCs/>
        </w:rPr>
      </w:pPr>
      <w:r>
        <w:rPr>
          <w:iCs/>
        </w:rPr>
        <w:t>P</w:t>
      </w:r>
      <w:r w:rsidR="00460836" w:rsidRPr="00F12C22">
        <w:rPr>
          <w:iCs/>
        </w:rPr>
        <w:t xml:space="preserve">rimary care consultation item with </w:t>
      </w:r>
      <w:r w:rsidR="008C28AE" w:rsidRPr="00F12C22">
        <w:rPr>
          <w:iCs/>
        </w:rPr>
        <w:t>VCTE™</w:t>
      </w:r>
      <w:r w:rsidR="00460836" w:rsidRPr="00F12C22">
        <w:rPr>
          <w:iCs/>
        </w:rPr>
        <w:t xml:space="preserve"> in rooms (with </w:t>
      </w:r>
      <w:r w:rsidR="00DA0606" w:rsidRPr="00F12C22">
        <w:rPr>
          <w:iCs/>
        </w:rPr>
        <w:t xml:space="preserve">potential </w:t>
      </w:r>
      <w:r w:rsidR="00460836" w:rsidRPr="00F12C22">
        <w:rPr>
          <w:iCs/>
        </w:rPr>
        <w:t>patient out</w:t>
      </w:r>
      <w:r w:rsidR="00DB50A9" w:rsidRPr="00F12C22">
        <w:rPr>
          <w:iCs/>
        </w:rPr>
        <w:t>-</w:t>
      </w:r>
      <w:r w:rsidR="00460836" w:rsidRPr="00F12C22">
        <w:rPr>
          <w:iCs/>
        </w:rPr>
        <w:t>of</w:t>
      </w:r>
      <w:r w:rsidR="00DB50A9" w:rsidRPr="00F12C22">
        <w:rPr>
          <w:iCs/>
        </w:rPr>
        <w:t>-</w:t>
      </w:r>
      <w:r w:rsidR="00460836" w:rsidRPr="00F12C22">
        <w:rPr>
          <w:iCs/>
        </w:rPr>
        <w:t>pocket</w:t>
      </w:r>
      <w:r w:rsidR="00DA0606" w:rsidRPr="00F12C22">
        <w:rPr>
          <w:iCs/>
        </w:rPr>
        <w:t xml:space="preserve"> costs</w:t>
      </w:r>
      <w:r w:rsidR="00460836" w:rsidRPr="00F12C22">
        <w:rPr>
          <w:iCs/>
        </w:rPr>
        <w:t>)</w:t>
      </w:r>
      <w:r w:rsidR="008B40C7">
        <w:rPr>
          <w:iCs/>
        </w:rPr>
        <w:t>.</w:t>
      </w:r>
    </w:p>
    <w:p w14:paraId="0FD8B91C" w14:textId="5580F43E" w:rsidR="00460836" w:rsidRPr="00F12C22" w:rsidRDefault="008854D8" w:rsidP="00E31D34">
      <w:pPr>
        <w:pStyle w:val="ListParagraph"/>
        <w:numPr>
          <w:ilvl w:val="0"/>
          <w:numId w:val="24"/>
        </w:numPr>
        <w:spacing w:after="240"/>
        <w:ind w:left="284" w:hanging="284"/>
        <w:rPr>
          <w:iCs/>
        </w:rPr>
      </w:pPr>
      <w:r>
        <w:rPr>
          <w:iCs/>
        </w:rPr>
        <w:lastRenderedPageBreak/>
        <w:t>P</w:t>
      </w:r>
      <w:r w:rsidR="00460836" w:rsidRPr="00F12C22">
        <w:rPr>
          <w:iCs/>
        </w:rPr>
        <w:t xml:space="preserve">rimary care consultation item with  </w:t>
      </w:r>
      <w:r w:rsidR="004B2798">
        <w:rPr>
          <w:iCs/>
        </w:rPr>
        <w:t xml:space="preserve">the </w:t>
      </w:r>
      <w:r w:rsidR="009C41B8">
        <w:rPr>
          <w:iCs/>
        </w:rPr>
        <w:t>patient</w:t>
      </w:r>
      <w:r w:rsidR="00F1411D">
        <w:rPr>
          <w:iCs/>
        </w:rPr>
        <w:t xml:space="preserve"> referr</w:t>
      </w:r>
      <w:r w:rsidR="009C41B8">
        <w:rPr>
          <w:iCs/>
        </w:rPr>
        <w:t>ed</w:t>
      </w:r>
      <w:r w:rsidR="00F1411D">
        <w:rPr>
          <w:iCs/>
        </w:rPr>
        <w:t xml:space="preserve"> </w:t>
      </w:r>
      <w:r w:rsidR="004B2798">
        <w:rPr>
          <w:iCs/>
        </w:rPr>
        <w:t>to a</w:t>
      </w:r>
      <w:r w:rsidR="00F1411D">
        <w:rPr>
          <w:iCs/>
        </w:rPr>
        <w:t xml:space="preserve"> </w:t>
      </w:r>
      <w:r w:rsidR="004B2798" w:rsidRPr="00F12C22">
        <w:rPr>
          <w:iCs/>
        </w:rPr>
        <w:t>private radiology practice (covered with MBS billed primary consultation item</w:t>
      </w:r>
      <w:r w:rsidR="004B2798">
        <w:t xml:space="preserve"> and </w:t>
      </w:r>
      <w:r w:rsidR="004B2798" w:rsidRPr="00F12C22">
        <w:rPr>
          <w:iCs/>
        </w:rPr>
        <w:t xml:space="preserve">MBS billed abdominal ultrasound with element of private billing for elastography) </w:t>
      </w:r>
      <w:r w:rsidR="00F1411D">
        <w:rPr>
          <w:iCs/>
        </w:rPr>
        <w:t xml:space="preserve">for </w:t>
      </w:r>
      <w:r w:rsidR="3F235945">
        <w:t xml:space="preserve">elastography </w:t>
      </w:r>
      <w:r w:rsidR="137C69A6">
        <w:t>(which may be VCTE™ or another method)</w:t>
      </w:r>
      <w:r w:rsidR="008B40C7">
        <w:t>.</w:t>
      </w:r>
    </w:p>
    <w:p w14:paraId="7D87B3BD" w14:textId="57C3C9D5" w:rsidR="00061538" w:rsidRPr="00F12C22" w:rsidRDefault="008854D8" w:rsidP="00E31D34">
      <w:pPr>
        <w:pStyle w:val="ListParagraph"/>
        <w:numPr>
          <w:ilvl w:val="0"/>
          <w:numId w:val="24"/>
        </w:numPr>
        <w:spacing w:after="240"/>
        <w:ind w:left="284" w:hanging="284"/>
        <w:rPr>
          <w:iCs/>
        </w:rPr>
      </w:pPr>
      <w:r>
        <w:rPr>
          <w:iCs/>
        </w:rPr>
        <w:t>P</w:t>
      </w:r>
      <w:r w:rsidR="00460836" w:rsidRPr="00F12C22">
        <w:rPr>
          <w:iCs/>
        </w:rPr>
        <w:t xml:space="preserve">rimary care consultation item with referral to liver specialist for </w:t>
      </w:r>
      <w:r w:rsidR="33D9085F">
        <w:t xml:space="preserve">VCTE™ </w:t>
      </w:r>
      <w:r w:rsidR="00B7348D" w:rsidRPr="00F12C22">
        <w:rPr>
          <w:iCs/>
        </w:rPr>
        <w:t>.</w:t>
      </w:r>
    </w:p>
    <w:p w14:paraId="463DB0D1" w14:textId="45ED3381" w:rsidR="00460836" w:rsidRPr="00F12C22" w:rsidRDefault="00DB50A9" w:rsidP="00460836">
      <w:pPr>
        <w:spacing w:after="240"/>
        <w:rPr>
          <w:iCs/>
        </w:rPr>
      </w:pPr>
      <w:r w:rsidRPr="00F12C22">
        <w:rPr>
          <w:iCs/>
        </w:rPr>
        <w:t>C</w:t>
      </w:r>
      <w:r w:rsidR="00460836" w:rsidRPr="00F12C22">
        <w:rPr>
          <w:iCs/>
        </w:rPr>
        <w:t xml:space="preserve">urrent </w:t>
      </w:r>
      <w:r w:rsidRPr="00F12C22">
        <w:rPr>
          <w:iCs/>
        </w:rPr>
        <w:t>VCTE™</w:t>
      </w:r>
      <w:r>
        <w:t xml:space="preserve"> </w:t>
      </w:r>
      <w:r w:rsidR="00944C92">
        <w:t>providers</w:t>
      </w:r>
      <w:r w:rsidRPr="00F12C22">
        <w:rPr>
          <w:iCs/>
        </w:rPr>
        <w:t xml:space="preserve"> </w:t>
      </w:r>
      <w:r w:rsidR="00460836" w:rsidRPr="00F12C22">
        <w:rPr>
          <w:iCs/>
        </w:rPr>
        <w:t xml:space="preserve">include </w:t>
      </w:r>
      <w:r w:rsidR="03082D6E">
        <w:t>public hospitals and</w:t>
      </w:r>
      <w:r w:rsidR="00460836" w:rsidRPr="00F12C22">
        <w:rPr>
          <w:iCs/>
        </w:rPr>
        <w:t xml:space="preserve"> community health facilities</w:t>
      </w:r>
      <w:r w:rsidR="74492649">
        <w:t>,</w:t>
      </w:r>
      <w:r w:rsidR="00460836" w:rsidRPr="00F12C22">
        <w:rPr>
          <w:iCs/>
        </w:rPr>
        <w:t xml:space="preserve"> where 41% of </w:t>
      </w:r>
      <w:r w:rsidR="00944C92">
        <w:rPr>
          <w:iCs/>
        </w:rPr>
        <w:t>Fibro</w:t>
      </w:r>
      <w:r w:rsidR="00C37043">
        <w:rPr>
          <w:iCs/>
        </w:rPr>
        <w:t>S</w:t>
      </w:r>
      <w:r w:rsidR="00944C92">
        <w:rPr>
          <w:iCs/>
        </w:rPr>
        <w:t>can</w:t>
      </w:r>
      <w:r w:rsidR="006B3EBC">
        <w:rPr>
          <w:iCs/>
        </w:rPr>
        <w:t>®</w:t>
      </w:r>
      <w:r w:rsidR="00460836" w:rsidRPr="00F12C22">
        <w:rPr>
          <w:iCs/>
        </w:rPr>
        <w:t xml:space="preserve"> devices are located, </w:t>
      </w:r>
      <w:r w:rsidR="00460836">
        <w:t>wh</w:t>
      </w:r>
      <w:r w:rsidR="565C6CC4">
        <w:t>ere services</w:t>
      </w:r>
      <w:r w:rsidR="00460836" w:rsidRPr="00F12C22">
        <w:rPr>
          <w:iCs/>
        </w:rPr>
        <w:t xml:space="preserve"> </w:t>
      </w:r>
      <w:r w:rsidRPr="00F12C22">
        <w:rPr>
          <w:iCs/>
        </w:rPr>
        <w:t>may be</w:t>
      </w:r>
      <w:r w:rsidR="00460836" w:rsidRPr="00F12C22">
        <w:rPr>
          <w:iCs/>
        </w:rPr>
        <w:t xml:space="preserve"> funded under the National Health Reform Agreement</w:t>
      </w:r>
      <w:r w:rsidR="20FD3A50">
        <w:t>, meaning the service is Medicare ineligible.</w:t>
      </w:r>
      <w:r w:rsidR="00460836" w:rsidRPr="00F12C22">
        <w:rPr>
          <w:iCs/>
        </w:rPr>
        <w:t xml:space="preserve"> The submission received from GESA also indicated that many local </w:t>
      </w:r>
      <w:r w:rsidRPr="00F12C22">
        <w:rPr>
          <w:iCs/>
        </w:rPr>
        <w:t>VCTE™</w:t>
      </w:r>
      <w:r w:rsidR="00460836" w:rsidRPr="00F12C22">
        <w:rPr>
          <w:iCs/>
        </w:rPr>
        <w:t xml:space="preserve"> services are funded through research programs rather than local health services (e.g., </w:t>
      </w:r>
      <w:r w:rsidRPr="00F12C22">
        <w:rPr>
          <w:iCs/>
        </w:rPr>
        <w:t>Northern Territory</w:t>
      </w:r>
      <w:r w:rsidR="00460836" w:rsidRPr="00F12C22">
        <w:rPr>
          <w:iCs/>
        </w:rPr>
        <w:t xml:space="preserve"> and </w:t>
      </w:r>
      <w:r w:rsidRPr="00F12C22">
        <w:rPr>
          <w:iCs/>
        </w:rPr>
        <w:t>South Australia</w:t>
      </w:r>
      <w:r w:rsidR="00460836" w:rsidRPr="00F12C22">
        <w:rPr>
          <w:iCs/>
        </w:rPr>
        <w:t xml:space="preserve"> remote services including for </w:t>
      </w:r>
      <w:r w:rsidRPr="00F12C22">
        <w:rPr>
          <w:iCs/>
        </w:rPr>
        <w:t xml:space="preserve">Aboriginal Community Controlled Health Organisations </w:t>
      </w:r>
      <w:r w:rsidR="00C77132">
        <w:rPr>
          <w:iCs/>
        </w:rPr>
        <w:t>[</w:t>
      </w:r>
      <w:r w:rsidR="00460836" w:rsidRPr="00F12C22">
        <w:rPr>
          <w:iCs/>
        </w:rPr>
        <w:t>ACCHOs</w:t>
      </w:r>
      <w:r w:rsidR="00C77132">
        <w:t>]</w:t>
      </w:r>
      <w:r w:rsidR="4E7E3823">
        <w:t>)</w:t>
      </w:r>
      <w:r w:rsidR="00460836">
        <w:t>,</w:t>
      </w:r>
      <w:r w:rsidR="00460836" w:rsidRPr="00F12C22">
        <w:rPr>
          <w:iCs/>
        </w:rPr>
        <w:t xml:space="preserve"> </w:t>
      </w:r>
      <w:r w:rsidR="6666904F">
        <w:t>and M</w:t>
      </w:r>
      <w:r w:rsidR="044B9BD9">
        <w:t>edicare</w:t>
      </w:r>
      <w:r w:rsidR="6666904F">
        <w:t xml:space="preserve"> </w:t>
      </w:r>
      <w:r w:rsidR="3EFC2C10">
        <w:t>in</w:t>
      </w:r>
      <w:r w:rsidR="6666904F">
        <w:t>eligible</w:t>
      </w:r>
      <w:r w:rsidR="00460836" w:rsidRPr="00F12C22">
        <w:rPr>
          <w:iCs/>
        </w:rPr>
        <w:t xml:space="preserve"> outreach services such as prisons, safe injecting rooms</w:t>
      </w:r>
      <w:r w:rsidR="5357FF29">
        <w:t xml:space="preserve"> and</w:t>
      </w:r>
      <w:r w:rsidR="00460836" w:rsidRPr="00F12C22">
        <w:rPr>
          <w:iCs/>
        </w:rPr>
        <w:t>, community correction facilities.</w:t>
      </w:r>
    </w:p>
    <w:p w14:paraId="54A74474" w14:textId="15983F5B" w:rsidR="00463B23" w:rsidRPr="00D917C4" w:rsidRDefault="00463B23" w:rsidP="00D917C4">
      <w:pPr>
        <w:pStyle w:val="Heading4"/>
      </w:pPr>
      <w:r w:rsidRPr="00D917C4">
        <w:t>Uptake of the technology</w:t>
      </w:r>
    </w:p>
    <w:p w14:paraId="19922908" w14:textId="3017AF5E" w:rsidR="00463B23" w:rsidRPr="00F12C22" w:rsidRDefault="00463B23" w:rsidP="00463B23">
      <w:r w:rsidRPr="00F12C22">
        <w:t xml:space="preserve">The applicant has advised that as of February 2025, </w:t>
      </w:r>
      <w:r w:rsidR="35584F36">
        <w:t xml:space="preserve">REDACTED </w:t>
      </w:r>
      <w:r w:rsidR="00E6162C" w:rsidRPr="00F12C22">
        <w:rPr>
          <w:iCs/>
        </w:rPr>
        <w:t>VCTE™</w:t>
      </w:r>
      <w:r w:rsidRPr="00F12C22">
        <w:t xml:space="preserve"> machines are currently split across specialist centres (in hospitals and clinics), community health facilities and other locations. A detailed description of the split is shown below:</w:t>
      </w:r>
    </w:p>
    <w:p w14:paraId="173CD73A" w14:textId="17AF7F65" w:rsidR="00463B23" w:rsidRPr="00F12C22" w:rsidRDefault="00463B23" w:rsidP="00463B23">
      <w:pPr>
        <w:spacing w:after="0"/>
        <w:ind w:left="284" w:hanging="284"/>
      </w:pPr>
      <w:r w:rsidRPr="00F12C22">
        <w:t>•</w:t>
      </w:r>
      <w:r w:rsidRPr="00F12C22">
        <w:tab/>
        <w:t xml:space="preserve"> </w:t>
      </w:r>
      <w:r w:rsidR="319C1BC5">
        <w:t>REDACTED</w:t>
      </w:r>
      <w:r>
        <w:t xml:space="preserve"> </w:t>
      </w:r>
      <w:r w:rsidRPr="00F12C22">
        <w:t>hepatology specialist care:</w:t>
      </w:r>
    </w:p>
    <w:p w14:paraId="14197758" w14:textId="3C945835" w:rsidR="00463B23" w:rsidRPr="00F12C22" w:rsidRDefault="00463B23" w:rsidP="00463B23">
      <w:pPr>
        <w:tabs>
          <w:tab w:val="left" w:pos="993"/>
        </w:tabs>
        <w:spacing w:after="0"/>
        <w:ind w:left="567" w:hanging="283"/>
      </w:pPr>
      <w:r w:rsidRPr="00F12C22">
        <w:t>o</w:t>
      </w:r>
      <w:r w:rsidRPr="00F12C22">
        <w:tab/>
      </w:r>
      <w:r w:rsidR="509BB1F3">
        <w:t>REDACTED</w:t>
      </w:r>
      <w:r>
        <w:t xml:space="preserve"> </w:t>
      </w:r>
      <w:r w:rsidRPr="00F12C22">
        <w:t>public hospitals</w:t>
      </w:r>
    </w:p>
    <w:p w14:paraId="30042DB2" w14:textId="470FD8C4" w:rsidR="00463B23" w:rsidRPr="00F12C22" w:rsidRDefault="00463B23" w:rsidP="00463B23">
      <w:pPr>
        <w:tabs>
          <w:tab w:val="left" w:pos="993"/>
        </w:tabs>
        <w:ind w:left="567" w:hanging="283"/>
      </w:pPr>
      <w:r w:rsidRPr="00F12C22">
        <w:t>o</w:t>
      </w:r>
      <w:r w:rsidRPr="00F12C22">
        <w:tab/>
      </w:r>
      <w:r w:rsidR="539ED5C8">
        <w:t>REDACTED</w:t>
      </w:r>
      <w:r>
        <w:t xml:space="preserve"> </w:t>
      </w:r>
      <w:r w:rsidRPr="00F12C22">
        <w:t>in private hospitals</w:t>
      </w:r>
    </w:p>
    <w:p w14:paraId="2B59C2C5" w14:textId="1F2868D0" w:rsidR="00463B23" w:rsidRPr="00F12C22" w:rsidRDefault="00463B23" w:rsidP="00463B23">
      <w:pPr>
        <w:spacing w:after="0"/>
        <w:ind w:left="284" w:hanging="284"/>
      </w:pPr>
      <w:r w:rsidRPr="00F12C22">
        <w:t>•</w:t>
      </w:r>
      <w:r w:rsidRPr="00F12C22">
        <w:tab/>
        <w:t xml:space="preserve"> </w:t>
      </w:r>
      <w:r w:rsidR="70CC75AD">
        <w:t>REDACTED</w:t>
      </w:r>
      <w:r>
        <w:t xml:space="preserve"> </w:t>
      </w:r>
      <w:r w:rsidRPr="00F12C22">
        <w:t>community health facilities:</w:t>
      </w:r>
    </w:p>
    <w:p w14:paraId="2D91CB22" w14:textId="53B7E41D" w:rsidR="00463B23" w:rsidRPr="00F12C22" w:rsidRDefault="00463B23" w:rsidP="00463B23">
      <w:pPr>
        <w:tabs>
          <w:tab w:val="left" w:pos="993"/>
        </w:tabs>
        <w:spacing w:after="0"/>
        <w:ind w:left="567" w:hanging="283"/>
      </w:pPr>
      <w:r w:rsidRPr="00F12C22">
        <w:t>o</w:t>
      </w:r>
      <w:r w:rsidRPr="00F12C22">
        <w:tab/>
      </w:r>
      <w:r w:rsidR="7B15161B">
        <w:t>REDACTED</w:t>
      </w:r>
      <w:r>
        <w:t xml:space="preserve"> </w:t>
      </w:r>
      <w:r w:rsidRPr="00F12C22">
        <w:t>infectious diseases</w:t>
      </w:r>
    </w:p>
    <w:p w14:paraId="4D2AA517" w14:textId="60D38538" w:rsidR="00463B23" w:rsidRPr="00F12C22" w:rsidRDefault="00463B23" w:rsidP="00463B23">
      <w:pPr>
        <w:tabs>
          <w:tab w:val="left" w:pos="993"/>
        </w:tabs>
        <w:ind w:left="567" w:hanging="283"/>
      </w:pPr>
      <w:r w:rsidRPr="00F12C22">
        <w:t>o</w:t>
      </w:r>
      <w:r w:rsidRPr="00F12C22">
        <w:tab/>
      </w:r>
      <w:r w:rsidR="6EF5117B">
        <w:t xml:space="preserve">REDACTED </w:t>
      </w:r>
      <w:r w:rsidRPr="00F12C22">
        <w:t>drug and alcohol care</w:t>
      </w:r>
    </w:p>
    <w:p w14:paraId="780C3B5B" w14:textId="29E39633" w:rsidR="00463B23" w:rsidRPr="00F12C22" w:rsidRDefault="00463B23" w:rsidP="00463B23">
      <w:pPr>
        <w:spacing w:after="0"/>
        <w:ind w:left="284" w:hanging="284"/>
      </w:pPr>
      <w:r w:rsidRPr="00F12C22">
        <w:t>•</w:t>
      </w:r>
      <w:r w:rsidRPr="00F12C22">
        <w:tab/>
      </w:r>
      <w:r w:rsidR="00634F00">
        <w:t>REDACTED</w:t>
      </w:r>
      <w:r w:rsidRPr="00F12C22">
        <w:t xml:space="preserve"> (</w:t>
      </w:r>
      <w:r w:rsidR="6BE72805">
        <w:t>REDACTED</w:t>
      </w:r>
      <w:r w:rsidRPr="00F12C22">
        <w:t>) in other locations, including</w:t>
      </w:r>
    </w:p>
    <w:p w14:paraId="084E0C0C" w14:textId="6772B2F2" w:rsidR="00463B23" w:rsidRPr="00F12C22" w:rsidRDefault="00463B23" w:rsidP="00463B23">
      <w:pPr>
        <w:tabs>
          <w:tab w:val="left" w:pos="993"/>
        </w:tabs>
        <w:spacing w:after="0"/>
        <w:ind w:left="567" w:hanging="283"/>
      </w:pPr>
      <w:r w:rsidRPr="00F12C22">
        <w:t>o</w:t>
      </w:r>
      <w:r w:rsidRPr="00F12C22">
        <w:tab/>
      </w:r>
      <w:r w:rsidR="2C12B6FA">
        <w:t>REDACTED</w:t>
      </w:r>
      <w:r>
        <w:t xml:space="preserve"> </w:t>
      </w:r>
      <w:r w:rsidRPr="00F12C22">
        <w:t>in Aboriginal health clinics</w:t>
      </w:r>
    </w:p>
    <w:p w14:paraId="3530D0BF" w14:textId="76EC2CFE" w:rsidR="00463B23" w:rsidRPr="00F12C22" w:rsidRDefault="00463B23" w:rsidP="00463B23">
      <w:pPr>
        <w:tabs>
          <w:tab w:val="left" w:pos="993"/>
        </w:tabs>
        <w:spacing w:after="0"/>
        <w:ind w:left="567" w:hanging="283"/>
      </w:pPr>
      <w:r w:rsidRPr="00F12C22">
        <w:t>o</w:t>
      </w:r>
      <w:r w:rsidRPr="00F12C22">
        <w:tab/>
      </w:r>
      <w:r w:rsidR="1445BD52">
        <w:t>REDACTED</w:t>
      </w:r>
      <w:r>
        <w:t xml:space="preserve"> </w:t>
      </w:r>
      <w:r w:rsidRPr="00F12C22">
        <w:t>in prison for viral hepatitis</w:t>
      </w:r>
    </w:p>
    <w:p w14:paraId="2CC5058E" w14:textId="4A4DA76F" w:rsidR="00463B23" w:rsidRPr="00F12C22" w:rsidRDefault="00463B23" w:rsidP="00463B23">
      <w:pPr>
        <w:tabs>
          <w:tab w:val="left" w:pos="993"/>
        </w:tabs>
        <w:spacing w:after="0"/>
        <w:ind w:left="567" w:hanging="283"/>
      </w:pPr>
      <w:r w:rsidRPr="00F12C22">
        <w:t>o</w:t>
      </w:r>
      <w:r w:rsidRPr="00F12C22">
        <w:tab/>
      </w:r>
      <w:r w:rsidR="69A303CD">
        <w:t>REDACTED</w:t>
      </w:r>
      <w:r>
        <w:t xml:space="preserve"> </w:t>
      </w:r>
      <w:r w:rsidRPr="00F12C22">
        <w:t>in diabetes units</w:t>
      </w:r>
    </w:p>
    <w:p w14:paraId="1D72EE15" w14:textId="7BD0CBC7" w:rsidR="00463B23" w:rsidRPr="00F12C22" w:rsidRDefault="00463B23" w:rsidP="00463B23">
      <w:pPr>
        <w:tabs>
          <w:tab w:val="left" w:pos="993"/>
        </w:tabs>
        <w:spacing w:after="0"/>
        <w:ind w:left="567" w:hanging="283"/>
      </w:pPr>
      <w:r w:rsidRPr="00F12C22">
        <w:t>o</w:t>
      </w:r>
      <w:r w:rsidRPr="00F12C22">
        <w:tab/>
      </w:r>
      <w:r w:rsidR="29656D6E">
        <w:t>REDACTED</w:t>
      </w:r>
      <w:r>
        <w:t xml:space="preserve"> </w:t>
      </w:r>
      <w:r w:rsidRPr="00F12C22">
        <w:t>owned by a private GP</w:t>
      </w:r>
    </w:p>
    <w:p w14:paraId="6BF7F010" w14:textId="34846977" w:rsidR="00F47618" w:rsidRDefault="00463B23" w:rsidP="004C0B84">
      <w:pPr>
        <w:tabs>
          <w:tab w:val="left" w:pos="993"/>
        </w:tabs>
        <w:ind w:left="567" w:hanging="283"/>
      </w:pPr>
      <w:r w:rsidRPr="00F12C22">
        <w:t>o</w:t>
      </w:r>
      <w:r w:rsidRPr="00F12C22">
        <w:tab/>
      </w:r>
      <w:r w:rsidR="49FE9929">
        <w:t>REDACTED</w:t>
      </w:r>
      <w:r>
        <w:t xml:space="preserve"> </w:t>
      </w:r>
      <w:r w:rsidRPr="00F12C22">
        <w:t>in research or radiology</w:t>
      </w:r>
    </w:p>
    <w:p w14:paraId="72E4A176" w14:textId="1E47C80A" w:rsidR="004C0B84" w:rsidRPr="00F12C22" w:rsidRDefault="004C0B84" w:rsidP="00F42687">
      <w:pPr>
        <w:tabs>
          <w:tab w:val="left" w:pos="993"/>
        </w:tabs>
      </w:pPr>
      <w:r>
        <w:t xml:space="preserve">Further, the applicant has advised there are </w:t>
      </w:r>
      <w:r w:rsidR="7F3F8B02">
        <w:t xml:space="preserve">REDACTED </w:t>
      </w:r>
      <w:r w:rsidR="00C37043" w:rsidRPr="00F12C22">
        <w:rPr>
          <w:iCs/>
        </w:rPr>
        <w:t>VCTE™</w:t>
      </w:r>
      <w:r w:rsidR="00C37043" w:rsidRPr="00F12C22">
        <w:t xml:space="preserve"> machines</w:t>
      </w:r>
      <w:r w:rsidR="00C37043">
        <w:t xml:space="preserve"> </w:t>
      </w:r>
      <w:r>
        <w:t xml:space="preserve">in New South Wales, </w:t>
      </w:r>
      <w:r w:rsidR="4E77E6D8">
        <w:t xml:space="preserve">REDACTED </w:t>
      </w:r>
      <w:r>
        <w:t xml:space="preserve">in Victoria, </w:t>
      </w:r>
      <w:r w:rsidR="586CF0A2">
        <w:t xml:space="preserve">REDACTED </w:t>
      </w:r>
      <w:r>
        <w:t xml:space="preserve">in Queensland, </w:t>
      </w:r>
      <w:r w:rsidR="630FA66A">
        <w:t xml:space="preserve">REDACTED </w:t>
      </w:r>
      <w:r>
        <w:t xml:space="preserve">in Western Australia (further devices have since been purchased), </w:t>
      </w:r>
      <w:r w:rsidR="7D17AF12">
        <w:t>REDACTED</w:t>
      </w:r>
      <w:r>
        <w:t xml:space="preserve"> in South Australia, </w:t>
      </w:r>
      <w:r w:rsidR="32FFA890">
        <w:t>REDACTED</w:t>
      </w:r>
      <w:r>
        <w:t xml:space="preserve"> in Tasmania, </w:t>
      </w:r>
      <w:r w:rsidR="184E5135">
        <w:t>REDACTED</w:t>
      </w:r>
      <w:r>
        <w:t xml:space="preserve"> in the Australian Capital Territory and </w:t>
      </w:r>
      <w:r w:rsidR="18DC314A">
        <w:t>REDACTED</w:t>
      </w:r>
      <w:r>
        <w:t xml:space="preserve"> in the Norther</w:t>
      </w:r>
      <w:r w:rsidR="003724D4">
        <w:t>n</w:t>
      </w:r>
      <w:r>
        <w:t xml:space="preserve"> Territory.</w:t>
      </w:r>
      <w:r w:rsidR="007D6017">
        <w:t xml:space="preserve"> It was not clear where the remaining </w:t>
      </w:r>
      <w:r w:rsidR="3A9C72C2">
        <w:t>REDACTED</w:t>
      </w:r>
      <w:r w:rsidR="007D6017">
        <w:t xml:space="preserve"> </w:t>
      </w:r>
      <w:r w:rsidR="00A419CE">
        <w:t xml:space="preserve">machines (of the </w:t>
      </w:r>
      <w:r w:rsidR="71EBB89E">
        <w:t xml:space="preserve">REDACTED </w:t>
      </w:r>
      <w:r w:rsidR="00216DC9">
        <w:t>in Australia) are located.</w:t>
      </w:r>
    </w:p>
    <w:p w14:paraId="1D1611C7" w14:textId="4F90FA06" w:rsidR="00E6162C" w:rsidRPr="00D917C4" w:rsidRDefault="00E6162C" w:rsidP="005C67C7">
      <w:pPr>
        <w:pStyle w:val="Heading4"/>
      </w:pPr>
      <w:r w:rsidRPr="00D917C4">
        <w:t>PICO Set 1</w:t>
      </w:r>
    </w:p>
    <w:p w14:paraId="3D1CE86A" w14:textId="1944A59F" w:rsidR="004C54C2" w:rsidRPr="00F12C22" w:rsidRDefault="004C54C2" w:rsidP="004C54C2">
      <w:r w:rsidRPr="00F12C22">
        <w:t>The application claim</w:t>
      </w:r>
      <w:r w:rsidR="003765E2">
        <w:t>ed</w:t>
      </w:r>
      <w:r w:rsidRPr="00F12C22">
        <w:t xml:space="preserve"> that increasing accessibility of </w:t>
      </w:r>
      <w:r w:rsidR="00823CCA" w:rsidRPr="00F12C22">
        <w:t>VCTE™</w:t>
      </w:r>
      <w:r w:rsidRPr="00F12C22">
        <w:t xml:space="preserve"> to primary care patients and risk stratification using </w:t>
      </w:r>
      <w:r w:rsidR="00823CCA" w:rsidRPr="00F12C22">
        <w:t>VCTE™</w:t>
      </w:r>
      <w:r w:rsidRPr="00F12C22">
        <w:t xml:space="preserve"> in primary care for patients with </w:t>
      </w:r>
      <w:r w:rsidR="00AF5C98" w:rsidRPr="00F12C22">
        <w:t>indeterminate</w:t>
      </w:r>
      <w:r w:rsidR="003C2760" w:rsidRPr="00F12C22">
        <w:t xml:space="preserve"> </w:t>
      </w:r>
      <w:r w:rsidRPr="00F12C22">
        <w:t>FIB-4 scores (1.3</w:t>
      </w:r>
      <w:r w:rsidR="003C2760" w:rsidRPr="00F12C22">
        <w:t>-2.7</w:t>
      </w:r>
      <w:r w:rsidRPr="00F12C22">
        <w:t xml:space="preserve">) </w:t>
      </w:r>
      <w:r w:rsidR="00942F52">
        <w:t>would</w:t>
      </w:r>
      <w:r w:rsidR="00942F52" w:rsidRPr="00F12C22">
        <w:t xml:space="preserve"> </w:t>
      </w:r>
      <w:r w:rsidRPr="00F12C22">
        <w:t xml:space="preserve">lead to better targeting of high-risk patients resulting in fewer </w:t>
      </w:r>
      <w:r w:rsidR="004D5FF9" w:rsidRPr="00F12C22">
        <w:t xml:space="preserve">low risk </w:t>
      </w:r>
      <w:r w:rsidRPr="00F12C22">
        <w:t xml:space="preserve">patients </w:t>
      </w:r>
      <w:r w:rsidR="004D5FF9" w:rsidRPr="00F12C22">
        <w:t>being referred to</w:t>
      </w:r>
      <w:r w:rsidRPr="00F12C22">
        <w:t xml:space="preserve"> liver specialists. This </w:t>
      </w:r>
      <w:r w:rsidR="00942F52">
        <w:t>application stated</w:t>
      </w:r>
      <w:r w:rsidRPr="00F12C22">
        <w:t xml:space="preserve"> </w:t>
      </w:r>
      <w:r w:rsidR="00942F52">
        <w:t>that this would</w:t>
      </w:r>
      <w:r w:rsidRPr="00F12C22">
        <w:t xml:space="preserve"> improve healthcare system efficiency and reduce unnecessary specialist visits (PICO</w:t>
      </w:r>
      <w:r w:rsidR="00C44B2B" w:rsidRPr="00F12C22">
        <w:t xml:space="preserve"> Set 1</w:t>
      </w:r>
      <w:r w:rsidRPr="00F12C22">
        <w:t>, p6).</w:t>
      </w:r>
    </w:p>
    <w:p w14:paraId="083C4F2F" w14:textId="22652A47" w:rsidR="00E6162C" w:rsidRPr="00F12C22" w:rsidRDefault="00942F52" w:rsidP="00E6162C">
      <w:r w:rsidRPr="002D6DF2">
        <w:lastRenderedPageBreak/>
        <w:t>Based on</w:t>
      </w:r>
      <w:r w:rsidR="00463B23" w:rsidRPr="002D6DF2">
        <w:t xml:space="preserve"> the current distribution of </w:t>
      </w:r>
      <w:r w:rsidR="00823CCA" w:rsidRPr="002D6DF2">
        <w:t>VCTE™</w:t>
      </w:r>
      <w:r w:rsidR="00712168" w:rsidRPr="002D6DF2">
        <w:t xml:space="preserve"> machines, </w:t>
      </w:r>
      <w:r w:rsidR="00E03B92" w:rsidRPr="002D6DF2">
        <w:t>if public funding of</w:t>
      </w:r>
      <w:r w:rsidR="00712168" w:rsidRPr="002D6DF2">
        <w:t xml:space="preserve"> </w:t>
      </w:r>
      <w:r w:rsidR="00823CCA" w:rsidRPr="002D6DF2">
        <w:t>VCTE™</w:t>
      </w:r>
      <w:r w:rsidR="00712168" w:rsidRPr="002D6DF2">
        <w:t xml:space="preserve"> in the primary care setting </w:t>
      </w:r>
      <w:r w:rsidR="00E03B92" w:rsidRPr="002D6DF2">
        <w:t>was supported, this would</w:t>
      </w:r>
      <w:r w:rsidR="00712168" w:rsidRPr="002D6DF2">
        <w:t xml:space="preserve"> need to be accompanied with investment in the technology in the primary care setting. The applicant anticipate</w:t>
      </w:r>
      <w:r w:rsidR="005A4F5E" w:rsidRPr="002D6DF2">
        <w:t>d</w:t>
      </w:r>
      <w:r w:rsidR="00712168" w:rsidRPr="002D6DF2">
        <w:t xml:space="preserve"> </w:t>
      </w:r>
      <w:r w:rsidR="005A4F5E" w:rsidRPr="002D6DF2">
        <w:t>that there would be</w:t>
      </w:r>
      <w:r w:rsidR="00712168" w:rsidRPr="002D6DF2">
        <w:t xml:space="preserve"> investment in the technology </w:t>
      </w:r>
      <w:r w:rsidR="005A4F5E" w:rsidRPr="002D6DF2">
        <w:t xml:space="preserve">if it were to be </w:t>
      </w:r>
      <w:r w:rsidR="00712168" w:rsidRPr="002D6DF2">
        <w:t>MBS list</w:t>
      </w:r>
      <w:r w:rsidR="005A4F5E" w:rsidRPr="002D6DF2">
        <w:t>ed</w:t>
      </w:r>
      <w:r w:rsidR="00712168" w:rsidRPr="002D6DF2">
        <w:t>, with a particular focus on expanding access in community clinics located in high-need areas</w:t>
      </w:r>
      <w:r w:rsidR="006908F6" w:rsidRPr="002D6DF2">
        <w:t>,</w:t>
      </w:r>
      <w:r w:rsidR="00712168" w:rsidRPr="002D6DF2">
        <w:t xml:space="preserve"> which </w:t>
      </w:r>
      <w:r w:rsidR="005A4F5E" w:rsidRPr="002D6DF2">
        <w:t xml:space="preserve">would </w:t>
      </w:r>
      <w:r w:rsidR="00712168" w:rsidRPr="002D6DF2">
        <w:t xml:space="preserve">likely involve device-sharing agreements to optimise resource distribution and accessibility. </w:t>
      </w:r>
      <w:r w:rsidR="00E6162C" w:rsidRPr="002D6DF2">
        <w:t xml:space="preserve">In general, Medicare benefits are not payable for professional services (such as </w:t>
      </w:r>
      <w:r w:rsidR="005A4F5E" w:rsidRPr="002D6DF2">
        <w:t xml:space="preserve">those </w:t>
      </w:r>
      <w:r w:rsidR="00E6162C" w:rsidRPr="002D6DF2">
        <w:t>provided in hospitals, multipurpose services and community clinics) where other government funding is already provided for that service.</w:t>
      </w:r>
      <w:r w:rsidR="00E6162C" w:rsidRPr="00F12C22">
        <w:t xml:space="preserve"> </w:t>
      </w:r>
    </w:p>
    <w:p w14:paraId="2DA8EA4E" w14:textId="0B8E8032" w:rsidR="00463B23" w:rsidRDefault="00712168" w:rsidP="00463B23">
      <w:r w:rsidRPr="00F12C22">
        <w:t xml:space="preserve">At the pre-PASC teleconference, the applicant suggested </w:t>
      </w:r>
      <w:r w:rsidR="38E2E459">
        <w:t>REDACTED</w:t>
      </w:r>
      <w:r w:rsidRPr="00F12C22">
        <w:t>.</w:t>
      </w:r>
    </w:p>
    <w:p w14:paraId="28318F9F" w14:textId="45315397" w:rsidR="00744DBF" w:rsidRDefault="00243BD1" w:rsidP="00463B23">
      <w:pPr>
        <w:rPr>
          <w:i/>
          <w:iCs/>
        </w:rPr>
      </w:pPr>
      <w:r w:rsidRPr="00243BD1">
        <w:rPr>
          <w:i/>
          <w:iCs/>
        </w:rPr>
        <w:t xml:space="preserve">PASC noted the applicant’s intent to expand the availability of VCTE™ in the primary care setting, which requires investment in both equipment and training, and potentially ‘hub’ and/or device sharing arrangements. </w:t>
      </w:r>
      <w:r w:rsidR="00744DBF" w:rsidRPr="00744DBF">
        <w:rPr>
          <w:i/>
          <w:iCs/>
        </w:rPr>
        <w:t>PASC noted that although the application discussed the test as mainly being rolled out in areas of high need, no implementation plan to address this was proposed</w:t>
      </w:r>
      <w:r w:rsidR="000F7F4A" w:rsidRPr="000F7F4A">
        <w:rPr>
          <w:i/>
          <w:iCs/>
        </w:rPr>
        <w:t>, other than the expectation that an MBS item would lead to clinics investing in the technology.</w:t>
      </w:r>
    </w:p>
    <w:p w14:paraId="703D80E5" w14:textId="62F2B013" w:rsidR="004C0B84" w:rsidRPr="00F42687" w:rsidRDefault="004C0B84" w:rsidP="00463B23">
      <w:pPr>
        <w:rPr>
          <w:i/>
          <w:iCs/>
        </w:rPr>
      </w:pPr>
      <w:r w:rsidRPr="004C0B84">
        <w:rPr>
          <w:i/>
          <w:iCs/>
        </w:rPr>
        <w:t>PASC also queried the training required to perform VCTE™, in particular for the GP workforce, and noted consultation feedback that VCTE™ may be best conducted by specialists. The applicant clarified that training was not onerous – the company provides a standardised 3-hour course covering both the conduct and interpretation of the scan; there is also an expectation of ongoing practice.</w:t>
      </w:r>
    </w:p>
    <w:p w14:paraId="58A3CD8B" w14:textId="37DDBB79" w:rsidR="0068625D" w:rsidRPr="00F12C22" w:rsidRDefault="005A4F5E" w:rsidP="006C09B4">
      <w:pPr>
        <w:rPr>
          <w:iCs/>
        </w:rPr>
      </w:pPr>
      <w:r>
        <w:t>Cr</w:t>
      </w:r>
      <w:r w:rsidR="00C44B2B" w:rsidRPr="00F12C22">
        <w:t>eating awareness among primary care providers regarding diagnosis, management and referral of MAFLD patients</w:t>
      </w:r>
      <w:r>
        <w:t xml:space="preserve"> would also be needed</w:t>
      </w:r>
      <w:r w:rsidR="00C44B2B" w:rsidRPr="00F12C22">
        <w:t xml:space="preserve">. </w:t>
      </w:r>
      <w:r w:rsidR="0068625D" w:rsidRPr="00F12C22">
        <w:rPr>
          <w:iCs/>
        </w:rPr>
        <w:t xml:space="preserve">A cross-sectional survey of </w:t>
      </w:r>
      <w:r w:rsidR="00FE48AA" w:rsidRPr="00F12C22">
        <w:rPr>
          <w:iCs/>
        </w:rPr>
        <w:t>primary care clinicians' approach to diagnosis, management and referral of NAFLD</w:t>
      </w:r>
      <w:r w:rsidR="0068625D" w:rsidRPr="00F12C22">
        <w:rPr>
          <w:iCs/>
        </w:rPr>
        <w:t xml:space="preserve"> </w:t>
      </w:r>
      <w:r w:rsidR="00842AE3" w:rsidRPr="00F12C22">
        <w:rPr>
          <w:iCs/>
        </w:rPr>
        <w:t xml:space="preserve">patients </w:t>
      </w:r>
      <w:r w:rsidR="006C09B4" w:rsidRPr="00F12C22">
        <w:rPr>
          <w:iCs/>
        </w:rPr>
        <w:t xml:space="preserve">(defined by demonstration of hepatic steatosis by liver ultrasound in the presence of metabolic risk factors and the exclusion of significant alcohol consumption </w:t>
      </w:r>
      <w:r w:rsidR="00E15239">
        <w:rPr>
          <w:iCs/>
        </w:rPr>
        <w:t>[</w:t>
      </w:r>
      <w:r w:rsidR="006C09B4" w:rsidRPr="00F12C22">
        <w:rPr>
          <w:iCs/>
        </w:rPr>
        <w:t>≥20 g/day</w:t>
      </w:r>
      <w:r w:rsidR="00E15239">
        <w:rPr>
          <w:iCs/>
        </w:rPr>
        <w:t>]</w:t>
      </w:r>
      <w:r w:rsidR="006C09B4" w:rsidRPr="00F12C22">
        <w:rPr>
          <w:iCs/>
        </w:rPr>
        <w:t xml:space="preserve"> or other chronic liver diseases</w:t>
      </w:r>
      <w:r w:rsidR="00E15239">
        <w:rPr>
          <w:iCs/>
        </w:rPr>
        <w:t xml:space="preserve">, </w:t>
      </w:r>
      <w:r w:rsidR="006C09B4" w:rsidRPr="00F12C22">
        <w:rPr>
          <w:iCs/>
        </w:rPr>
        <w:t xml:space="preserve">including a prior history of alcohol-related liver disease) </w:t>
      </w:r>
      <w:r w:rsidR="000F2CED" w:rsidRPr="00F12C22">
        <w:rPr>
          <w:iCs/>
        </w:rPr>
        <w:t xml:space="preserve">with </w:t>
      </w:r>
      <w:r w:rsidR="00567250" w:rsidRPr="00F12C22">
        <w:rPr>
          <w:iCs/>
        </w:rPr>
        <w:t>liver fibrosis</w:t>
      </w:r>
      <w:r w:rsidR="000F2CED" w:rsidRPr="00F12C22">
        <w:rPr>
          <w:iCs/>
        </w:rPr>
        <w:t xml:space="preserve"> </w:t>
      </w:r>
      <w:r w:rsidR="0068625D" w:rsidRPr="00F12C22">
        <w:rPr>
          <w:iCs/>
        </w:rPr>
        <w:t>was conducted in Queensland between August 2016 and March 2017</w:t>
      </w:r>
      <w:r w:rsidR="00C44B2B" w:rsidRPr="00F12C22">
        <w:rPr>
          <w:iCs/>
        </w:rPr>
        <w:t xml:space="preserve"> (</w:t>
      </w:r>
      <w:r w:rsidR="00C44B2B" w:rsidRPr="00C37043">
        <w:rPr>
          <w:iCs/>
        </w:rPr>
        <w:t>Patel 2018a</w:t>
      </w:r>
      <w:r w:rsidR="00C44B2B" w:rsidRPr="00F12C22">
        <w:rPr>
          <w:iCs/>
        </w:rPr>
        <w:t>)</w:t>
      </w:r>
      <w:r w:rsidR="0068625D" w:rsidRPr="00F12C22">
        <w:rPr>
          <w:iCs/>
        </w:rPr>
        <w:t>.</w:t>
      </w:r>
      <w:r w:rsidR="00382F44" w:rsidRPr="00F12C22">
        <w:t xml:space="preserve"> </w:t>
      </w:r>
      <w:r w:rsidR="00E15239">
        <w:rPr>
          <w:iCs/>
        </w:rPr>
        <w:t>51%</w:t>
      </w:r>
      <w:r w:rsidR="00382F44" w:rsidRPr="00F12C22">
        <w:rPr>
          <w:iCs/>
        </w:rPr>
        <w:t xml:space="preserve"> of respondents considered the prevalence of NAFLD in the general population to be ≤10%</w:t>
      </w:r>
      <w:r w:rsidR="004765BE">
        <w:rPr>
          <w:iCs/>
        </w:rPr>
        <w:t>, and</w:t>
      </w:r>
      <w:r w:rsidR="00382F44" w:rsidRPr="00F12C22">
        <w:rPr>
          <w:iCs/>
        </w:rPr>
        <w:t xml:space="preserve"> </w:t>
      </w:r>
      <w:r w:rsidR="00E15239">
        <w:rPr>
          <w:iCs/>
        </w:rPr>
        <w:t>24%</w:t>
      </w:r>
      <w:r w:rsidR="00382F44" w:rsidRPr="00F12C22">
        <w:rPr>
          <w:iCs/>
        </w:rPr>
        <w:t xml:space="preserve"> of respondents felt that liver enzymes were sufficiently sensitive to detect underlying NAFLD. Most respondents were unsure whether the </w:t>
      </w:r>
      <w:r w:rsidR="009D0BE3" w:rsidRPr="00F12C22">
        <w:rPr>
          <w:iCs/>
        </w:rPr>
        <w:t>FIB-4</w:t>
      </w:r>
      <w:r w:rsidR="00382F44" w:rsidRPr="00F12C22">
        <w:rPr>
          <w:iCs/>
        </w:rPr>
        <w:t xml:space="preserve"> score (62.7% unsure) or </w:t>
      </w:r>
      <w:r w:rsidR="00C37043">
        <w:rPr>
          <w:iCs/>
        </w:rPr>
        <w:t>ELF</w:t>
      </w:r>
      <w:r w:rsidR="00382F44" w:rsidRPr="00F12C22">
        <w:rPr>
          <w:iCs/>
        </w:rPr>
        <w:t xml:space="preserve"> score (63.7% unsure) could help to identify </w:t>
      </w:r>
      <w:r w:rsidR="000A4A3F" w:rsidRPr="00F12C22">
        <w:rPr>
          <w:iCs/>
        </w:rPr>
        <w:t>AF</w:t>
      </w:r>
      <w:r w:rsidR="00382F44" w:rsidRPr="00F12C22">
        <w:rPr>
          <w:iCs/>
        </w:rPr>
        <w:t xml:space="preserve"> or cirrhosis. Although 47% of respondents said they would refer a patient to a </w:t>
      </w:r>
      <w:r w:rsidR="006270C8" w:rsidRPr="00F12C22">
        <w:rPr>
          <w:iCs/>
        </w:rPr>
        <w:t>g</w:t>
      </w:r>
      <w:r w:rsidR="00382F44" w:rsidRPr="00F12C22">
        <w:rPr>
          <w:iCs/>
        </w:rPr>
        <w:t>astroenterologist/</w:t>
      </w:r>
      <w:r w:rsidR="00C44B2B" w:rsidRPr="00F12C22">
        <w:rPr>
          <w:iCs/>
        </w:rPr>
        <w:t xml:space="preserve"> </w:t>
      </w:r>
      <w:r w:rsidR="006270C8" w:rsidRPr="00F12C22">
        <w:rPr>
          <w:iCs/>
        </w:rPr>
        <w:t>h</w:t>
      </w:r>
      <w:r w:rsidR="00382F44" w:rsidRPr="00F12C22">
        <w:rPr>
          <w:iCs/>
        </w:rPr>
        <w:t>epatologist if they suspect</w:t>
      </w:r>
      <w:r w:rsidR="004765BE">
        <w:rPr>
          <w:iCs/>
        </w:rPr>
        <w:t>ed</w:t>
      </w:r>
      <w:r w:rsidR="00382F44" w:rsidRPr="00F12C22">
        <w:rPr>
          <w:iCs/>
        </w:rPr>
        <w:t xml:space="preserve"> the patient ha</w:t>
      </w:r>
      <w:r w:rsidR="004765BE">
        <w:rPr>
          <w:iCs/>
        </w:rPr>
        <w:t>d</w:t>
      </w:r>
      <w:r w:rsidR="00382F44" w:rsidRPr="00F12C22">
        <w:rPr>
          <w:iCs/>
        </w:rPr>
        <w:t xml:space="preserve"> NAFLD, 44.1% do not make any referrals. </w:t>
      </w:r>
      <w:r w:rsidR="00D41E23" w:rsidRPr="00F12C22">
        <w:rPr>
          <w:iCs/>
        </w:rPr>
        <w:t>The authors c</w:t>
      </w:r>
      <w:r w:rsidR="00382F44" w:rsidRPr="00F12C22">
        <w:rPr>
          <w:iCs/>
        </w:rPr>
        <w:t>onclu</w:t>
      </w:r>
      <w:r w:rsidR="00D41E23" w:rsidRPr="00F12C22">
        <w:rPr>
          <w:iCs/>
        </w:rPr>
        <w:t xml:space="preserve">ded that </w:t>
      </w:r>
      <w:r w:rsidR="004765BE" w:rsidRPr="00F12C22">
        <w:rPr>
          <w:iCs/>
        </w:rPr>
        <w:t>the</w:t>
      </w:r>
      <w:r w:rsidR="004765BE">
        <w:rPr>
          <w:iCs/>
        </w:rPr>
        <w:t>se</w:t>
      </w:r>
      <w:r w:rsidR="004765BE" w:rsidRPr="00F12C22">
        <w:rPr>
          <w:iCs/>
        </w:rPr>
        <w:t xml:space="preserve"> </w:t>
      </w:r>
      <w:r w:rsidR="00382F44" w:rsidRPr="00F12C22">
        <w:rPr>
          <w:iCs/>
        </w:rPr>
        <w:t>findings demonstrate that many primary care clinicians underestimate the prevalence of NAFLD and under-recognise the clinical spectrum of NAFLD and how this is assessed.</w:t>
      </w:r>
      <w:r w:rsidR="006C09B4" w:rsidRPr="00F12C22">
        <w:rPr>
          <w:iCs/>
        </w:rPr>
        <w:t xml:space="preserve"> It is noted the GESA (2024) </w:t>
      </w:r>
      <w:r w:rsidR="006221DF" w:rsidRPr="00F12C22">
        <w:rPr>
          <w:iCs/>
        </w:rPr>
        <w:t>c</w:t>
      </w:r>
      <w:r w:rsidR="006C09B4" w:rsidRPr="00F12C22">
        <w:rPr>
          <w:iCs/>
        </w:rPr>
        <w:t>onsensus statement is available on the Royal Australian College of General Practitioners</w:t>
      </w:r>
      <w:r w:rsidR="006221DF" w:rsidRPr="00F12C22">
        <w:rPr>
          <w:iCs/>
        </w:rPr>
        <w:t xml:space="preserve"> website</w:t>
      </w:r>
      <w:r w:rsidR="009233FD">
        <w:rPr>
          <w:iCs/>
        </w:rPr>
        <w:t>.</w:t>
      </w:r>
      <w:r w:rsidR="006C09B4" w:rsidRPr="00F12C22">
        <w:rPr>
          <w:rStyle w:val="FootnoteReference"/>
          <w:iCs/>
        </w:rPr>
        <w:footnoteReference w:id="5"/>
      </w:r>
    </w:p>
    <w:p w14:paraId="6C042DB8" w14:textId="4C7B6FB8" w:rsidR="00E6162C" w:rsidRPr="00D917C4" w:rsidRDefault="00E6162C" w:rsidP="00022C35">
      <w:pPr>
        <w:pStyle w:val="Heading4"/>
        <w:keepNext w:val="0"/>
        <w:keepLines w:val="0"/>
      </w:pPr>
      <w:r w:rsidRPr="00D917C4">
        <w:t>PICO Set 2</w:t>
      </w:r>
    </w:p>
    <w:p w14:paraId="18EA811E" w14:textId="7038FE69" w:rsidR="00933881" w:rsidRDefault="006C09B4" w:rsidP="00022C35">
      <w:r w:rsidRPr="00F12C22">
        <w:t>W</w:t>
      </w:r>
      <w:r w:rsidR="00E6162C" w:rsidRPr="00F12C22">
        <w:t xml:space="preserve">hile </w:t>
      </w:r>
      <w:r w:rsidRPr="00F12C22">
        <w:t>the applica</w:t>
      </w:r>
      <w:r w:rsidR="004359A1">
        <w:t>nt</w:t>
      </w:r>
      <w:r w:rsidRPr="00F12C22">
        <w:t xml:space="preserve"> has advised that </w:t>
      </w:r>
      <w:r w:rsidR="7A5EC9F7">
        <w:t>REDACTED</w:t>
      </w:r>
      <w:r w:rsidR="00E6162C">
        <w:t xml:space="preserve"> </w:t>
      </w:r>
      <w:r w:rsidR="00E6162C" w:rsidRPr="00F12C22">
        <w:t xml:space="preserve">of </w:t>
      </w:r>
      <w:r w:rsidRPr="00F12C22">
        <w:t xml:space="preserve">VCTE™ </w:t>
      </w:r>
      <w:r w:rsidR="00E6162C" w:rsidRPr="00F12C22">
        <w:t xml:space="preserve">machines </w:t>
      </w:r>
      <w:r w:rsidRPr="00F12C22">
        <w:t xml:space="preserve">are </w:t>
      </w:r>
      <w:r w:rsidR="00E6162C" w:rsidRPr="00F12C22">
        <w:t xml:space="preserve">currently in hepatology specialist care, this does not indicate how widely accessible </w:t>
      </w:r>
      <w:r w:rsidRPr="00F12C22">
        <w:t>VCTE™</w:t>
      </w:r>
      <w:r w:rsidR="00E6162C" w:rsidRPr="00F12C22">
        <w:t xml:space="preserve"> is for those referred to specialists (i.e.</w:t>
      </w:r>
      <w:r w:rsidRPr="00F12C22">
        <w:t>,</w:t>
      </w:r>
      <w:r w:rsidR="00E6162C" w:rsidRPr="00F12C22">
        <w:t xml:space="preserve"> what </w:t>
      </w:r>
      <w:r w:rsidRPr="00F12C22">
        <w:t>proportion</w:t>
      </w:r>
      <w:r w:rsidR="00E6162C" w:rsidRPr="00F12C22">
        <w:t xml:space="preserve"> of specialist hepatology centres have </w:t>
      </w:r>
      <w:r w:rsidRPr="00F12C22">
        <w:t>VCTE™</w:t>
      </w:r>
      <w:r w:rsidR="00E6162C" w:rsidRPr="00F12C22">
        <w:t xml:space="preserve">). </w:t>
      </w:r>
      <w:r w:rsidRPr="00F12C22">
        <w:t>This represents a potential equity of access issue.</w:t>
      </w:r>
    </w:p>
    <w:p w14:paraId="665B0675" w14:textId="5FDFCB88" w:rsidR="007A66C8" w:rsidRPr="00F12C22" w:rsidRDefault="007A66C8" w:rsidP="00713728">
      <w:pPr>
        <w:pStyle w:val="Heading3"/>
      </w:pPr>
      <w:r w:rsidRPr="00F12C22">
        <w:lastRenderedPageBreak/>
        <w:t>Comparator</w:t>
      </w:r>
      <w:r w:rsidR="007D6B83" w:rsidRPr="00F12C22">
        <w:t>(</w:t>
      </w:r>
      <w:r w:rsidR="008F1532" w:rsidRPr="00F12C22">
        <w:t>s</w:t>
      </w:r>
      <w:r w:rsidR="007D6B83" w:rsidRPr="00F12C22">
        <w:t>)</w:t>
      </w:r>
    </w:p>
    <w:p w14:paraId="1CDFFE16" w14:textId="7A5DBAFA" w:rsidR="003E748C" w:rsidRPr="00D917C4" w:rsidRDefault="003E748C" w:rsidP="005C67C7">
      <w:pPr>
        <w:pStyle w:val="Heading4"/>
      </w:pPr>
      <w:r w:rsidRPr="00D917C4">
        <w:t>PICO Set 1</w:t>
      </w:r>
    </w:p>
    <w:p w14:paraId="7DA5DCF0" w14:textId="69B128E2" w:rsidR="005A1CFB" w:rsidRPr="00F12C22" w:rsidRDefault="00A202B2" w:rsidP="003E731E">
      <w:r w:rsidRPr="00F12C22">
        <w:t>The application states</w:t>
      </w:r>
      <w:r w:rsidR="007020D8" w:rsidRPr="00F12C22">
        <w:t xml:space="preserve"> </w:t>
      </w:r>
      <w:r w:rsidRPr="00F12C22">
        <w:t>‘</w:t>
      </w:r>
      <w:r w:rsidR="007020D8" w:rsidRPr="00F12C22">
        <w:t xml:space="preserve">The clinical utility comparator for </w:t>
      </w:r>
      <w:r w:rsidR="00823CCA" w:rsidRPr="00F12C22">
        <w:t>VCTE™</w:t>
      </w:r>
      <w:r w:rsidR="007020D8" w:rsidRPr="00F12C22">
        <w:t xml:space="preserve"> in primary care is the referral to a liver specialist and ultrasound service</w:t>
      </w:r>
      <w:r w:rsidRPr="00F12C22">
        <w:t>’</w:t>
      </w:r>
      <w:r w:rsidR="007020D8" w:rsidRPr="00F12C22">
        <w:t xml:space="preserve"> (PICO</w:t>
      </w:r>
      <w:r w:rsidRPr="00F12C22">
        <w:t xml:space="preserve"> Set 1</w:t>
      </w:r>
      <w:r w:rsidR="007020D8" w:rsidRPr="00F12C22">
        <w:t>, p11)</w:t>
      </w:r>
      <w:r w:rsidR="007A5BC0" w:rsidRPr="00F12C22">
        <w:t>.</w:t>
      </w:r>
      <w:r w:rsidR="007020D8" w:rsidRPr="00F12C22">
        <w:t xml:space="preserve"> </w:t>
      </w:r>
      <w:r w:rsidR="000F07FC" w:rsidRPr="00F12C22">
        <w:t>For abdominal ultrasound, MBS item 55036</w:t>
      </w:r>
      <w:r w:rsidR="00D81AD7">
        <w:rPr>
          <w:rStyle w:val="FootnoteReference"/>
        </w:rPr>
        <w:footnoteReference w:id="6"/>
      </w:r>
      <w:r w:rsidR="000F07FC" w:rsidRPr="00F12C22">
        <w:t xml:space="preserve"> is used.</w:t>
      </w:r>
    </w:p>
    <w:p w14:paraId="3F077E33" w14:textId="1280CDAD" w:rsidR="003E748C" w:rsidRPr="008B40C7" w:rsidRDefault="003E748C" w:rsidP="008B40C7">
      <w:pPr>
        <w:spacing w:after="0"/>
        <w:rPr>
          <w:rFonts w:cs="Arial"/>
          <w:sz w:val="20"/>
          <w:szCs w:val="20"/>
        </w:rPr>
      </w:pPr>
      <w:r w:rsidRPr="00F12C22">
        <w:t xml:space="preserve">For the consultation component of the intervention, standard </w:t>
      </w:r>
      <w:r w:rsidR="00112DDD">
        <w:t xml:space="preserve">GP </w:t>
      </w:r>
      <w:r w:rsidR="00112DDD">
        <w:rPr>
          <w:rFonts w:cs="Arial"/>
        </w:rPr>
        <w:t>attendance</w:t>
      </w:r>
      <w:r w:rsidR="00112DDD" w:rsidRPr="00F12C22">
        <w:rPr>
          <w:rFonts w:cs="Arial"/>
        </w:rPr>
        <w:t xml:space="preserve"> </w:t>
      </w:r>
      <w:r w:rsidRPr="00F12C22">
        <w:rPr>
          <w:rFonts w:cs="Arial"/>
        </w:rPr>
        <w:t xml:space="preserve">items (e.g., </w:t>
      </w:r>
      <w:r w:rsidRPr="67AD3075">
        <w:rPr>
          <w:rFonts w:cs="Arial"/>
        </w:rPr>
        <w:t>item</w:t>
      </w:r>
      <w:r w:rsidR="58490CB6" w:rsidRPr="67AD3075">
        <w:rPr>
          <w:rFonts w:cs="Arial"/>
        </w:rPr>
        <w:t xml:space="preserve">s </w:t>
      </w:r>
      <w:r w:rsidR="00FD4164">
        <w:rPr>
          <w:rFonts w:cs="Arial"/>
        </w:rPr>
        <w:t>0</w:t>
      </w:r>
      <w:r w:rsidR="58490CB6" w:rsidRPr="67AD3075">
        <w:rPr>
          <w:rFonts w:cs="Arial"/>
        </w:rPr>
        <w:t>23</w:t>
      </w:r>
      <w:r w:rsidR="00897678">
        <w:rPr>
          <w:rStyle w:val="FootnoteReference"/>
          <w:rFonts w:cs="Arial"/>
        </w:rPr>
        <w:footnoteReference w:id="7"/>
      </w:r>
      <w:r w:rsidR="58490CB6" w:rsidRPr="67AD3075">
        <w:rPr>
          <w:rFonts w:cs="Arial"/>
        </w:rPr>
        <w:t xml:space="preserve">, </w:t>
      </w:r>
      <w:r w:rsidR="00FD4164">
        <w:rPr>
          <w:rFonts w:cs="Arial"/>
        </w:rPr>
        <w:t>0</w:t>
      </w:r>
      <w:r w:rsidR="58490CB6" w:rsidRPr="67AD3075">
        <w:rPr>
          <w:rFonts w:cs="Arial"/>
        </w:rPr>
        <w:t>36</w:t>
      </w:r>
      <w:r w:rsidR="00897678">
        <w:rPr>
          <w:rStyle w:val="FootnoteReference"/>
          <w:rFonts w:cs="Arial"/>
        </w:rPr>
        <w:footnoteReference w:id="8"/>
      </w:r>
      <w:r w:rsidR="58490CB6" w:rsidRPr="67AD3075">
        <w:rPr>
          <w:rFonts w:cs="Arial"/>
        </w:rPr>
        <w:t xml:space="preserve">, </w:t>
      </w:r>
      <w:r w:rsidR="00FD4164">
        <w:rPr>
          <w:rFonts w:cs="Arial"/>
        </w:rPr>
        <w:t>0</w:t>
      </w:r>
      <w:r w:rsidR="58490CB6" w:rsidRPr="67AD3075">
        <w:rPr>
          <w:rFonts w:cs="Arial"/>
        </w:rPr>
        <w:t>44</w:t>
      </w:r>
      <w:r w:rsidR="00897678">
        <w:rPr>
          <w:rStyle w:val="FootnoteReference"/>
          <w:rFonts w:cs="Arial"/>
        </w:rPr>
        <w:footnoteReference w:id="9"/>
      </w:r>
      <w:r w:rsidR="58490CB6" w:rsidRPr="67AD3075">
        <w:rPr>
          <w:rFonts w:cs="Arial"/>
        </w:rPr>
        <w:t>and</w:t>
      </w:r>
      <w:r w:rsidRPr="67AD3075">
        <w:rPr>
          <w:rFonts w:cs="Arial"/>
        </w:rPr>
        <w:t xml:space="preserve"> 123</w:t>
      </w:r>
      <w:r w:rsidR="00C61725">
        <w:rPr>
          <w:rStyle w:val="FootnoteReference"/>
          <w:rFonts w:cs="Arial"/>
        </w:rPr>
        <w:footnoteReference w:id="10"/>
      </w:r>
      <w:r w:rsidRPr="00F12C22">
        <w:rPr>
          <w:rFonts w:cs="Arial"/>
        </w:rPr>
        <w:t>) may be relevant</w:t>
      </w:r>
      <w:r w:rsidR="5493389E" w:rsidRPr="67AD3075">
        <w:rPr>
          <w:rFonts w:cs="Arial"/>
        </w:rPr>
        <w:t>.</w:t>
      </w:r>
    </w:p>
    <w:p w14:paraId="3DE01305" w14:textId="562C5444" w:rsidR="003E748C" w:rsidRPr="005C67C7" w:rsidRDefault="003E748C" w:rsidP="008B40C7">
      <w:pPr>
        <w:spacing w:after="0"/>
        <w:rPr>
          <w:sz w:val="20"/>
          <w:szCs w:val="20"/>
        </w:rPr>
      </w:pPr>
    </w:p>
    <w:p w14:paraId="5E884AE7" w14:textId="3926E527" w:rsidR="003E748C" w:rsidRPr="00D917C4" w:rsidRDefault="003E748C" w:rsidP="005C67C7">
      <w:pPr>
        <w:pStyle w:val="Heading4"/>
      </w:pPr>
      <w:r w:rsidRPr="00D917C4">
        <w:t>PICO Set 2</w:t>
      </w:r>
    </w:p>
    <w:p w14:paraId="3B7B2E62" w14:textId="162CE243" w:rsidR="00A202B2" w:rsidRPr="00F12C22" w:rsidRDefault="00A202B2" w:rsidP="003E731E">
      <w:r w:rsidRPr="00F12C22">
        <w:t xml:space="preserve">The application states the ‘The clinical utility comparator for </w:t>
      </w:r>
      <w:r w:rsidR="00823CCA" w:rsidRPr="00F12C22">
        <w:t>VCTE™</w:t>
      </w:r>
      <w:r w:rsidRPr="00F12C22">
        <w:t xml:space="preserve"> in specialist care is ultrasound’ (PICO Set 2, p10).</w:t>
      </w:r>
      <w:r w:rsidR="00EF7BE9" w:rsidRPr="00F12C22">
        <w:t xml:space="preserve"> For abdominal ultrasound, MBS item 55036 is used</w:t>
      </w:r>
      <w:r w:rsidR="00D81AD7">
        <w:t xml:space="preserve"> (as in PICO set 1)</w:t>
      </w:r>
      <w:r w:rsidR="00EF7BE9" w:rsidRPr="00F12C22">
        <w:t>.</w:t>
      </w:r>
    </w:p>
    <w:p w14:paraId="00B86AED" w14:textId="47ADB196" w:rsidR="003E748C" w:rsidRPr="00F12C22" w:rsidRDefault="003E748C" w:rsidP="003E748C">
      <w:r w:rsidRPr="00F12C22">
        <w:t xml:space="preserve">For the consultation component of the intervention, </w:t>
      </w:r>
      <w:r w:rsidR="00112DDD">
        <w:t>consultant phys</w:t>
      </w:r>
      <w:r w:rsidR="008A140F">
        <w:t>ician attendance</w:t>
      </w:r>
      <w:r w:rsidRPr="00F12C22">
        <w:t xml:space="preserve"> items 1</w:t>
      </w:r>
      <w:r w:rsidR="00A6175E">
        <w:t>1</w:t>
      </w:r>
      <w:r w:rsidRPr="00F12C22">
        <w:t>0</w:t>
      </w:r>
      <w:r w:rsidR="00D81AD7">
        <w:rPr>
          <w:rStyle w:val="FootnoteReference"/>
        </w:rPr>
        <w:footnoteReference w:id="11"/>
      </w:r>
      <w:r w:rsidRPr="00F12C22">
        <w:t xml:space="preserve"> and 1</w:t>
      </w:r>
      <w:r w:rsidR="00A6175E">
        <w:t>16</w:t>
      </w:r>
      <w:r w:rsidR="00D81AD7">
        <w:rPr>
          <w:rStyle w:val="FootnoteReference"/>
        </w:rPr>
        <w:footnoteReference w:id="12"/>
      </w:r>
      <w:r w:rsidRPr="00F12C22">
        <w:t xml:space="preserve"> may be applicable:</w:t>
      </w:r>
    </w:p>
    <w:p w14:paraId="75D28CD5" w14:textId="13D1A988" w:rsidR="00EF7BE9" w:rsidRPr="00F12C22" w:rsidRDefault="00EF7BE9" w:rsidP="00EF7BE9">
      <w:r w:rsidRPr="00F12C22">
        <w:rPr>
          <w:iCs/>
        </w:rPr>
        <w:t>The overall consensus is that further tests are required for people with indeterminate (e.g.</w:t>
      </w:r>
      <w:r w:rsidR="00D464A3">
        <w:rPr>
          <w:iCs/>
        </w:rPr>
        <w:t>,</w:t>
      </w:r>
      <w:r w:rsidRPr="00F12C22">
        <w:rPr>
          <w:iCs/>
        </w:rPr>
        <w:t xml:space="preserve"> FIB-4 test scores of 1.3-2.7</w:t>
      </w:r>
      <w:r w:rsidR="006221DF" w:rsidRPr="00F12C22">
        <w:rPr>
          <w:iCs/>
        </w:rPr>
        <w:t>; GESA 2024</w:t>
      </w:r>
      <w:r w:rsidRPr="00F12C22">
        <w:rPr>
          <w:iCs/>
        </w:rPr>
        <w:t xml:space="preserve">) or </w:t>
      </w:r>
      <w:r w:rsidR="005A2106" w:rsidRPr="00F12C22">
        <w:rPr>
          <w:iCs/>
        </w:rPr>
        <w:t>indetermina</w:t>
      </w:r>
      <w:r w:rsidR="005A2106">
        <w:rPr>
          <w:iCs/>
        </w:rPr>
        <w:t>te</w:t>
      </w:r>
      <w:r w:rsidR="005A2106" w:rsidRPr="00F12C22">
        <w:rPr>
          <w:iCs/>
        </w:rPr>
        <w:t xml:space="preserve"> </w:t>
      </w:r>
      <w:r w:rsidR="006221DF" w:rsidRPr="00F12C22">
        <w:rPr>
          <w:iCs/>
        </w:rPr>
        <w:t xml:space="preserve">to </w:t>
      </w:r>
      <w:r w:rsidRPr="00F12C22">
        <w:rPr>
          <w:iCs/>
        </w:rPr>
        <w:t>high-risk scores (e.g.</w:t>
      </w:r>
      <w:r w:rsidR="00D464A3">
        <w:rPr>
          <w:iCs/>
        </w:rPr>
        <w:t>,</w:t>
      </w:r>
      <w:r w:rsidRPr="00F12C22">
        <w:rPr>
          <w:iCs/>
        </w:rPr>
        <w:t xml:space="preserve"> FIB-4 test score </w:t>
      </w:r>
      <w:r w:rsidR="006221DF" w:rsidRPr="00F12C22">
        <w:rPr>
          <w:rFonts w:cs="Calibri"/>
          <w:iCs/>
        </w:rPr>
        <w:t>≥</w:t>
      </w:r>
      <w:r w:rsidR="006221DF" w:rsidRPr="00F12C22">
        <w:rPr>
          <w:iCs/>
        </w:rPr>
        <w:t>1.3; EASL 2021</w:t>
      </w:r>
      <w:r w:rsidRPr="00F12C22">
        <w:rPr>
          <w:iCs/>
        </w:rPr>
        <w:t xml:space="preserve">) to confirm the diagnosis of </w:t>
      </w:r>
      <w:r w:rsidR="006221DF" w:rsidRPr="00F12C22">
        <w:rPr>
          <w:iCs/>
        </w:rPr>
        <w:t>AF</w:t>
      </w:r>
      <w:r w:rsidRPr="00F12C22">
        <w:rPr>
          <w:iCs/>
        </w:rPr>
        <w:t xml:space="preserve"> or cirrhosis.</w:t>
      </w:r>
      <w:r w:rsidRPr="00F12C22">
        <w:t xml:space="preserve"> </w:t>
      </w:r>
      <w:r w:rsidRPr="00F12C22">
        <w:rPr>
          <w:iCs/>
        </w:rPr>
        <w:t xml:space="preserve">Liver elastography (including </w:t>
      </w:r>
      <w:r w:rsidR="00823CCA" w:rsidRPr="00F12C22">
        <w:rPr>
          <w:iCs/>
        </w:rPr>
        <w:t>VCTE™</w:t>
      </w:r>
      <w:r w:rsidRPr="00F12C22">
        <w:rPr>
          <w:iCs/>
        </w:rPr>
        <w:t xml:space="preserve"> and shear wave elastography [SWE]) or a direct serum fibrosis test (including Hepascore and ELF) </w:t>
      </w:r>
      <w:r w:rsidR="002560F5" w:rsidRPr="00F12C22">
        <w:rPr>
          <w:iCs/>
        </w:rPr>
        <w:t>are</w:t>
      </w:r>
      <w:r w:rsidRPr="00F12C22">
        <w:rPr>
          <w:iCs/>
        </w:rPr>
        <w:t xml:space="preserve"> typically recommended for second-line evaluation of a patient with an indeterminate FIB-4 result, owing to the higher accuracy of these tests (GESA 2024</w:t>
      </w:r>
      <w:r w:rsidR="006221DF" w:rsidRPr="00F12C22">
        <w:rPr>
          <w:iCs/>
        </w:rPr>
        <w:t>; EASL 2021</w:t>
      </w:r>
      <w:r w:rsidRPr="00F12C22">
        <w:rPr>
          <w:iCs/>
        </w:rPr>
        <w:t>).</w:t>
      </w:r>
    </w:p>
    <w:p w14:paraId="00B8384D" w14:textId="77777777" w:rsidR="00DF7C7C" w:rsidRDefault="00970AC1" w:rsidP="0090217F">
      <w:pPr>
        <w:rPr>
          <w:i/>
        </w:rPr>
      </w:pPr>
      <w:r w:rsidRPr="00970AC1">
        <w:rPr>
          <w:i/>
        </w:rPr>
        <w:t xml:space="preserve">PASC did not consider the proposed test comparator, ultrasound, to be appropriate, since ultrasound is not able to accurately assess liver fibrosis. PASC noted that the GESA guidelines included alternative tests for the diagnosis of fibrosis, namely SWE and direct serum fibrosis tests, neither of which are currently MBS-listed. </w:t>
      </w:r>
    </w:p>
    <w:p w14:paraId="63AB911B" w14:textId="02A525E7" w:rsidR="001D05CD" w:rsidRDefault="00970AC1" w:rsidP="0090217F">
      <w:pPr>
        <w:rPr>
          <w:i/>
        </w:rPr>
      </w:pPr>
      <w:r w:rsidRPr="00F42687">
        <w:rPr>
          <w:iCs/>
        </w:rPr>
        <w:t>T</w:t>
      </w:r>
      <w:r w:rsidR="00994090" w:rsidRPr="00F42687">
        <w:rPr>
          <w:iCs/>
        </w:rPr>
        <w:t xml:space="preserve">he MSAC guidelines </w:t>
      </w:r>
      <w:r w:rsidR="00960642" w:rsidRPr="00F42687">
        <w:rPr>
          <w:iCs/>
        </w:rPr>
        <w:t>indicate</w:t>
      </w:r>
      <w:r w:rsidR="00994090" w:rsidRPr="00F42687">
        <w:rPr>
          <w:iCs/>
        </w:rPr>
        <w:t xml:space="preserve"> that</w:t>
      </w:r>
      <w:r w:rsidR="00B628C8" w:rsidRPr="00F42687">
        <w:rPr>
          <w:iCs/>
        </w:rPr>
        <w:t xml:space="preserve"> public funding is an indicator of established cost-effectiveness</w:t>
      </w:r>
      <w:r w:rsidR="00960642" w:rsidRPr="00F42687">
        <w:rPr>
          <w:iCs/>
        </w:rPr>
        <w:t>.</w:t>
      </w:r>
      <w:r w:rsidR="00994090" w:rsidRPr="00F42687">
        <w:rPr>
          <w:iCs/>
        </w:rPr>
        <w:t xml:space="preserve"> </w:t>
      </w:r>
      <w:r w:rsidR="00960642" w:rsidRPr="00F42687">
        <w:rPr>
          <w:iCs/>
        </w:rPr>
        <w:t>N</w:t>
      </w:r>
      <w:r w:rsidR="00311A5C" w:rsidRPr="00F42687">
        <w:rPr>
          <w:iCs/>
        </w:rPr>
        <w:t>on-publicly funded comparators may be used, but “</w:t>
      </w:r>
      <w:r w:rsidR="00A26764" w:rsidRPr="00F42687">
        <w:rPr>
          <w:iCs/>
        </w:rPr>
        <w:t>where the comparator is funded under a different source, and the cost-effectiveness of the comparator is unknown,</w:t>
      </w:r>
      <w:r w:rsidR="00311A5C" w:rsidRPr="00F42687">
        <w:rPr>
          <w:iCs/>
        </w:rPr>
        <w:t xml:space="preserve"> the cost-effectiveness of both the comparator and the intervention may need to be established”</w:t>
      </w:r>
      <w:r w:rsidR="00CE65FD" w:rsidRPr="00F42687">
        <w:rPr>
          <w:iCs/>
        </w:rPr>
        <w:t xml:space="preserve"> (Guidelines for preparing assessments for the Medical Services Advisory Committee</w:t>
      </w:r>
      <w:r w:rsidR="006221DF" w:rsidRPr="00F42687">
        <w:rPr>
          <w:iCs/>
        </w:rPr>
        <w:t>, p36</w:t>
      </w:r>
      <w:r w:rsidR="00CE65FD" w:rsidRPr="00F42687">
        <w:rPr>
          <w:iCs/>
        </w:rPr>
        <w:t>)</w:t>
      </w:r>
      <w:r w:rsidR="00CE65FD" w:rsidRPr="00F42687">
        <w:rPr>
          <w:rStyle w:val="FootnoteReference"/>
          <w:iCs/>
        </w:rPr>
        <w:footnoteReference w:id="13"/>
      </w:r>
      <w:r w:rsidR="00311A5C" w:rsidRPr="00F42687">
        <w:rPr>
          <w:iCs/>
        </w:rPr>
        <w:t>.</w:t>
      </w:r>
      <w:r w:rsidR="007C1940" w:rsidRPr="00F12C22">
        <w:rPr>
          <w:i/>
        </w:rPr>
        <w:t xml:space="preserve"> </w:t>
      </w:r>
    </w:p>
    <w:p w14:paraId="25FFAE42" w14:textId="63B89617" w:rsidR="000931B9" w:rsidRPr="00F12C22" w:rsidRDefault="00970AC1" w:rsidP="0090217F">
      <w:pPr>
        <w:rPr>
          <w:i/>
        </w:rPr>
      </w:pPr>
      <w:r w:rsidRPr="00970AC1">
        <w:rPr>
          <w:i/>
        </w:rPr>
        <w:t>PASC noted that SWE was available as an add-on to standard ultrasound equipment and available in public and private radiology clinics. PASC noted the applicant’s comments that the method was less well-validated than VCTE™. With respect to direct fibrosis serum tests, PASC noted there are 2 available in Australia – ELF and Hepascore</w:t>
      </w:r>
      <w:r w:rsidR="009F1587">
        <w:rPr>
          <w:i/>
        </w:rPr>
        <w:t>.</w:t>
      </w:r>
    </w:p>
    <w:p w14:paraId="12452A1C" w14:textId="5BF6B896" w:rsidR="00BA08D8" w:rsidRPr="00F12C22" w:rsidRDefault="00BA08D8" w:rsidP="003E731E">
      <w:r w:rsidRPr="00F12C22">
        <w:lastRenderedPageBreak/>
        <w:t xml:space="preserve">In </w:t>
      </w:r>
      <w:r w:rsidR="00B47375" w:rsidRPr="00F12C22">
        <w:t xml:space="preserve">MSAC </w:t>
      </w:r>
      <w:r w:rsidRPr="00F12C22">
        <w:t xml:space="preserve">application </w:t>
      </w:r>
      <w:r w:rsidR="00337E6D" w:rsidRPr="00F12C22">
        <w:t>1366</w:t>
      </w:r>
      <w:r w:rsidRPr="00F12C22">
        <w:t xml:space="preserve"> </w:t>
      </w:r>
      <w:r w:rsidR="00E57C73" w:rsidRPr="00F12C22">
        <w:t>for</w:t>
      </w:r>
      <w:r w:rsidRPr="00F12C22">
        <w:t xml:space="preserve"> </w:t>
      </w:r>
      <w:r w:rsidR="00B47375" w:rsidRPr="00F12C22">
        <w:t>transient elastography (TE)</w:t>
      </w:r>
      <w:r w:rsidRPr="00F12C22">
        <w:t xml:space="preserve"> for patients with chronic hepatitis B or chronic hepatitis C</w:t>
      </w:r>
      <w:r w:rsidR="001859F3" w:rsidRPr="00F12C22">
        <w:t>,</w:t>
      </w:r>
      <w:r w:rsidRPr="00F12C22">
        <w:t xml:space="preserve"> MSAC considered that the most appropriate comparator for TE was clinical assessment rather than liver biopsy</w:t>
      </w:r>
      <w:r w:rsidR="00B47375" w:rsidRPr="00F12C22">
        <w:t xml:space="preserve"> (MSAC 1366 PSD, p2).</w:t>
      </w:r>
      <w:r w:rsidRPr="00F12C22">
        <w:t xml:space="preserve"> </w:t>
      </w:r>
      <w:r w:rsidR="00973BA1" w:rsidRPr="00F12C22">
        <w:t xml:space="preserve">Alternative comparators were not presented. </w:t>
      </w:r>
      <w:r w:rsidRPr="00F12C22">
        <w:t>Although liver biopsy is an appropriate reference standard for the assessment of analytical validity (</w:t>
      </w:r>
      <w:r w:rsidRPr="00F12C22">
        <w:rPr>
          <w:iCs/>
        </w:rPr>
        <w:t>see below</w:t>
      </w:r>
      <w:r w:rsidRPr="00F12C22">
        <w:t>), it is invasive, associated with a risk of complications and is not routinely done. Clinical assessment is inherently complex and involves all the clinical and laboratory tests (used in combination) routinely performed in patients with liver disease</w:t>
      </w:r>
      <w:r w:rsidR="005A1CFB" w:rsidRPr="00F12C22">
        <w:t xml:space="preserve"> (</w:t>
      </w:r>
      <w:r w:rsidR="00A202B2" w:rsidRPr="00F12C22">
        <w:t xml:space="preserve">MSAC </w:t>
      </w:r>
      <w:r w:rsidR="005A1CFB" w:rsidRPr="00F12C22">
        <w:t>1366 PSD, p2).</w:t>
      </w:r>
      <w:r w:rsidR="00BE05C0" w:rsidRPr="00F12C22">
        <w:t xml:space="preserve"> </w:t>
      </w:r>
      <w:r w:rsidR="007523AD" w:rsidRPr="00F12C22">
        <w:t xml:space="preserve">In the context of the Hepascore </w:t>
      </w:r>
      <w:r w:rsidR="00AE5C9E" w:rsidRPr="00F12C22">
        <w:t xml:space="preserve">application </w:t>
      </w:r>
      <w:r w:rsidR="007523AD" w:rsidRPr="00F12C22">
        <w:t>(</w:t>
      </w:r>
      <w:r w:rsidR="00A202B2" w:rsidRPr="00F12C22">
        <w:t xml:space="preserve">MSAC </w:t>
      </w:r>
      <w:r w:rsidR="007523AD" w:rsidRPr="00F12C22">
        <w:t>1446)</w:t>
      </w:r>
      <w:r w:rsidR="001859F3" w:rsidRPr="00F12C22">
        <w:t>,</w:t>
      </w:r>
      <w:r w:rsidR="00757BE5" w:rsidRPr="00F12C22">
        <w:t xml:space="preserve"> MSAC </w:t>
      </w:r>
      <w:r w:rsidR="00A56737" w:rsidRPr="00F12C22">
        <w:t>stated that</w:t>
      </w:r>
      <w:r w:rsidR="007523AD" w:rsidRPr="00F12C22">
        <w:t xml:space="preserve"> </w:t>
      </w:r>
      <w:r w:rsidR="00A56737" w:rsidRPr="00F12C22">
        <w:t>t</w:t>
      </w:r>
      <w:r w:rsidR="00BE05C0" w:rsidRPr="00F12C22">
        <w:t>he proposed comparator for both populations is usual clinical assessment that includes medical history, physical examination, LFTs, full blood count, international normalised ratio (INR), aspartate aminotransferase-to-platelet ratio index (APRI) and liver ultrasound where available</w:t>
      </w:r>
      <w:r w:rsidR="00B47375" w:rsidRPr="00F12C22">
        <w:t xml:space="preserve"> (MSAC 1446 PSD, p9)</w:t>
      </w:r>
      <w:r w:rsidR="00A56737" w:rsidRPr="00F12C22">
        <w:t>.</w:t>
      </w:r>
    </w:p>
    <w:p w14:paraId="7B352947" w14:textId="37E388F8" w:rsidR="00111D7A" w:rsidRPr="00F12C22" w:rsidRDefault="003E748C" w:rsidP="003E731E">
      <w:r w:rsidRPr="00F12C22">
        <w:t>T</w:t>
      </w:r>
      <w:r w:rsidR="00B526A8" w:rsidRPr="00F12C22">
        <w:t>he</w:t>
      </w:r>
      <w:r w:rsidR="00C1129F" w:rsidRPr="00F12C22">
        <w:t xml:space="preserve"> applica</w:t>
      </w:r>
      <w:r w:rsidR="00B47375" w:rsidRPr="00F12C22">
        <w:t>nt’s</w:t>
      </w:r>
      <w:r w:rsidR="00C1129F" w:rsidRPr="00F12C22">
        <w:t xml:space="preserve"> expert stat</w:t>
      </w:r>
      <w:r w:rsidRPr="00F12C22">
        <w:t>ed</w:t>
      </w:r>
      <w:r w:rsidR="00C1129F" w:rsidRPr="00F12C22">
        <w:t xml:space="preserve"> that </w:t>
      </w:r>
      <w:r w:rsidR="00B526A8" w:rsidRPr="00F12C22">
        <w:t xml:space="preserve">the first step </w:t>
      </w:r>
      <w:r w:rsidR="00D56641" w:rsidRPr="00F12C22">
        <w:t xml:space="preserve">in general practice </w:t>
      </w:r>
      <w:r w:rsidR="00B526A8" w:rsidRPr="00F12C22">
        <w:t xml:space="preserve">is LFT, then ultrasound </w:t>
      </w:r>
      <w:r w:rsidR="00E67AA0">
        <w:t>and</w:t>
      </w:r>
      <w:r w:rsidR="00E67AA0" w:rsidRPr="00F12C22">
        <w:t xml:space="preserve"> </w:t>
      </w:r>
      <w:r w:rsidR="00B526A8" w:rsidRPr="00F12C22">
        <w:t xml:space="preserve">more tests to exclude hemochromatosis </w:t>
      </w:r>
      <w:r w:rsidR="00BC471A" w:rsidRPr="00F12C22">
        <w:t>and</w:t>
      </w:r>
      <w:r w:rsidR="00B526A8" w:rsidRPr="00F12C22">
        <w:t xml:space="preserve"> hepatitis, </w:t>
      </w:r>
      <w:r w:rsidR="00E67AA0">
        <w:t xml:space="preserve">followed by </w:t>
      </w:r>
      <w:r w:rsidR="009E703F" w:rsidRPr="00F12C22">
        <w:t>referral to a specialty clinic for thorough evaluation</w:t>
      </w:r>
      <w:r w:rsidR="00E67AA0">
        <w:t xml:space="preserve"> if needed</w:t>
      </w:r>
      <w:r w:rsidR="009E703F" w:rsidRPr="00F12C22">
        <w:t>,</w:t>
      </w:r>
      <w:r w:rsidR="004744E3" w:rsidRPr="00F12C22">
        <w:t xml:space="preserve"> </w:t>
      </w:r>
      <w:r w:rsidR="009E703F" w:rsidRPr="00F12C22">
        <w:t>including fibrosis assessment using transient</w:t>
      </w:r>
      <w:r w:rsidR="004744E3" w:rsidRPr="00F12C22">
        <w:t xml:space="preserve"> </w:t>
      </w:r>
      <w:r w:rsidR="009E703F" w:rsidRPr="00F12C22">
        <w:t>elastography—</w:t>
      </w:r>
      <w:r w:rsidR="00823CCA" w:rsidRPr="00F12C22">
        <w:t>VCTE™</w:t>
      </w:r>
      <w:r w:rsidR="009E703F" w:rsidRPr="00F12C22">
        <w:t xml:space="preserve">. </w:t>
      </w:r>
      <w:r w:rsidR="00BA2524" w:rsidRPr="00F12C22">
        <w:t>The applica</w:t>
      </w:r>
      <w:r w:rsidR="00B47375" w:rsidRPr="00F12C22">
        <w:t>nt</w:t>
      </w:r>
      <w:r w:rsidR="00111D7A" w:rsidRPr="00F12C22">
        <w:t xml:space="preserve"> </w:t>
      </w:r>
      <w:r w:rsidR="00A0721B" w:rsidRPr="00F12C22">
        <w:t xml:space="preserve">advised </w:t>
      </w:r>
      <w:r w:rsidR="00711D2C" w:rsidRPr="00F12C22">
        <w:t xml:space="preserve">that they </w:t>
      </w:r>
      <w:r w:rsidR="00111D7A" w:rsidRPr="00F12C22">
        <w:t xml:space="preserve">do not advocate using </w:t>
      </w:r>
      <w:r w:rsidR="00823CCA" w:rsidRPr="00F12C22">
        <w:t>VCTE™</w:t>
      </w:r>
      <w:r w:rsidR="00111D7A" w:rsidRPr="00F12C22">
        <w:t xml:space="preserve"> for screening (e.g.</w:t>
      </w:r>
      <w:r w:rsidR="00B47375" w:rsidRPr="00F12C22">
        <w:t>,</w:t>
      </w:r>
      <w:r w:rsidR="00111D7A" w:rsidRPr="00F12C22">
        <w:t xml:space="preserve"> with CAP) </w:t>
      </w:r>
      <w:r w:rsidR="00B47375" w:rsidRPr="00F12C22">
        <w:t>in the</w:t>
      </w:r>
      <w:r w:rsidR="00111D7A" w:rsidRPr="00F12C22">
        <w:t xml:space="preserve"> primary care population for fatty liver disease or fibrosis, but they ask GPs to look at risk groups (T2DM and obese) and think about fatty liver disease. </w:t>
      </w:r>
      <w:r w:rsidR="00ED069E" w:rsidRPr="00F12C22">
        <w:t>Elsewhere</w:t>
      </w:r>
      <w:r w:rsidR="00B40D78">
        <w:t>,</w:t>
      </w:r>
      <w:r w:rsidR="00ED069E" w:rsidRPr="00F12C22">
        <w:t xml:space="preserve"> the applica</w:t>
      </w:r>
      <w:r w:rsidR="00B47375" w:rsidRPr="00F12C22">
        <w:t>nt’s</w:t>
      </w:r>
      <w:r w:rsidR="00ED069E" w:rsidRPr="00F12C22">
        <w:t xml:space="preserve"> expert suggested that</w:t>
      </w:r>
      <w:r w:rsidR="00A15FB7" w:rsidRPr="00F12C22">
        <w:t>,</w:t>
      </w:r>
      <w:r w:rsidR="00ED069E" w:rsidRPr="00F12C22">
        <w:t xml:space="preserve"> in the absence of </w:t>
      </w:r>
      <w:r w:rsidR="00823CCA" w:rsidRPr="00F12C22">
        <w:t>VCTE™</w:t>
      </w:r>
      <w:r w:rsidR="00B47375" w:rsidRPr="00F12C22">
        <w:t>,</w:t>
      </w:r>
      <w:r w:rsidR="00ED069E" w:rsidRPr="00F12C22">
        <w:t xml:space="preserve"> ultrasound should be done at least annually</w:t>
      </w:r>
      <w:r w:rsidR="00A263E0" w:rsidRPr="00F12C22">
        <w:t xml:space="preserve"> (presumably in the MAFLD population, with uncertain FIB-4 </w:t>
      </w:r>
      <w:r w:rsidR="006125F8" w:rsidRPr="00F12C22">
        <w:t xml:space="preserve">scores </w:t>
      </w:r>
      <w:r w:rsidR="00B47375" w:rsidRPr="00F12C22">
        <w:t xml:space="preserve">ranging </w:t>
      </w:r>
      <w:r w:rsidR="006125F8" w:rsidRPr="00F12C22">
        <w:t>from 1.3 to 2.7)</w:t>
      </w:r>
      <w:r w:rsidR="00ED069E" w:rsidRPr="00F12C22">
        <w:t xml:space="preserve">. </w:t>
      </w:r>
      <w:r w:rsidR="00B47375" w:rsidRPr="00F12C22">
        <w:t>C</w:t>
      </w:r>
      <w:r w:rsidR="00ED069E" w:rsidRPr="00F12C22">
        <w:t xml:space="preserve">urrent practice (although this is not protocolised) is GPs </w:t>
      </w:r>
      <w:r w:rsidR="00B47375" w:rsidRPr="00F12C22">
        <w:t>conducting</w:t>
      </w:r>
      <w:r w:rsidR="00ED069E" w:rsidRPr="00F12C22">
        <w:t xml:space="preserve"> LF</w:t>
      </w:r>
      <w:r w:rsidR="00B47375" w:rsidRPr="00F12C22">
        <w:t>Ts</w:t>
      </w:r>
      <w:r w:rsidR="00ED069E" w:rsidRPr="00F12C22">
        <w:t xml:space="preserve"> and monitoring ultrasounds and then referring patients to specialists</w:t>
      </w:r>
      <w:r w:rsidR="00736212" w:rsidRPr="00F12C22">
        <w:t xml:space="preserve"> if results are abnormal</w:t>
      </w:r>
      <w:r w:rsidR="00ED069E" w:rsidRPr="00F12C22">
        <w:t>.</w:t>
      </w:r>
    </w:p>
    <w:p w14:paraId="5CEB9133" w14:textId="6A25E564" w:rsidR="00C33A11" w:rsidRPr="00F12C22" w:rsidRDefault="00AF14B3" w:rsidP="003E731E">
      <w:r w:rsidRPr="00F12C22">
        <w:t xml:space="preserve">The application stated that the </w:t>
      </w:r>
      <w:r w:rsidR="00823CCA" w:rsidRPr="00F12C22">
        <w:t>VCTE™</w:t>
      </w:r>
      <w:r w:rsidR="006C103B" w:rsidRPr="00F12C22">
        <w:t xml:space="preserve"> is anticipated to become the primary tool for assessing </w:t>
      </w:r>
      <w:r w:rsidR="000A4A3F" w:rsidRPr="00F12C22">
        <w:t>AF</w:t>
      </w:r>
      <w:r w:rsidR="006C103B" w:rsidRPr="00F12C22">
        <w:t xml:space="preserve"> and accurately staging liver fibrosis in MAFLD patients within high need primary care settings</w:t>
      </w:r>
      <w:r w:rsidR="0015264D" w:rsidRPr="00F12C22">
        <w:t>;</w:t>
      </w:r>
      <w:r w:rsidR="006C103B" w:rsidRPr="00F12C22">
        <w:t xml:space="preserve"> </w:t>
      </w:r>
      <w:r w:rsidR="0015264D" w:rsidRPr="00F12C22">
        <w:t>h</w:t>
      </w:r>
      <w:r w:rsidR="006C103B" w:rsidRPr="00F12C22">
        <w:t xml:space="preserve">owever, ultrasound will not be fully replaced by </w:t>
      </w:r>
      <w:r w:rsidR="00823CCA" w:rsidRPr="00F12C22">
        <w:t>VCTE™</w:t>
      </w:r>
      <w:r w:rsidR="006C103B" w:rsidRPr="00F12C22">
        <w:t xml:space="preserve"> but used as an additional tool following </w:t>
      </w:r>
      <w:r w:rsidR="00823CCA" w:rsidRPr="00F12C22">
        <w:t>VCTE™</w:t>
      </w:r>
      <w:r w:rsidR="006C103B" w:rsidRPr="00F12C22">
        <w:t xml:space="preserve"> where needed</w:t>
      </w:r>
      <w:r w:rsidR="00C33A11" w:rsidRPr="00F12C22">
        <w:t xml:space="preserve"> (PICO,</w:t>
      </w:r>
      <w:r w:rsidR="00B47375" w:rsidRPr="00F12C22">
        <w:t xml:space="preserve"> Set 1</w:t>
      </w:r>
      <w:r w:rsidR="00C33A11" w:rsidRPr="00F12C22">
        <w:t xml:space="preserve"> p12)</w:t>
      </w:r>
      <w:r w:rsidR="006C103B" w:rsidRPr="00F12C22">
        <w:t xml:space="preserve">. </w:t>
      </w:r>
      <w:r w:rsidR="0015264D" w:rsidRPr="00F12C22">
        <w:t xml:space="preserve">Similarly, PICO Set 2 (p11) stated that </w:t>
      </w:r>
      <w:r w:rsidR="00823CCA" w:rsidRPr="00F12C22">
        <w:t>VCTE™</w:t>
      </w:r>
      <w:r w:rsidR="0015264D" w:rsidRPr="00F12C22">
        <w:t xml:space="preserve"> is expected to partially displace ultrasound to determine extent of AF and accurate staging of liver fibrosis in people with MAFLD. </w:t>
      </w:r>
      <w:r w:rsidR="00B47375" w:rsidRPr="00F12C22">
        <w:t>The application further stated</w:t>
      </w:r>
      <w:r w:rsidR="000F001A" w:rsidRPr="00F12C22">
        <w:t xml:space="preserve"> that</w:t>
      </w:r>
      <w:r w:rsidR="009D504C" w:rsidRPr="00F12C22">
        <w:t xml:space="preserve"> specific diagnostic NITs such as </w:t>
      </w:r>
      <w:r w:rsidR="00823CCA" w:rsidRPr="00F12C22">
        <w:t>VCTE™</w:t>
      </w:r>
      <w:r w:rsidR="009D504C" w:rsidRPr="00F12C22">
        <w:t xml:space="preserve"> are required for accurate staging of liver fibrosis in people with MAFLD. Although ultrasound has clinical utility in determining hepatic steatosis and assessing the anatomy of the liver, it </w:t>
      </w:r>
      <w:r w:rsidR="007425AC" w:rsidRPr="00F12C22">
        <w:t>appears that it will be</w:t>
      </w:r>
      <w:r w:rsidR="009D504C" w:rsidRPr="00F12C22">
        <w:t xml:space="preserve"> partially displaced </w:t>
      </w:r>
      <w:r w:rsidR="007425AC" w:rsidRPr="00F12C22">
        <w:t>by VCTE™</w:t>
      </w:r>
      <w:r w:rsidR="009D504C" w:rsidRPr="00F12C22">
        <w:t xml:space="preserve"> in the continuum of care for patients with MAFLD</w:t>
      </w:r>
      <w:r w:rsidR="0015264D" w:rsidRPr="00F12C22">
        <w:t xml:space="preserve"> (PICO Set 1, p13; PICO Set 2, p11)</w:t>
      </w:r>
      <w:r w:rsidR="009D504C" w:rsidRPr="00F12C22">
        <w:t>.</w:t>
      </w:r>
    </w:p>
    <w:p w14:paraId="78C7E74C" w14:textId="0D91177F" w:rsidR="007477E4" w:rsidRPr="00F12C22" w:rsidRDefault="00642FB0" w:rsidP="003E731E">
      <w:r w:rsidRPr="00F12C22">
        <w:t>MSAC Application 1446 (</w:t>
      </w:r>
      <w:r w:rsidR="0015264D" w:rsidRPr="00F12C22">
        <w:t xml:space="preserve">MSAC 1446 </w:t>
      </w:r>
      <w:r w:rsidR="00007376" w:rsidRPr="00F12C22">
        <w:t xml:space="preserve">PSD </w:t>
      </w:r>
      <w:r w:rsidRPr="00F12C22">
        <w:t xml:space="preserve">p2 and 19) noted that </w:t>
      </w:r>
      <w:r w:rsidR="00B523A2">
        <w:t>FibroScan®</w:t>
      </w:r>
      <w:r w:rsidRPr="00F12C22">
        <w:t xml:space="preserve"> is routinely used in public hospitals</w:t>
      </w:r>
      <w:r w:rsidR="00E42824">
        <w:t>,</w:t>
      </w:r>
      <w:r w:rsidRPr="00F12C22">
        <w:t xml:space="preserve"> and that </w:t>
      </w:r>
      <w:r w:rsidR="00B523A2">
        <w:t>FibroScan®</w:t>
      </w:r>
      <w:r w:rsidRPr="00F12C22">
        <w:t xml:space="preserve"> and </w:t>
      </w:r>
      <w:r w:rsidR="0035348F" w:rsidRPr="00F12C22">
        <w:t>the ELF</w:t>
      </w:r>
      <w:r w:rsidRPr="00F12C22">
        <w:t xml:space="preserve"> test are routinely performed for patients in rural and remote areas and </w:t>
      </w:r>
      <w:r w:rsidR="00BF264B">
        <w:t>are</w:t>
      </w:r>
      <w:r w:rsidRPr="00F12C22">
        <w:t xml:space="preserve"> usually paid for by local health services. </w:t>
      </w:r>
      <w:r w:rsidR="007477E4" w:rsidRPr="00F12C22">
        <w:t xml:space="preserve">MSAC also considered liver ultrasound may include </w:t>
      </w:r>
      <w:r w:rsidR="005B5A4C" w:rsidRPr="00F12C22">
        <w:t>SWE</w:t>
      </w:r>
      <w:r w:rsidR="00AF440D" w:rsidRPr="00F12C22">
        <w:t>,</w:t>
      </w:r>
      <w:r w:rsidR="007477E4" w:rsidRPr="00F12C22">
        <w:t xml:space="preserve"> but</w:t>
      </w:r>
      <w:r w:rsidR="00AF440D" w:rsidRPr="00F12C22">
        <w:t xml:space="preserve"> noted that</w:t>
      </w:r>
      <w:r w:rsidR="007477E4" w:rsidRPr="00F12C22">
        <w:t xml:space="preserve"> this is considered less effective than </w:t>
      </w:r>
      <w:r w:rsidR="005B5A4C" w:rsidRPr="00F12C22">
        <w:t>TE</w:t>
      </w:r>
      <w:r w:rsidR="00457268" w:rsidRPr="00F12C22">
        <w:t xml:space="preserve"> in detecting fibrosis</w:t>
      </w:r>
      <w:r w:rsidR="007477E4" w:rsidRPr="00F12C22">
        <w:t>. MSAC acknowledged that Hepascore may be of value in rural and remote areas where transient elastography is less accessible</w:t>
      </w:r>
      <w:r w:rsidR="0015264D" w:rsidRPr="00F12C22">
        <w:t>.</w:t>
      </w:r>
    </w:p>
    <w:p w14:paraId="22F907A5" w14:textId="26034CB3" w:rsidR="00291D89" w:rsidRDefault="00291D89" w:rsidP="003E731E">
      <w:pPr>
        <w:rPr>
          <w:i/>
        </w:rPr>
      </w:pPr>
      <w:r w:rsidRPr="00F42687">
        <w:rPr>
          <w:iCs/>
        </w:rPr>
        <w:t xml:space="preserve">The </w:t>
      </w:r>
      <w:r w:rsidR="00A620B1">
        <w:rPr>
          <w:iCs/>
        </w:rPr>
        <w:t>d</w:t>
      </w:r>
      <w:r w:rsidRPr="00F42687">
        <w:rPr>
          <w:iCs/>
        </w:rPr>
        <w:t>epartment also note</w:t>
      </w:r>
      <w:r w:rsidR="00970AC1">
        <w:rPr>
          <w:iCs/>
        </w:rPr>
        <w:t>d</w:t>
      </w:r>
      <w:r w:rsidRPr="00F42687">
        <w:rPr>
          <w:iCs/>
        </w:rPr>
        <w:t xml:space="preserve"> that </w:t>
      </w:r>
      <w:r w:rsidR="0749D194" w:rsidRPr="00F42687">
        <w:rPr>
          <w:iCs/>
        </w:rPr>
        <w:t xml:space="preserve">clinical assessment, the provision of management advice and </w:t>
      </w:r>
      <w:r w:rsidR="00117A15" w:rsidRPr="00F42687">
        <w:rPr>
          <w:iCs/>
        </w:rPr>
        <w:t>VCTE™</w:t>
      </w:r>
      <w:r w:rsidRPr="00F42687">
        <w:rPr>
          <w:iCs/>
        </w:rPr>
        <w:t>, when performed by a medical practitioner, can already be rebated via MBS attendance items</w:t>
      </w:r>
      <w:r w:rsidR="00ED3FA1" w:rsidRPr="00F42687">
        <w:rPr>
          <w:iCs/>
        </w:rPr>
        <w:t xml:space="preserve"> (as discussed in the Intervention section)</w:t>
      </w:r>
      <w:r w:rsidRPr="00F42687">
        <w:rPr>
          <w:iCs/>
        </w:rPr>
        <w:t xml:space="preserve">. </w:t>
      </w:r>
    </w:p>
    <w:p w14:paraId="6560831E" w14:textId="7B8FD54A" w:rsidR="00713D9D" w:rsidRDefault="00970AC1" w:rsidP="003E731E">
      <w:pPr>
        <w:rPr>
          <w:i/>
        </w:rPr>
      </w:pPr>
      <w:r w:rsidRPr="00970AC1">
        <w:rPr>
          <w:i/>
        </w:rPr>
        <w:t xml:space="preserve">PASC advised that ‘standard of care’ is the most appropriate comparator since there are no MBS-listed alternative fibrosis tests. According to the current clinical management algorithm, </w:t>
      </w:r>
      <w:r w:rsidR="004A44DC">
        <w:rPr>
          <w:i/>
        </w:rPr>
        <w:t xml:space="preserve">for patients in primary care, </w:t>
      </w:r>
      <w:r w:rsidRPr="00970AC1">
        <w:rPr>
          <w:i/>
        </w:rPr>
        <w:t xml:space="preserve">this may include a referral to a specialist, or ongoing management in primary care </w:t>
      </w:r>
      <w:r w:rsidRPr="00970AC1" w:rsidDel="000F715B">
        <w:rPr>
          <w:i/>
        </w:rPr>
        <w:t>without</w:t>
      </w:r>
      <w:r w:rsidRPr="00970AC1">
        <w:rPr>
          <w:i/>
        </w:rPr>
        <w:t xml:space="preserve"> referral or further testing. It could also include other non-funded tests.</w:t>
      </w:r>
      <w:r w:rsidR="0018208F">
        <w:rPr>
          <w:i/>
        </w:rPr>
        <w:t xml:space="preserve"> </w:t>
      </w:r>
      <w:r w:rsidR="004A44DC">
        <w:rPr>
          <w:i/>
        </w:rPr>
        <w:t xml:space="preserve">In the specialist setting, standard of care may </w:t>
      </w:r>
      <w:r w:rsidR="004A44DC">
        <w:rPr>
          <w:i/>
        </w:rPr>
        <w:lastRenderedPageBreak/>
        <w:t xml:space="preserve">include </w:t>
      </w:r>
      <w:r w:rsidR="004A44DC" w:rsidRPr="006B365F">
        <w:rPr>
          <w:i/>
        </w:rPr>
        <w:t>liver ultrasound, other non-funded tests for the diagnosis of advanced fibrosis, and ongoing management</w:t>
      </w:r>
      <w:r w:rsidR="004A44DC">
        <w:rPr>
          <w:i/>
        </w:rPr>
        <w:t>.</w:t>
      </w:r>
    </w:p>
    <w:p w14:paraId="15863BAA" w14:textId="77777777" w:rsidR="00677AE3" w:rsidRPr="00F12C22" w:rsidRDefault="00677AE3" w:rsidP="00713728">
      <w:pPr>
        <w:pStyle w:val="Heading3"/>
      </w:pPr>
      <w:r w:rsidRPr="00F12C22">
        <w:t>Reference standard (for investigative technologies only)</w:t>
      </w:r>
    </w:p>
    <w:p w14:paraId="0CD8ED0A" w14:textId="37D64D55" w:rsidR="004472FB" w:rsidRPr="00F12C22" w:rsidRDefault="008F7C37" w:rsidP="00007376">
      <w:pPr>
        <w:rPr>
          <w:bCs/>
        </w:rPr>
      </w:pPr>
      <w:r w:rsidRPr="00F12C22">
        <w:rPr>
          <w:bCs/>
        </w:rPr>
        <w:t xml:space="preserve">According to GESA </w:t>
      </w:r>
      <w:r w:rsidR="003E731E" w:rsidRPr="00F12C22">
        <w:rPr>
          <w:bCs/>
        </w:rPr>
        <w:t>(</w:t>
      </w:r>
      <w:r w:rsidRPr="00F12C22">
        <w:rPr>
          <w:bCs/>
        </w:rPr>
        <w:t>2024</w:t>
      </w:r>
      <w:r w:rsidR="003E731E" w:rsidRPr="00F12C22">
        <w:rPr>
          <w:bCs/>
        </w:rPr>
        <w:t>)</w:t>
      </w:r>
      <w:r w:rsidRPr="00F12C22">
        <w:rPr>
          <w:bCs/>
        </w:rPr>
        <w:t>, liver biopsy remains the reference standard for assessment of liver fibrosis, although the accuracy of the result is influenced by the size of the tissue sample and the experience of the liver pathologist. However, liver biopsy is also invasive, costly and not scalable; hence, it is not a suitable screening test for fibrosis and has limited use in monitoring disease progression.</w:t>
      </w:r>
    </w:p>
    <w:p w14:paraId="34C00C19" w14:textId="7589217B" w:rsidR="008F7C37" w:rsidRDefault="00007376" w:rsidP="00007376">
      <w:pPr>
        <w:rPr>
          <w:bCs/>
        </w:rPr>
      </w:pPr>
      <w:r w:rsidRPr="00F12C22">
        <w:rPr>
          <w:bCs/>
        </w:rPr>
        <w:t xml:space="preserve">Similarly, liver biopsy was accepted as the reference standard for the MSAC 1446 application (MSAC 1446 PSD, p9). For MSAC 1366, MSAC considered that although liver biopsy is an appropriate reference standard for the assessment of analytical validity, it is invasive, associated with a risk of complications and is not routinely done (MSAC 1366 PSD, p2). </w:t>
      </w:r>
    </w:p>
    <w:p w14:paraId="4C206A56" w14:textId="57F6765C" w:rsidR="00372C0D" w:rsidRPr="00F42687" w:rsidRDefault="00970AC1" w:rsidP="00007376">
      <w:pPr>
        <w:rPr>
          <w:i/>
          <w:iCs/>
        </w:rPr>
      </w:pPr>
      <w:r w:rsidRPr="00970AC1">
        <w:rPr>
          <w:i/>
          <w:iCs/>
        </w:rPr>
        <w:t>PASC considered liver biopsy to be the appropriate reference standard for the assessment of the analytical validity of VCTE™, while also noting that the procedure is invasive and not suitable for widespread use in the primary care setting.</w:t>
      </w:r>
    </w:p>
    <w:p w14:paraId="29C1EA87" w14:textId="1C9DD8A8" w:rsidR="007A66C8" w:rsidRPr="00F12C22" w:rsidRDefault="007A66C8" w:rsidP="00713728">
      <w:pPr>
        <w:pStyle w:val="Heading3"/>
      </w:pPr>
      <w:r w:rsidRPr="00F12C22">
        <w:t xml:space="preserve">Outcomes </w:t>
      </w:r>
    </w:p>
    <w:p w14:paraId="413F43BF" w14:textId="01BEC3A6" w:rsidR="00955933" w:rsidRPr="00F12C22" w:rsidRDefault="00F0567C" w:rsidP="00955933">
      <w:r w:rsidRPr="00F12C22">
        <w:t xml:space="preserve">For both PICO </w:t>
      </w:r>
      <w:r w:rsidR="00F771EA">
        <w:t>s</w:t>
      </w:r>
      <w:r w:rsidRPr="00F12C22">
        <w:t>ets (1 and 2), t</w:t>
      </w:r>
      <w:r w:rsidR="00955933" w:rsidRPr="00F12C22">
        <w:t xml:space="preserve">he application proposed the following key health outcomes (health benefits) for assessing the clinical claim for </w:t>
      </w:r>
      <w:r w:rsidR="00823CCA" w:rsidRPr="00F12C22">
        <w:t>VCTE™</w:t>
      </w:r>
      <w:r w:rsidR="002E0C55" w:rsidRPr="00F12C22">
        <w:t xml:space="preserve"> </w:t>
      </w:r>
      <w:r w:rsidR="00714BAA" w:rsidRPr="00F12C22">
        <w:t>v</w:t>
      </w:r>
      <w:r w:rsidR="002E0C55" w:rsidRPr="00F12C22">
        <w:t>ersus the comparator:</w:t>
      </w:r>
    </w:p>
    <w:p w14:paraId="3316D6E5" w14:textId="0397CA54" w:rsidR="00955933" w:rsidRPr="00F12C22" w:rsidRDefault="00955933" w:rsidP="00E31D34">
      <w:pPr>
        <w:pStyle w:val="ListParagraph"/>
        <w:numPr>
          <w:ilvl w:val="0"/>
          <w:numId w:val="2"/>
        </w:numPr>
        <w:ind w:left="284" w:hanging="284"/>
      </w:pPr>
      <w:r w:rsidRPr="00F12C22">
        <w:t>Test accuracy compared to liver biopsy (reference standard)</w:t>
      </w:r>
      <w:r w:rsidR="00681419" w:rsidRPr="00F12C22">
        <w:t>.</w:t>
      </w:r>
    </w:p>
    <w:p w14:paraId="0E3EE73C" w14:textId="7139A552" w:rsidR="00955933" w:rsidRPr="00F12C22" w:rsidRDefault="00955933" w:rsidP="00E31D34">
      <w:pPr>
        <w:pStyle w:val="ListParagraph"/>
        <w:numPr>
          <w:ilvl w:val="0"/>
          <w:numId w:val="2"/>
        </w:numPr>
        <w:ind w:left="284" w:hanging="284"/>
      </w:pPr>
      <w:r w:rsidRPr="00F12C22">
        <w:t>Concordance with ultrasound</w:t>
      </w:r>
      <w:r w:rsidR="00681419" w:rsidRPr="00F12C22">
        <w:t>.</w:t>
      </w:r>
    </w:p>
    <w:p w14:paraId="556A9C49" w14:textId="2D074B73" w:rsidR="00ED0FD9" w:rsidRPr="00F12C22" w:rsidRDefault="00955933" w:rsidP="007B4890">
      <w:pPr>
        <w:pStyle w:val="ListParagraph"/>
        <w:numPr>
          <w:ilvl w:val="0"/>
          <w:numId w:val="2"/>
        </w:numPr>
        <w:ind w:left="284" w:hanging="284"/>
      </w:pPr>
      <w:r w:rsidRPr="00F12C22">
        <w:t xml:space="preserve">Prognostic accuracy compared to clinical assessment. </w:t>
      </w:r>
    </w:p>
    <w:p w14:paraId="25A27EC8" w14:textId="28D6690A" w:rsidR="00955933" w:rsidRPr="00F12C22" w:rsidRDefault="00823CCA" w:rsidP="00955933">
      <w:r w:rsidRPr="00F12C22">
        <w:t>VCTE™</w:t>
      </w:r>
      <w:r w:rsidR="00955933" w:rsidRPr="00F12C22">
        <w:t xml:space="preserve"> is anticipated to improve risk stratification of patients with mild disease and </w:t>
      </w:r>
      <w:r w:rsidR="000A4A3F" w:rsidRPr="00F12C22">
        <w:t>AF</w:t>
      </w:r>
      <w:r w:rsidR="00955933" w:rsidRPr="00F12C22">
        <w:t>, thereby providing better opportunities for lifestyle intervention and initiate surveillance for hepatocellular carcinoma (HCC) to reduce mortality.</w:t>
      </w:r>
      <w:r w:rsidR="00280B0B" w:rsidRPr="00F12C22">
        <w:t xml:space="preserve"> </w:t>
      </w:r>
    </w:p>
    <w:p w14:paraId="575E955F" w14:textId="029CA9F7" w:rsidR="00955933" w:rsidRPr="00F12C22" w:rsidRDefault="00955933" w:rsidP="00955933">
      <w:r w:rsidRPr="00F12C22">
        <w:t>Additionally</w:t>
      </w:r>
      <w:r w:rsidR="006077C6">
        <w:t>,</w:t>
      </w:r>
      <w:r w:rsidRPr="00F12C22">
        <w:t xml:space="preserve"> for PICO </w:t>
      </w:r>
      <w:r w:rsidR="0032454A">
        <w:t>s</w:t>
      </w:r>
      <w:r w:rsidR="0032454A" w:rsidRPr="00F12C22">
        <w:t xml:space="preserve">et </w:t>
      </w:r>
      <w:r w:rsidRPr="00F12C22">
        <w:t>1 (</w:t>
      </w:r>
      <w:r w:rsidR="00A273C7" w:rsidRPr="00F12C22">
        <w:t>primary care</w:t>
      </w:r>
      <w:r w:rsidRPr="00F12C22">
        <w:t xml:space="preserve">), the application proposed the resource-related health outcome of reduced referrals to </w:t>
      </w:r>
      <w:r w:rsidR="0032454A">
        <w:t>specialist</w:t>
      </w:r>
      <w:r w:rsidR="0032454A" w:rsidRPr="00F12C22">
        <w:t xml:space="preserve"> </w:t>
      </w:r>
      <w:r w:rsidRPr="00F12C22">
        <w:t>care (</w:t>
      </w:r>
      <w:r w:rsidRPr="00F771EA">
        <w:t xml:space="preserve">Hayward </w:t>
      </w:r>
      <w:r w:rsidR="00F771EA" w:rsidRPr="00F771EA">
        <w:t>202</w:t>
      </w:r>
      <w:r w:rsidR="00F771EA" w:rsidRPr="00F42687">
        <w:t>2</w:t>
      </w:r>
      <w:r w:rsidRPr="00F771EA">
        <w:t>; Brain 2020</w:t>
      </w:r>
      <w:r w:rsidRPr="00F12C22">
        <w:t xml:space="preserve">). The application claimed that incorporating </w:t>
      </w:r>
      <w:r w:rsidR="00823CCA" w:rsidRPr="00F12C22">
        <w:t>VCTE™</w:t>
      </w:r>
      <w:r w:rsidRPr="00F12C22">
        <w:t xml:space="preserve"> in primary care will lead to a change in </w:t>
      </w:r>
      <w:r w:rsidR="00D52E29" w:rsidRPr="00F12C22">
        <w:t xml:space="preserve">clinical </w:t>
      </w:r>
      <w:r w:rsidRPr="00F12C22">
        <w:t xml:space="preserve">management, reducing unnecessary referral of patients with non-advanced disease, thereby decreasing the cost to detect </w:t>
      </w:r>
      <w:r w:rsidR="000A4A3F" w:rsidRPr="00F12C22">
        <w:t>AF</w:t>
      </w:r>
      <w:r w:rsidRPr="00F12C22">
        <w:t>.</w:t>
      </w:r>
    </w:p>
    <w:p w14:paraId="62954BA8" w14:textId="45C5A8B7" w:rsidR="00955933" w:rsidRPr="00F12C22" w:rsidRDefault="00955933" w:rsidP="00955933">
      <w:r w:rsidRPr="00F12C22">
        <w:t xml:space="preserve">The application (PICO Set 1, p6) </w:t>
      </w:r>
      <w:r w:rsidR="006077C6" w:rsidRPr="00F12C22">
        <w:t>state</w:t>
      </w:r>
      <w:r w:rsidR="006077C6">
        <w:t>d</w:t>
      </w:r>
      <w:r w:rsidR="006077C6" w:rsidRPr="00F12C22">
        <w:t xml:space="preserve"> </w:t>
      </w:r>
      <w:r w:rsidR="003A2518" w:rsidRPr="00F12C22">
        <w:t xml:space="preserve">that </w:t>
      </w:r>
      <w:r w:rsidRPr="00F12C22">
        <w:t>incorporat</w:t>
      </w:r>
      <w:r w:rsidR="003A2518" w:rsidRPr="00F12C22">
        <w:t>ing</w:t>
      </w:r>
      <w:r w:rsidRPr="00F12C22">
        <w:t xml:space="preserve"> </w:t>
      </w:r>
      <w:r w:rsidR="00823CCA" w:rsidRPr="00F12C22">
        <w:t>VCTE™</w:t>
      </w:r>
      <w:r w:rsidRPr="00F12C22">
        <w:t xml:space="preserve"> in</w:t>
      </w:r>
      <w:r w:rsidR="003A2518" w:rsidRPr="00F12C22">
        <w:t>to</w:t>
      </w:r>
      <w:r w:rsidRPr="00F12C22">
        <w:t xml:space="preserve"> primary care</w:t>
      </w:r>
      <w:r w:rsidR="003A2518" w:rsidRPr="00F12C22">
        <w:t xml:space="preserve"> wil</w:t>
      </w:r>
      <w:r w:rsidR="00CE34C4" w:rsidRPr="00F12C22">
        <w:t>l address several systemic issues</w:t>
      </w:r>
      <w:r w:rsidRPr="00F12C22">
        <w:t xml:space="preserve">: </w:t>
      </w:r>
    </w:p>
    <w:p w14:paraId="14844653" w14:textId="09BA9651" w:rsidR="00955933" w:rsidRPr="00F12C22" w:rsidRDefault="00955933" w:rsidP="00E31D34">
      <w:pPr>
        <w:pStyle w:val="ListParagraph"/>
        <w:numPr>
          <w:ilvl w:val="0"/>
          <w:numId w:val="8"/>
        </w:numPr>
        <w:ind w:left="284" w:hanging="284"/>
      </w:pPr>
      <w:r w:rsidRPr="00F12C22">
        <w:t xml:space="preserve">Reduced specialist burden: enabling primary care providers to perform initial fibrosis assessments would relieve pressure on liver specialists, </w:t>
      </w:r>
      <w:r w:rsidR="00001883" w:rsidRPr="00F12C22">
        <w:t>which</w:t>
      </w:r>
      <w:r w:rsidRPr="00F12C22">
        <w:t xml:space="preserve"> may be especially beneficial for patients in rural and regional settings. As GPs would have access to </w:t>
      </w:r>
      <w:r w:rsidR="00823CCA" w:rsidRPr="00F12C22">
        <w:t>VCTE™</w:t>
      </w:r>
      <w:r w:rsidRPr="00F12C22">
        <w:t xml:space="preserve"> results, they need only refer patients with </w:t>
      </w:r>
      <w:r w:rsidR="000A4A3F" w:rsidRPr="00F12C22">
        <w:t>AF</w:t>
      </w:r>
      <w:r w:rsidRPr="00F12C22">
        <w:t xml:space="preserve"> to a liver specialist.</w:t>
      </w:r>
    </w:p>
    <w:p w14:paraId="318A8CE9" w14:textId="33D62A28" w:rsidR="00955933" w:rsidRPr="00F12C22" w:rsidRDefault="00955933" w:rsidP="00E31D34">
      <w:pPr>
        <w:pStyle w:val="ListParagraph"/>
        <w:numPr>
          <w:ilvl w:val="0"/>
          <w:numId w:val="8"/>
        </w:numPr>
        <w:ind w:left="284" w:hanging="284"/>
      </w:pPr>
      <w:r w:rsidRPr="00F12C22">
        <w:t xml:space="preserve">Improved equity of access: expanding access to </w:t>
      </w:r>
      <w:r w:rsidR="00823CCA" w:rsidRPr="00F12C22">
        <w:t>VCTE™</w:t>
      </w:r>
      <w:r w:rsidRPr="00F12C22">
        <w:t xml:space="preserve"> beyond major metropolitan centres would benefit patients in a variety of geographic areas. </w:t>
      </w:r>
      <w:r w:rsidR="00001883" w:rsidRPr="00F12C22">
        <w:t>Note that t</w:t>
      </w:r>
      <w:r w:rsidRPr="00F12C22">
        <w:t xml:space="preserve">his would be dependent on increased </w:t>
      </w:r>
      <w:r w:rsidRPr="00F12C22">
        <w:lastRenderedPageBreak/>
        <w:t xml:space="preserve">availability of </w:t>
      </w:r>
      <w:r w:rsidR="00823CCA" w:rsidRPr="00F12C22">
        <w:t>VCTE™</w:t>
      </w:r>
      <w:r w:rsidRPr="00F12C22">
        <w:t>, which would</w:t>
      </w:r>
      <w:r w:rsidR="006A49F2" w:rsidRPr="00F12C22">
        <w:t xml:space="preserve"> in turn</w:t>
      </w:r>
      <w:r w:rsidRPr="00F12C22">
        <w:t xml:space="preserve"> depend on investment in the primary care sector</w:t>
      </w:r>
      <w:r w:rsidR="00823CCA" w:rsidRPr="00F12C22">
        <w:t xml:space="preserve"> (see ‘Intervention’ for discussion)</w:t>
      </w:r>
      <w:r w:rsidRPr="00F12C22">
        <w:t>.</w:t>
      </w:r>
    </w:p>
    <w:p w14:paraId="2B4C874F" w14:textId="62326B6F" w:rsidR="00955933" w:rsidRPr="00F12C22" w:rsidRDefault="00955933" w:rsidP="00E31D34">
      <w:pPr>
        <w:pStyle w:val="ListParagraph"/>
        <w:numPr>
          <w:ilvl w:val="0"/>
          <w:numId w:val="8"/>
        </w:numPr>
        <w:ind w:left="284" w:hanging="284"/>
      </w:pPr>
      <w:r w:rsidRPr="00F12C22">
        <w:t xml:space="preserve">Improved health outcomes: Early detection and identification of high-risk patients </w:t>
      </w:r>
      <w:r w:rsidR="00990143" w:rsidRPr="00F12C22">
        <w:t xml:space="preserve">would </w:t>
      </w:r>
      <w:r w:rsidRPr="00F12C22">
        <w:t>identify individuals at high-risk of progressing to more severe liver diseases and liver cancer.</w:t>
      </w:r>
    </w:p>
    <w:p w14:paraId="31EFB22C" w14:textId="6F6B401B" w:rsidR="00955933" w:rsidRPr="00F12C22" w:rsidRDefault="00955933" w:rsidP="00955933">
      <w:r w:rsidRPr="00F12C22">
        <w:t xml:space="preserve">The application made no claims regarding </w:t>
      </w:r>
      <w:r w:rsidR="00DA474A" w:rsidRPr="00F12C22">
        <w:t xml:space="preserve">health harms or </w:t>
      </w:r>
      <w:r w:rsidRPr="00F12C22">
        <w:t>the value of knowing.</w:t>
      </w:r>
    </w:p>
    <w:p w14:paraId="33FAA1E5" w14:textId="10E3646D" w:rsidR="007839C5" w:rsidRPr="00F12C22" w:rsidRDefault="007839C5" w:rsidP="007839C5">
      <w:r w:rsidRPr="00F12C22">
        <w:t>Notably</w:t>
      </w:r>
      <w:r w:rsidR="008422D0">
        <w:t>,</w:t>
      </w:r>
      <w:r w:rsidRPr="00F12C22">
        <w:t xml:space="preserve"> the application has limited the outcomes under assessment to those of diagnostic accuracy and change in </w:t>
      </w:r>
      <w:r w:rsidR="000F47D9" w:rsidRPr="00F12C22">
        <w:t xml:space="preserve">clinical </w:t>
      </w:r>
      <w:r w:rsidRPr="00F12C22">
        <w:t>management rather than extending out to health outcome</w:t>
      </w:r>
      <w:r w:rsidR="00E93285" w:rsidRPr="00F12C22">
        <w:t>s such as morbidity, mortality and health-related quality of life</w:t>
      </w:r>
      <w:r w:rsidRPr="00F12C22">
        <w:t xml:space="preserve">. The applicant has </w:t>
      </w:r>
      <w:r w:rsidR="00BD7FF8" w:rsidRPr="00F12C22">
        <w:t xml:space="preserve">stated </w:t>
      </w:r>
      <w:r w:rsidRPr="00F12C22">
        <w:t xml:space="preserve">that the ADAR will work towards assessing the following patient-relevant outcomes, providing the availability of clinical evidence: </w:t>
      </w:r>
    </w:p>
    <w:p w14:paraId="3121A7CF" w14:textId="716211A6" w:rsidR="007839C5" w:rsidRPr="00F12C22" w:rsidRDefault="007839C5" w:rsidP="00E31D34">
      <w:pPr>
        <w:pStyle w:val="ListParagraph"/>
        <w:numPr>
          <w:ilvl w:val="0"/>
          <w:numId w:val="16"/>
        </w:numPr>
        <w:ind w:left="284" w:hanging="284"/>
      </w:pPr>
      <w:r w:rsidRPr="00F12C22">
        <w:t xml:space="preserve">Progression of liver fibrosis: </w:t>
      </w:r>
      <w:r w:rsidR="00823CCA" w:rsidRPr="00F12C22">
        <w:t>VCTE™</w:t>
      </w:r>
      <w:r w:rsidRPr="00F12C22">
        <w:t xml:space="preserve"> is validated as a non-invasive tool for liver fibrosis staging, particularly for patients with MAFLD. The diagnostic accuracy of LSM by </w:t>
      </w:r>
      <w:r w:rsidR="00823CCA" w:rsidRPr="00F12C22">
        <w:t>VCTE™</w:t>
      </w:r>
      <w:r w:rsidRPr="00F12C22">
        <w:t xml:space="preserve"> has been confirmed in multiple studies, showing high sensitivity for detecting </w:t>
      </w:r>
      <w:r w:rsidR="000A4A3F" w:rsidRPr="00F12C22">
        <w:t>AF</w:t>
      </w:r>
      <w:r w:rsidRPr="00F12C22">
        <w:t xml:space="preserve"> (F≥3) and cirrhosis (F4). VTCE is able to rule out cirrhosis, suggesting its effectiveness in early-stage fibrosis detection.</w:t>
      </w:r>
    </w:p>
    <w:p w14:paraId="732F6CF7" w14:textId="70856C25" w:rsidR="007839C5" w:rsidRPr="00F12C22" w:rsidRDefault="007839C5" w:rsidP="00E31D34">
      <w:pPr>
        <w:pStyle w:val="ListParagraph"/>
        <w:numPr>
          <w:ilvl w:val="0"/>
          <w:numId w:val="16"/>
        </w:numPr>
        <w:ind w:left="284" w:hanging="284"/>
      </w:pPr>
      <w:r w:rsidRPr="00F12C22">
        <w:t xml:space="preserve">Compensated versus decompensated cirrhosis: </w:t>
      </w:r>
      <w:r w:rsidR="00823CCA" w:rsidRPr="00F12C22">
        <w:t>VCTE™</w:t>
      </w:r>
      <w:r w:rsidRPr="00F12C22">
        <w:t xml:space="preserve"> is an effective diagnostic tool for assessing compensated cirrhosis (F4). LSM by </w:t>
      </w:r>
      <w:r w:rsidR="00823CCA" w:rsidRPr="00F12C22">
        <w:t>VCTE™</w:t>
      </w:r>
      <w:r w:rsidRPr="00F12C22">
        <w:t xml:space="preserve"> has been validated as an independent predictor of liver-related events, including the transition from compensated to decompensated cirrhosis</w:t>
      </w:r>
      <w:r w:rsidR="008A2BA2" w:rsidRPr="00F12C22">
        <w:t>.</w:t>
      </w:r>
    </w:p>
    <w:p w14:paraId="59F3EFFB" w14:textId="7D74257B" w:rsidR="007839C5" w:rsidRPr="00F12C22" w:rsidRDefault="007839C5" w:rsidP="00E31D34">
      <w:pPr>
        <w:pStyle w:val="ListParagraph"/>
        <w:numPr>
          <w:ilvl w:val="0"/>
          <w:numId w:val="16"/>
        </w:numPr>
        <w:ind w:left="284" w:hanging="284"/>
        <w:rPr>
          <w:rFonts w:cs="Calibri"/>
          <w:bCs/>
        </w:rPr>
      </w:pPr>
      <w:r w:rsidRPr="00F12C22">
        <w:t>Further outcomes will be specified given the available studies and data on progression and QALYs.</w:t>
      </w:r>
    </w:p>
    <w:p w14:paraId="515C40EA" w14:textId="67F2C6D1" w:rsidR="008A2BA2" w:rsidRPr="00F12C22" w:rsidRDefault="008A2BA2" w:rsidP="007839C5">
      <w:pPr>
        <w:rPr>
          <w:rFonts w:cs="Calibri"/>
          <w:bCs/>
        </w:rPr>
      </w:pPr>
      <w:r w:rsidRPr="00F12C22">
        <w:rPr>
          <w:rFonts w:cs="Calibri"/>
          <w:bCs/>
        </w:rPr>
        <w:t>Total Australian Government health care costs are also considered relevant.</w:t>
      </w:r>
    </w:p>
    <w:p w14:paraId="1F77AFED" w14:textId="1E53F892" w:rsidR="007839C5" w:rsidRPr="00F12C22" w:rsidRDefault="007839C5" w:rsidP="007839C5">
      <w:pPr>
        <w:rPr>
          <w:rFonts w:cs="Calibri"/>
          <w:bCs/>
        </w:rPr>
      </w:pPr>
      <w:r w:rsidRPr="00F12C22">
        <w:rPr>
          <w:rFonts w:cs="Calibri"/>
          <w:bCs/>
        </w:rPr>
        <w:t xml:space="preserve">The following provides examples of the types of outcomes reported in published trials and </w:t>
      </w:r>
      <w:r w:rsidR="00635BCA" w:rsidRPr="00F12C22">
        <w:rPr>
          <w:rFonts w:cs="Calibri"/>
          <w:bCs/>
        </w:rPr>
        <w:t xml:space="preserve">previous </w:t>
      </w:r>
      <w:r w:rsidRPr="00F12C22">
        <w:rPr>
          <w:rFonts w:cs="Calibri"/>
          <w:bCs/>
        </w:rPr>
        <w:t>HTA assessments</w:t>
      </w:r>
      <w:r w:rsidR="00535CAA" w:rsidRPr="00F12C22">
        <w:rPr>
          <w:rFonts w:cs="Calibri"/>
          <w:bCs/>
        </w:rPr>
        <w:t>,</w:t>
      </w:r>
      <w:r w:rsidRPr="00F12C22">
        <w:rPr>
          <w:rFonts w:cs="Calibri"/>
          <w:bCs/>
        </w:rPr>
        <w:t xml:space="preserve"> for reference.</w:t>
      </w:r>
    </w:p>
    <w:p w14:paraId="53931EF8" w14:textId="499D602C" w:rsidR="00955933" w:rsidRPr="00D917C4" w:rsidRDefault="00955933" w:rsidP="00D917C4">
      <w:pPr>
        <w:pStyle w:val="Heading4"/>
      </w:pPr>
      <w:r w:rsidRPr="00D917C4">
        <w:t>Published trials/studies</w:t>
      </w:r>
    </w:p>
    <w:p w14:paraId="7D3B6484" w14:textId="1CBA4F86" w:rsidR="00CD467E" w:rsidRDefault="00F22DE2" w:rsidP="00CD467E">
      <w:r>
        <w:t xml:space="preserve">A brief scan of the literature </w:t>
      </w:r>
      <w:r w:rsidR="0067224E">
        <w:t>identified a study reported by Hayward (2022)</w:t>
      </w:r>
      <w:r>
        <w:t xml:space="preserve"> </w:t>
      </w:r>
      <w:r w:rsidR="00D61588">
        <w:t xml:space="preserve">which replicated the </w:t>
      </w:r>
      <w:r w:rsidR="00235959">
        <w:t xml:space="preserve">same sequential testing approach as proposed in this application </w:t>
      </w:r>
      <w:r w:rsidR="00D3292C">
        <w:t>(i.e.</w:t>
      </w:r>
      <w:r w:rsidR="00280F06">
        <w:t>,</w:t>
      </w:r>
      <w:r w:rsidR="00D3292C">
        <w:t xml:space="preserve"> FIB-4</w:t>
      </w:r>
      <w:r w:rsidR="00BC6C5D">
        <w:t xml:space="preserve"> (or NFS)</w:t>
      </w:r>
      <w:r w:rsidR="00D3292C">
        <w:t xml:space="preserve"> followed by </w:t>
      </w:r>
      <w:r w:rsidR="00B523A2">
        <w:t>FibroScan®</w:t>
      </w:r>
      <w:r w:rsidR="00D3292C">
        <w:t>).</w:t>
      </w:r>
      <w:r w:rsidR="00466FF8">
        <w:t xml:space="preserve"> </w:t>
      </w:r>
      <w:r w:rsidR="00665D2B">
        <w:t xml:space="preserve">Hayward (2022) reported on a study where 220 patients </w:t>
      </w:r>
      <w:r w:rsidR="002231E2">
        <w:t xml:space="preserve">(n=162 analysed) </w:t>
      </w:r>
      <w:r w:rsidR="00665D2B">
        <w:t xml:space="preserve">with a primary care diagnosis of NAFLD were referred to </w:t>
      </w:r>
      <w:r w:rsidR="002231E2">
        <w:t>a</w:t>
      </w:r>
      <w:r w:rsidR="00665D2B">
        <w:t xml:space="preserve"> two-step pathway between June 2019 and December 2020</w:t>
      </w:r>
      <w:r w:rsidR="002231E2">
        <w:t xml:space="preserve"> in Brisbane, Queensland</w:t>
      </w:r>
      <w:r w:rsidR="00665D2B">
        <w:t>. Patients were classified as ‘low risk’ if both FIB-4 (&lt;1.3</w:t>
      </w:r>
      <w:r w:rsidR="00280F06">
        <w:t>,</w:t>
      </w:r>
      <w:r w:rsidR="00665D2B">
        <w:t xml:space="preserve"> or &lt;2.0 if aged </w:t>
      </w:r>
      <w:r w:rsidR="00665D2B">
        <w:rPr>
          <w:rFonts w:cs="Calibri"/>
        </w:rPr>
        <w:t>≥</w:t>
      </w:r>
      <w:r w:rsidR="00665D2B">
        <w:t>65 years) and NFS (&lt;-</w:t>
      </w:r>
      <w:r w:rsidR="002231E2">
        <w:t> </w:t>
      </w:r>
      <w:r w:rsidR="00665D2B">
        <w:t>1.455) were low</w:t>
      </w:r>
      <w:r w:rsidR="00CD467E">
        <w:t xml:space="preserve"> (n=55</w:t>
      </w:r>
      <w:r w:rsidR="005A2106">
        <w:t>;</w:t>
      </w:r>
      <w:r w:rsidR="00CD467E">
        <w:t xml:space="preserve"> notably, 56 and 131 patients had low NFS and FIB-4 results, respectively, with only 55 patients having concordant ‘low’ results)</w:t>
      </w:r>
      <w:r w:rsidR="00280F06">
        <w:t>;</w:t>
      </w:r>
      <w:r w:rsidR="00665D2B">
        <w:t xml:space="preserve"> and classified as ‘high risk’ if FIB-4 (&gt;2.67) or NFS (&gt;0.676) were high</w:t>
      </w:r>
      <w:r w:rsidR="00CD467E">
        <w:t xml:space="preserve"> (n=17)</w:t>
      </w:r>
      <w:r w:rsidR="00665D2B">
        <w:t>. Patients considered low risk were returned to the care of their primary care physician and those at high risk were referred to a hepatology management clinic for further assessment. Those with indetermina</w:t>
      </w:r>
      <w:r w:rsidR="008238C9">
        <w:t>te</w:t>
      </w:r>
      <w:r w:rsidR="00665D2B">
        <w:t xml:space="preserve"> FIB-4 (1.3 </w:t>
      </w:r>
      <w:r w:rsidR="002231E2">
        <w:t>[</w:t>
      </w:r>
      <w:r w:rsidR="00665D2B">
        <w:t xml:space="preserve">or 2.0 for those aged </w:t>
      </w:r>
      <w:r w:rsidR="00665D2B">
        <w:rPr>
          <w:rFonts w:cs="Calibri"/>
        </w:rPr>
        <w:t>≥</w:t>
      </w:r>
      <w:r w:rsidR="00665D2B">
        <w:t>65 years</w:t>
      </w:r>
      <w:r w:rsidR="002231E2">
        <w:t>]</w:t>
      </w:r>
      <w:r w:rsidR="00665D2B">
        <w:t xml:space="preserve"> to 2.67) and/or NFS (-</w:t>
      </w:r>
      <w:r w:rsidR="002231E2">
        <w:t> </w:t>
      </w:r>
      <w:r w:rsidR="00665D2B">
        <w:t xml:space="preserve">1.455 to 0.676) results </w:t>
      </w:r>
      <w:r w:rsidR="00CD467E">
        <w:t xml:space="preserve">(n=90) </w:t>
      </w:r>
      <w:r w:rsidR="00665D2B">
        <w:t xml:space="preserve">proceeded to a second step of </w:t>
      </w:r>
      <w:r w:rsidR="00665D2B" w:rsidRPr="00F12C22">
        <w:t>VCTE™</w:t>
      </w:r>
      <w:r w:rsidR="00665D2B">
        <w:t xml:space="preserve">; those with LSM &lt;8.0 kPa were </w:t>
      </w:r>
      <w:r w:rsidR="002231E2">
        <w:t>returned</w:t>
      </w:r>
      <w:r w:rsidR="00665D2B">
        <w:t xml:space="preserve"> to their primary care provider and those with </w:t>
      </w:r>
      <w:r w:rsidR="00665D2B">
        <w:rPr>
          <w:rFonts w:cs="Calibri"/>
        </w:rPr>
        <w:t>≥</w:t>
      </w:r>
      <w:r w:rsidR="00665D2B">
        <w:t>8.0 kPa were referred to a hepatology management clinic for further assessment.</w:t>
      </w:r>
      <w:r w:rsidR="00280F06">
        <w:t xml:space="preserve"> </w:t>
      </w:r>
    </w:p>
    <w:p w14:paraId="51BD0D4D" w14:textId="7EB7A38F" w:rsidR="00280F06" w:rsidRDefault="005A2106" w:rsidP="00CD467E">
      <w:r>
        <w:t xml:space="preserve">Hayward (2022) reported that </w:t>
      </w:r>
      <w:r w:rsidR="00280F06" w:rsidRPr="00F12C22">
        <w:t>VCTE™</w:t>
      </w:r>
      <w:r w:rsidR="00280F06">
        <w:t xml:space="preserve"> was performed in </w:t>
      </w:r>
      <w:r w:rsidR="007E271D">
        <w:t xml:space="preserve">primary care in </w:t>
      </w:r>
      <w:r w:rsidR="00280F06">
        <w:t>88 of 90 ‘indetermina</w:t>
      </w:r>
      <w:r w:rsidR="008238C9">
        <w:t>te</w:t>
      </w:r>
      <w:r w:rsidR="00280F06">
        <w:t xml:space="preserve"> risk’ patients, </w:t>
      </w:r>
      <w:r w:rsidR="007E271D">
        <w:t>with</w:t>
      </w:r>
      <w:r w:rsidR="00CD467E">
        <w:t xml:space="preserve"> </w:t>
      </w:r>
      <w:r w:rsidR="007E271D">
        <w:t>73 having LSM &lt;8.0 kPa, consistent with no clinically significant fibrosis; 69 (94.5%) of these 73 patients remained under the care of their primary care physician</w:t>
      </w:r>
      <w:r w:rsidR="00CD467E">
        <w:t xml:space="preserve"> and 4 were referred to a hepatology management clinic for other clinical concerns</w:t>
      </w:r>
      <w:r w:rsidR="007E271D">
        <w:t xml:space="preserve">. Of the </w:t>
      </w:r>
      <w:r w:rsidR="00CD467E">
        <w:t xml:space="preserve">15 </w:t>
      </w:r>
      <w:r w:rsidR="007E271D">
        <w:t xml:space="preserve">remaining patients, 10 patients had LSM </w:t>
      </w:r>
      <w:r w:rsidR="007E271D" w:rsidRPr="007E271D">
        <w:rPr>
          <w:rFonts w:cs="Calibri"/>
        </w:rPr>
        <w:t>≥</w:t>
      </w:r>
      <w:r w:rsidR="007E271D">
        <w:t xml:space="preserve">8.0 kPa and 5 </w:t>
      </w:r>
      <w:r w:rsidR="00CD467E">
        <w:t>had</w:t>
      </w:r>
      <w:r w:rsidR="007E271D">
        <w:t xml:space="preserve"> invalid results </w:t>
      </w:r>
      <w:r w:rsidR="00CD467E">
        <w:t xml:space="preserve">and </w:t>
      </w:r>
      <w:r w:rsidR="007E271D">
        <w:t xml:space="preserve">were referred to a hepatology management clinic. </w:t>
      </w:r>
      <w:r w:rsidR="008238C9">
        <w:t xml:space="preserve">Ultimately, from these 19 </w:t>
      </w:r>
      <w:r w:rsidR="008238C9">
        <w:lastRenderedPageBreak/>
        <w:t xml:space="preserve">‘indeterminate’ patients, once referred to </w:t>
      </w:r>
      <w:r>
        <w:t xml:space="preserve">a hepatology management clinic, 4 had LSM &lt;8.0 kPa, 8 had LSM </w:t>
      </w:r>
      <w:r>
        <w:rPr>
          <w:rFonts w:cs="Calibri"/>
        </w:rPr>
        <w:t>≥</w:t>
      </w:r>
      <w:r>
        <w:t xml:space="preserve">8.0 kPa and 7 had no </w:t>
      </w:r>
      <w:r w:rsidRPr="00F12C22">
        <w:t>VCTE™</w:t>
      </w:r>
      <w:r>
        <w:t xml:space="preserve"> results (1 failed to attend, 5 awaiting assessment and 1, although not having </w:t>
      </w:r>
      <w:r w:rsidRPr="00F12C22">
        <w:t>VCTE™</w:t>
      </w:r>
      <w:r>
        <w:t xml:space="preserve"> had a liver biopsy </w:t>
      </w:r>
      <w:r>
        <w:rPr>
          <w:rFonts w:cs="Calibri"/>
        </w:rPr>
        <w:t>≥</w:t>
      </w:r>
      <w:r>
        <w:t>F3). Interestingly, of the 17 ‘high risk’ patients according to FIB-4 or NFS, 11 had LSM &lt;8.0 kPa.</w:t>
      </w:r>
    </w:p>
    <w:p w14:paraId="37440FAC" w14:textId="6DBFBBFB" w:rsidR="001D4B70" w:rsidRDefault="0067224E" w:rsidP="00955933">
      <w:r>
        <w:t>Further r</w:t>
      </w:r>
      <w:r w:rsidR="00466FF8">
        <w:t xml:space="preserve">elevant published trials/studies are discussed below. </w:t>
      </w:r>
    </w:p>
    <w:p w14:paraId="4E17F9E4" w14:textId="031E6102" w:rsidR="00955933" w:rsidRPr="00F12C22" w:rsidRDefault="00955933" w:rsidP="00955933">
      <w:r w:rsidRPr="00F12C22">
        <w:t xml:space="preserve">The LOCal Assessment and Triage Evaluation of Non-Alcoholic Fatty Liver Disease (LOCATE-NAFLD; </w:t>
      </w:r>
      <w:r w:rsidR="00F771EA" w:rsidRPr="00F12C22">
        <w:t>Tulleners 2024</w:t>
      </w:r>
      <w:r w:rsidR="00F771EA">
        <w:t xml:space="preserve">; </w:t>
      </w:r>
      <w:r w:rsidRPr="00F12C22">
        <w:t xml:space="preserve">Brain 2020) is an Australian randomised controlled trial (RCT) that investigated community-based fibrosis assessment service using </w:t>
      </w:r>
      <w:r w:rsidR="00B523A2">
        <w:t>FibroScan®</w:t>
      </w:r>
      <w:r w:rsidRPr="00F12C22">
        <w:t>. Patients with diagnosed or suspected NAFLD were randomised (1:1) to either usual care</w:t>
      </w:r>
      <w:r w:rsidR="006754A0" w:rsidRPr="00F12C22">
        <w:t>,</w:t>
      </w:r>
      <w:r w:rsidRPr="00F12C22">
        <w:t xml:space="preserve"> whereby patients remained on the wait list to see a hepatologist at a hospital hepatology clinic, or to the LOCal Assessment and Triage Evaluation (LOCATE) model of care</w:t>
      </w:r>
      <w:r w:rsidR="006754A0" w:rsidRPr="00F12C22">
        <w:t>,</w:t>
      </w:r>
      <w:r w:rsidRPr="00F12C22">
        <w:t xml:space="preserve"> where a </w:t>
      </w:r>
      <w:r w:rsidR="00B523A2">
        <w:t>FibroScan®</w:t>
      </w:r>
      <w:r w:rsidRPr="00F12C22">
        <w:t xml:space="preserve"> appointment was arranged for the patient. The primary outcome of LOCATE-NAFLD was time to diagnosis of high-risk NAFLD, based on the number of participants in each arm of the study who received a diagnosis of clinically significant fibrosis (defined as </w:t>
      </w:r>
      <w:r w:rsidR="00B84875" w:rsidRPr="00F12C22">
        <w:t xml:space="preserve">VCTE™ </w:t>
      </w:r>
      <w:r w:rsidR="005A2106">
        <w:rPr>
          <w:rFonts w:cs="Calibri"/>
        </w:rPr>
        <w:t>≥</w:t>
      </w:r>
      <w:r w:rsidRPr="00F12C22">
        <w:t>8.0 kPa). Patient-relevant secondary clinical outcomes included reduction in hospital admissions, reduction in emergency department presentations, improved health-related quality of life using the EQ-5D-3L (measured at study recruitment and at 12 months), reduced HCC detected outside specific surveillance</w:t>
      </w:r>
      <w:r w:rsidR="004F0909" w:rsidRPr="00F12C22">
        <w:t>,</w:t>
      </w:r>
      <w:r w:rsidRPr="00F12C22">
        <w:t xml:space="preserve"> increased referrals to a specialist other than a hepatologist (e.g.</w:t>
      </w:r>
      <w:r w:rsidR="00D464A3">
        <w:t>,</w:t>
      </w:r>
      <w:r w:rsidRPr="00F12C22">
        <w:t xml:space="preserve"> to a dietician or exercise physiologist) and reduced mortality.</w:t>
      </w:r>
    </w:p>
    <w:p w14:paraId="08DA8BF4" w14:textId="16534029" w:rsidR="00955933" w:rsidRPr="00F12C22" w:rsidRDefault="00955933" w:rsidP="00955933">
      <w:r w:rsidRPr="00F12C22">
        <w:t>Pearson 2</w:t>
      </w:r>
      <w:r w:rsidR="005A2106">
        <w:t>0</w:t>
      </w:r>
      <w:r w:rsidRPr="00F12C22">
        <w:t>24 reported the results of a study that investigated the impact of adding the ELF score as a second-line test (subsequent to an indeterminate or high FIB-4 and/or non-alcoholic fatty liver disease fibrosis score) in order to guide referral and prognostication in 1,327 patients with indeterminate fibrosis scores (NFS or FIB-4 index). The clinical primary endpoints reported by Pearson (2024) were diagnosis of cirrhosis (documented by a hepatology specialist based on all available evidence, including signs, symptoms, biochemistry, stiffness measurements and/or imaging), and liver-related morbidity, defined as an admission to hospital with an episode of decompensated liver disease (ascites, variceal bleeding, hepatic encephalopathy), or diagnosis of hepatocellular carcinoma (HCC). Secondary endpoints included liver-related mortality and all-cause mortality. The study also investigated change in rate of hepatology referrals.</w:t>
      </w:r>
    </w:p>
    <w:p w14:paraId="4337C73D" w14:textId="02C746A5" w:rsidR="00955933" w:rsidRPr="00D917C4" w:rsidRDefault="00955933" w:rsidP="00D917C4">
      <w:pPr>
        <w:pStyle w:val="Heading4"/>
      </w:pPr>
      <w:r w:rsidRPr="00D917C4">
        <w:t>Previous MSAC applications</w:t>
      </w:r>
    </w:p>
    <w:p w14:paraId="4DE34075" w14:textId="68EF7461" w:rsidR="00955933" w:rsidRPr="00F12C22" w:rsidRDefault="00854908" w:rsidP="00972D32">
      <w:r w:rsidRPr="00F12C22">
        <w:t xml:space="preserve">The </w:t>
      </w:r>
      <w:r w:rsidR="00955933" w:rsidRPr="00F12C22">
        <w:t xml:space="preserve">MSAC 1446 </w:t>
      </w:r>
      <w:r w:rsidRPr="00F12C22">
        <w:t>application considered by MSA</w:t>
      </w:r>
      <w:r w:rsidR="00FE16EC" w:rsidRPr="00F12C22">
        <w:t>C</w:t>
      </w:r>
      <w:r w:rsidRPr="00F12C22">
        <w:t xml:space="preserve"> in </w:t>
      </w:r>
      <w:r w:rsidR="00955933" w:rsidRPr="00F12C22">
        <w:t xml:space="preserve">November 2020 sought MBS listing of the Hepascore test (a serum fibrosis panel test) to diagnose and monitor liver fibrosis severity in patients diagnosed with </w:t>
      </w:r>
      <w:r w:rsidR="00FE16EC" w:rsidRPr="00F12C22">
        <w:t>hepatitis B and C infection</w:t>
      </w:r>
      <w:r w:rsidR="00955933" w:rsidRPr="00F12C22">
        <w:t xml:space="preserve">. The </w:t>
      </w:r>
      <w:r w:rsidR="006B40AC">
        <w:t>application</w:t>
      </w:r>
      <w:r w:rsidR="00955933" w:rsidRPr="00F12C22">
        <w:t xml:space="preserve"> proposed that the test could be requested by GPs or specialists. The outcomes included in the ratified PICO were:</w:t>
      </w:r>
    </w:p>
    <w:p w14:paraId="222CA56B" w14:textId="77777777" w:rsidR="00955933" w:rsidRPr="00F12C22" w:rsidRDefault="00955933" w:rsidP="00E31D34">
      <w:pPr>
        <w:pStyle w:val="ListParagraph"/>
        <w:numPr>
          <w:ilvl w:val="0"/>
          <w:numId w:val="9"/>
        </w:numPr>
        <w:ind w:left="284" w:hanging="284"/>
      </w:pPr>
      <w:r w:rsidRPr="00F12C22">
        <w:t>Safety — false negatives or false positives;</w:t>
      </w:r>
    </w:p>
    <w:p w14:paraId="25D2B657" w14:textId="77777777" w:rsidR="00955933" w:rsidRPr="00F12C22" w:rsidRDefault="00955933" w:rsidP="00E31D34">
      <w:pPr>
        <w:pStyle w:val="ListParagraph"/>
        <w:numPr>
          <w:ilvl w:val="0"/>
          <w:numId w:val="9"/>
        </w:numPr>
        <w:ind w:left="284" w:hanging="284"/>
      </w:pPr>
      <w:r w:rsidRPr="00F12C22">
        <w:t>Analytical validity, including coefficient of variability (within individual (biological) variability) of each of the tests;</w:t>
      </w:r>
    </w:p>
    <w:p w14:paraId="1FA9F17D" w14:textId="554FC5A7" w:rsidR="00955933" w:rsidRPr="00F12C22" w:rsidRDefault="00955933" w:rsidP="00E31D34">
      <w:pPr>
        <w:pStyle w:val="ListParagraph"/>
        <w:numPr>
          <w:ilvl w:val="0"/>
          <w:numId w:val="9"/>
        </w:numPr>
        <w:ind w:left="284" w:hanging="284"/>
      </w:pPr>
      <w:r w:rsidRPr="00F12C22">
        <w:t xml:space="preserve">Diagnostic accuracy – </w:t>
      </w:r>
      <w:r w:rsidRPr="00F12C22">
        <w:rPr>
          <w:rFonts w:eastAsiaTheme="minorHAnsi" w:cstheme="minorBidi"/>
        </w:rPr>
        <w:t>false positives (FP), false negatives (FN)</w:t>
      </w:r>
      <w:r w:rsidRPr="00F12C22">
        <w:t>, true positive (TP), true negative (TN) as absolute counts, according to the different cut offs (</w:t>
      </w:r>
      <w:r w:rsidR="000A4A3F" w:rsidRPr="00F12C22">
        <w:t>AF</w:t>
      </w:r>
      <w:r w:rsidRPr="00F12C22">
        <w:t xml:space="preserve"> (F3) and cirrhosis (F4)), sensitivity, specificity and receiver operating characteristic (ROC) for each cut off;</w:t>
      </w:r>
    </w:p>
    <w:p w14:paraId="55A1FFA2" w14:textId="77777777" w:rsidR="00955933" w:rsidRPr="00F12C22" w:rsidRDefault="00955933" w:rsidP="00E31D34">
      <w:pPr>
        <w:pStyle w:val="ListParagraph"/>
        <w:numPr>
          <w:ilvl w:val="0"/>
          <w:numId w:val="9"/>
        </w:numPr>
        <w:ind w:left="284" w:hanging="284"/>
      </w:pPr>
      <w:r w:rsidRPr="00F12C22">
        <w:t>PPV and NPV;</w:t>
      </w:r>
    </w:p>
    <w:p w14:paraId="42D8BEAC" w14:textId="77777777" w:rsidR="00955933" w:rsidRPr="00F12C22" w:rsidRDefault="00955933" w:rsidP="00E31D34">
      <w:pPr>
        <w:pStyle w:val="ListParagraph"/>
        <w:numPr>
          <w:ilvl w:val="0"/>
          <w:numId w:val="9"/>
        </w:numPr>
        <w:ind w:left="284" w:hanging="284"/>
      </w:pPr>
      <w:r w:rsidRPr="00F12C22">
        <w:t>Efficacy / effectiveness including, but not limited to, patient-relevant outcomes, predictive of long-term liver related outcomes; and</w:t>
      </w:r>
    </w:p>
    <w:p w14:paraId="101797A4" w14:textId="77777777" w:rsidR="00955933" w:rsidRPr="00F12C22" w:rsidRDefault="00955933" w:rsidP="00E31D34">
      <w:pPr>
        <w:pStyle w:val="ListParagraph"/>
        <w:numPr>
          <w:ilvl w:val="0"/>
          <w:numId w:val="9"/>
        </w:numPr>
        <w:ind w:left="284" w:hanging="284"/>
      </w:pPr>
      <w:r w:rsidRPr="00F12C22">
        <w:lastRenderedPageBreak/>
        <w:t>Healthcare resources: cost of the additional test, surveillance of patients diagnosed with cirrhosis; costs associated with liver disease.</w:t>
      </w:r>
    </w:p>
    <w:p w14:paraId="3D218919" w14:textId="77777777" w:rsidR="00955933" w:rsidRPr="00D917C4" w:rsidRDefault="00955933" w:rsidP="00D917C4">
      <w:pPr>
        <w:pStyle w:val="Heading4"/>
      </w:pPr>
      <w:r w:rsidRPr="00D917C4">
        <w:t>International HTA evaluations</w:t>
      </w:r>
    </w:p>
    <w:p w14:paraId="4A954B7D" w14:textId="51539121" w:rsidR="00955933" w:rsidRPr="00D917C4" w:rsidRDefault="0027226E" w:rsidP="00D917C4">
      <w:pPr>
        <w:pStyle w:val="Heading5"/>
      </w:pPr>
      <w:r>
        <w:t>National Institute for Health and Care Excellence (</w:t>
      </w:r>
      <w:r w:rsidR="00955933" w:rsidRPr="00D917C4">
        <w:t>NICE</w:t>
      </w:r>
      <w:r>
        <w:t>)</w:t>
      </w:r>
    </w:p>
    <w:p w14:paraId="5C7DD838" w14:textId="647213AE" w:rsidR="00955933" w:rsidRPr="00F12C22" w:rsidRDefault="00955933" w:rsidP="00972D32">
      <w:r w:rsidRPr="00F12C22">
        <w:t xml:space="preserve">NICE has conducted an evaluation of </w:t>
      </w:r>
      <w:r w:rsidR="00B523A2">
        <w:t>FibroScan®</w:t>
      </w:r>
      <w:r w:rsidRPr="00F12C22">
        <w:t xml:space="preserve"> for assessing liver fibrosis and cirrhosis in primary or community care, which included the treatment of patients with NAFLD. The project scope (p8, </w:t>
      </w:r>
      <w:r w:rsidRPr="005C67C7">
        <w:t xml:space="preserve">NICE, Medical technology guidance scope, </w:t>
      </w:r>
      <w:r w:rsidR="00B523A2">
        <w:t>FibroScan®</w:t>
      </w:r>
      <w:r w:rsidRPr="005C67C7">
        <w:t xml:space="preserve"> for assessing liver fibrosis and cirrhosis in primary or community care</w:t>
      </w:r>
      <w:r w:rsidRPr="00F12C22">
        <w:t>) listed the outcome measures to be considered included:</w:t>
      </w:r>
    </w:p>
    <w:p w14:paraId="62DCC611" w14:textId="77777777" w:rsidR="00955933" w:rsidRPr="00F12C22" w:rsidRDefault="00955933" w:rsidP="00E31D34">
      <w:pPr>
        <w:pStyle w:val="ListParagraph"/>
        <w:numPr>
          <w:ilvl w:val="0"/>
          <w:numId w:val="10"/>
        </w:numPr>
        <w:ind w:left="284" w:hanging="284"/>
      </w:pPr>
      <w:r w:rsidRPr="00F12C22">
        <w:t>Test accuracy;</w:t>
      </w:r>
    </w:p>
    <w:p w14:paraId="4AA75F54" w14:textId="05CA1C6D" w:rsidR="00955933" w:rsidRPr="00F12C22" w:rsidRDefault="00955933" w:rsidP="00E31D34">
      <w:pPr>
        <w:pStyle w:val="ListParagraph"/>
        <w:numPr>
          <w:ilvl w:val="0"/>
          <w:numId w:val="10"/>
        </w:numPr>
        <w:ind w:left="284" w:hanging="284"/>
      </w:pPr>
      <w:r w:rsidRPr="00F12C22">
        <w:t xml:space="preserve">Agreement between measurement made by </w:t>
      </w:r>
      <w:r w:rsidR="00B523A2">
        <w:t>FibroScan®</w:t>
      </w:r>
      <w:r w:rsidRPr="00F12C22">
        <w:t xml:space="preserve"> done in primary and secondary/tertiary care;</w:t>
      </w:r>
    </w:p>
    <w:p w14:paraId="1200FB9A" w14:textId="6CFA0CCB" w:rsidR="00955933" w:rsidRPr="00F12C22" w:rsidRDefault="00955933" w:rsidP="00E31D34">
      <w:pPr>
        <w:pStyle w:val="ListParagraph"/>
        <w:numPr>
          <w:ilvl w:val="0"/>
          <w:numId w:val="10"/>
        </w:numPr>
        <w:ind w:left="284" w:hanging="284"/>
      </w:pPr>
      <w:r w:rsidRPr="00F12C22">
        <w:t xml:space="preserve">Comparative performance between different </w:t>
      </w:r>
      <w:r w:rsidR="00B523A2">
        <w:t>FibroScan®</w:t>
      </w:r>
      <w:r w:rsidRPr="00F12C22">
        <w:t xml:space="preserve"> models;</w:t>
      </w:r>
    </w:p>
    <w:p w14:paraId="4AC0ED81" w14:textId="77777777" w:rsidR="00955933" w:rsidRPr="00F12C22" w:rsidRDefault="00955933" w:rsidP="00E31D34">
      <w:pPr>
        <w:pStyle w:val="ListParagraph"/>
        <w:numPr>
          <w:ilvl w:val="0"/>
          <w:numId w:val="10"/>
        </w:numPr>
        <w:ind w:left="284" w:hanging="284"/>
      </w:pPr>
      <w:r w:rsidRPr="00F12C22">
        <w:t>Test failure;</w:t>
      </w:r>
    </w:p>
    <w:p w14:paraId="66644E4B" w14:textId="07B5AD4F" w:rsidR="00955933" w:rsidRPr="00F12C22" w:rsidRDefault="00955933" w:rsidP="00E31D34">
      <w:pPr>
        <w:pStyle w:val="ListParagraph"/>
        <w:numPr>
          <w:ilvl w:val="0"/>
          <w:numId w:val="10"/>
        </w:numPr>
        <w:ind w:left="284" w:hanging="284"/>
      </w:pPr>
      <w:r w:rsidRPr="00F12C22">
        <w:t xml:space="preserve">Uptake of offered </w:t>
      </w:r>
      <w:r w:rsidR="00B523A2">
        <w:t>FibroScan®</w:t>
      </w:r>
      <w:r w:rsidRPr="00F12C22">
        <w:t xml:space="preserve"> test;</w:t>
      </w:r>
    </w:p>
    <w:p w14:paraId="311C8AAF" w14:textId="77777777" w:rsidR="00955933" w:rsidRPr="00F12C22" w:rsidRDefault="00955933" w:rsidP="00E31D34">
      <w:pPr>
        <w:pStyle w:val="ListParagraph"/>
        <w:numPr>
          <w:ilvl w:val="0"/>
          <w:numId w:val="10"/>
        </w:numPr>
        <w:ind w:left="284" w:hanging="284"/>
      </w:pPr>
      <w:r w:rsidRPr="00F12C22">
        <w:t>Uptake of behaviour/ lifestyle change intervention;</w:t>
      </w:r>
    </w:p>
    <w:p w14:paraId="2F012395" w14:textId="77777777" w:rsidR="00955933" w:rsidRPr="00F12C22" w:rsidRDefault="00955933" w:rsidP="00E31D34">
      <w:pPr>
        <w:pStyle w:val="ListParagraph"/>
        <w:numPr>
          <w:ilvl w:val="0"/>
          <w:numId w:val="10"/>
        </w:numPr>
        <w:ind w:left="284" w:hanging="284"/>
      </w:pPr>
      <w:r w:rsidRPr="00F12C22">
        <w:t>Number of referrals to secondary care;</w:t>
      </w:r>
    </w:p>
    <w:p w14:paraId="59BED3F5" w14:textId="77777777" w:rsidR="00955933" w:rsidRPr="00F12C22" w:rsidRDefault="00955933" w:rsidP="00E31D34">
      <w:pPr>
        <w:pStyle w:val="ListParagraph"/>
        <w:numPr>
          <w:ilvl w:val="0"/>
          <w:numId w:val="10"/>
        </w:numPr>
        <w:ind w:left="284" w:hanging="284"/>
      </w:pPr>
      <w:r w:rsidRPr="00F12C22">
        <w:t>Number of people referred to alcohol or weight management services;</w:t>
      </w:r>
    </w:p>
    <w:p w14:paraId="08D64D20" w14:textId="77777777" w:rsidR="00955933" w:rsidRPr="00F12C22" w:rsidRDefault="00955933" w:rsidP="00E31D34">
      <w:pPr>
        <w:pStyle w:val="ListParagraph"/>
        <w:numPr>
          <w:ilvl w:val="0"/>
          <w:numId w:val="10"/>
        </w:numPr>
        <w:ind w:left="284" w:hanging="284"/>
      </w:pPr>
      <w:r w:rsidRPr="00F12C22">
        <w:t>Severity of liver fibrosis;</w:t>
      </w:r>
    </w:p>
    <w:p w14:paraId="2059866A" w14:textId="77777777" w:rsidR="00955933" w:rsidRPr="00F12C22" w:rsidRDefault="00955933" w:rsidP="00E31D34">
      <w:pPr>
        <w:pStyle w:val="ListParagraph"/>
        <w:numPr>
          <w:ilvl w:val="0"/>
          <w:numId w:val="10"/>
        </w:numPr>
        <w:ind w:left="284" w:hanging="284"/>
      </w:pPr>
      <w:r w:rsidRPr="00F12C22">
        <w:t>Device-related AEs;</w:t>
      </w:r>
    </w:p>
    <w:p w14:paraId="2586566B" w14:textId="77777777" w:rsidR="00955933" w:rsidRPr="00F12C22" w:rsidRDefault="00955933" w:rsidP="00E31D34">
      <w:pPr>
        <w:pStyle w:val="ListParagraph"/>
        <w:numPr>
          <w:ilvl w:val="0"/>
          <w:numId w:val="10"/>
        </w:numPr>
        <w:ind w:left="284" w:hanging="284"/>
      </w:pPr>
      <w:r w:rsidRPr="00F12C22">
        <w:t>Use of NHS services (for example, GP or outpatient appointments);</w:t>
      </w:r>
    </w:p>
    <w:p w14:paraId="2DAE0C68" w14:textId="77777777" w:rsidR="00955933" w:rsidRPr="00F12C22" w:rsidRDefault="00955933" w:rsidP="00E31D34">
      <w:pPr>
        <w:pStyle w:val="ListParagraph"/>
        <w:numPr>
          <w:ilvl w:val="0"/>
          <w:numId w:val="10"/>
        </w:numPr>
        <w:ind w:left="284" w:hanging="284"/>
      </w:pPr>
      <w:r w:rsidRPr="00F12C22">
        <w:t>Mortality; and</w:t>
      </w:r>
    </w:p>
    <w:p w14:paraId="091EBAD7" w14:textId="77777777" w:rsidR="00955933" w:rsidRPr="00F12C22" w:rsidRDefault="00955933" w:rsidP="00E31D34">
      <w:pPr>
        <w:pStyle w:val="ListParagraph"/>
        <w:numPr>
          <w:ilvl w:val="0"/>
          <w:numId w:val="10"/>
        </w:numPr>
        <w:ind w:left="284" w:hanging="284"/>
      </w:pPr>
      <w:r w:rsidRPr="00F12C22">
        <w:t>Morbidity (such as liver cirrhosis, liver related complications, cardiovascular complications).</w:t>
      </w:r>
    </w:p>
    <w:p w14:paraId="7AF28166" w14:textId="58A6A938" w:rsidR="00955933" w:rsidRPr="00F12C22" w:rsidRDefault="00955933" w:rsidP="00972D32">
      <w:r w:rsidRPr="00F12C22">
        <w:t xml:space="preserve">The comparator was </w:t>
      </w:r>
      <w:r w:rsidR="00B523A2">
        <w:t>FibroScan®</w:t>
      </w:r>
      <w:r w:rsidRPr="00F12C22">
        <w:t xml:space="preserve"> used in the same way as the intervention, but in secondary or specialist care</w:t>
      </w:r>
      <w:r w:rsidR="00C24BBD" w:rsidRPr="00F12C22">
        <w:t xml:space="preserve"> only (i.e.</w:t>
      </w:r>
      <w:r w:rsidR="00D464A3">
        <w:t>,</w:t>
      </w:r>
      <w:r w:rsidR="00C24BBD" w:rsidRPr="00F12C22">
        <w:t xml:space="preserve"> as in PICO </w:t>
      </w:r>
      <w:r w:rsidR="00B7362F">
        <w:t>s</w:t>
      </w:r>
      <w:r w:rsidR="00C24BBD" w:rsidRPr="00F12C22">
        <w:t>et 2)</w:t>
      </w:r>
      <w:r w:rsidRPr="00F12C22">
        <w:t>.</w:t>
      </w:r>
    </w:p>
    <w:p w14:paraId="445B2835" w14:textId="548E0008" w:rsidR="00955933" w:rsidRPr="00F12C22" w:rsidRDefault="00955933" w:rsidP="00972D32">
      <w:r w:rsidRPr="00F12C22">
        <w:t xml:space="preserve">In June 2023, NICE recommended </w:t>
      </w:r>
      <w:r w:rsidR="00B523A2">
        <w:t>FibroScan®</w:t>
      </w:r>
      <w:r w:rsidRPr="00F12C22">
        <w:t xml:space="preserve"> as an option for assessing liver fibrosis or cirrhosis outside secondary and specialist care</w:t>
      </w:r>
      <w:r w:rsidR="00236595" w:rsidRPr="00F12C22">
        <w:t xml:space="preserve"> (in primary or community care)</w:t>
      </w:r>
      <w:r w:rsidRPr="00F12C22">
        <w:t xml:space="preserve"> if:</w:t>
      </w:r>
    </w:p>
    <w:p w14:paraId="7822405C" w14:textId="3FA66041" w:rsidR="00955933" w:rsidRPr="00F12C22" w:rsidRDefault="00955933" w:rsidP="00E31D34">
      <w:pPr>
        <w:pStyle w:val="ListParagraph"/>
        <w:numPr>
          <w:ilvl w:val="0"/>
          <w:numId w:val="11"/>
        </w:numPr>
        <w:ind w:left="284" w:hanging="284"/>
      </w:pPr>
      <w:r w:rsidRPr="00F12C22">
        <w:t xml:space="preserve">each </w:t>
      </w:r>
      <w:r w:rsidR="00B523A2">
        <w:t>FibroScan®</w:t>
      </w:r>
      <w:r w:rsidRPr="00F12C22">
        <w:t xml:space="preserve"> device is expected to be used for at least 500 scans per year, typically requiring use in locations which cover larger populations, such as community diagnostic hubs;</w:t>
      </w:r>
    </w:p>
    <w:p w14:paraId="550BF1B9" w14:textId="77777777" w:rsidR="00955933" w:rsidRPr="00F12C22" w:rsidRDefault="00955933" w:rsidP="00E31D34">
      <w:pPr>
        <w:pStyle w:val="ListParagraph"/>
        <w:numPr>
          <w:ilvl w:val="0"/>
          <w:numId w:val="11"/>
        </w:numPr>
        <w:ind w:left="284" w:hanging="284"/>
      </w:pPr>
      <w:r w:rsidRPr="00F12C22">
        <w:t xml:space="preserve">this is likely to improve access to testing for underserved groups; </w:t>
      </w:r>
    </w:p>
    <w:p w14:paraId="46451A0D" w14:textId="77777777" w:rsidR="00955933" w:rsidRPr="00F12C22" w:rsidRDefault="00955933" w:rsidP="00E31D34">
      <w:pPr>
        <w:pStyle w:val="ListParagraph"/>
        <w:numPr>
          <w:ilvl w:val="0"/>
          <w:numId w:val="11"/>
        </w:numPr>
        <w:ind w:left="284" w:hanging="284"/>
      </w:pPr>
      <w:r w:rsidRPr="00F12C22">
        <w:t>it is used in accordance with national guidelines;</w:t>
      </w:r>
    </w:p>
    <w:p w14:paraId="64054860" w14:textId="3D46B768" w:rsidR="00955933" w:rsidRPr="00F12C22" w:rsidRDefault="00955933" w:rsidP="00E31D34">
      <w:pPr>
        <w:pStyle w:val="ListParagraph"/>
        <w:numPr>
          <w:ilvl w:val="0"/>
          <w:numId w:val="11"/>
        </w:numPr>
        <w:ind w:left="284" w:hanging="284"/>
      </w:pPr>
      <w:r w:rsidRPr="00F12C22">
        <w:t xml:space="preserve">a clear care pathway with guidance for healthcare professionals doing the test on what to do based on a </w:t>
      </w:r>
      <w:r w:rsidR="00B523A2">
        <w:t>FibroScan®</w:t>
      </w:r>
      <w:r w:rsidRPr="00F12C22">
        <w:t xml:space="preserve"> result is established locally through collaboration between primary or community care and secondary or specialist care providers; and</w:t>
      </w:r>
    </w:p>
    <w:p w14:paraId="39B67B0B" w14:textId="77777777" w:rsidR="00955933" w:rsidRPr="00F12C22" w:rsidRDefault="00955933" w:rsidP="00E31D34">
      <w:pPr>
        <w:pStyle w:val="ListParagraph"/>
        <w:numPr>
          <w:ilvl w:val="0"/>
          <w:numId w:val="11"/>
        </w:numPr>
        <w:ind w:left="284" w:hanging="284"/>
      </w:pPr>
      <w:r w:rsidRPr="00F12C22">
        <w:t>there are training and supportive materials available for healthcare professionals.</w:t>
      </w:r>
    </w:p>
    <w:p w14:paraId="289B2B9D" w14:textId="494DEA24" w:rsidR="00955933" w:rsidRPr="00D917C4" w:rsidRDefault="00372C0D" w:rsidP="00D917C4">
      <w:pPr>
        <w:pStyle w:val="Heading5"/>
      </w:pPr>
      <w:r>
        <w:t>C</w:t>
      </w:r>
      <w:r w:rsidR="00692AE6">
        <w:t>anada’s Drug Agency (C</w:t>
      </w:r>
      <w:r>
        <w:t>DA</w:t>
      </w:r>
      <w:r w:rsidR="00692AE6">
        <w:t xml:space="preserve">), </w:t>
      </w:r>
      <w:r>
        <w:t>formerly</w:t>
      </w:r>
      <w:r w:rsidR="00F12B54">
        <w:t xml:space="preserve"> the </w:t>
      </w:r>
      <w:r w:rsidR="00F12B54" w:rsidRPr="00F12B54">
        <w:t>Canadian Agency for Drugs and Technologies in Health</w:t>
      </w:r>
      <w:r>
        <w:t xml:space="preserve"> </w:t>
      </w:r>
      <w:r w:rsidR="00F12B54">
        <w:t>(</w:t>
      </w:r>
      <w:r w:rsidR="00955933" w:rsidRPr="00D917C4">
        <w:t>CADTH</w:t>
      </w:r>
      <w:r w:rsidR="00F12B54">
        <w:t>)</w:t>
      </w:r>
    </w:p>
    <w:p w14:paraId="63E4FEF9" w14:textId="04F8C571" w:rsidR="00955933" w:rsidRPr="00F12C22" w:rsidRDefault="00955933" w:rsidP="00972D32">
      <w:r w:rsidRPr="00F12C22">
        <w:t xml:space="preserve">In 2012, CADTH produced a Rapid Response Report for the Diagnosis and Monitoring of Liver Fibrosis in Patients with Chronic Hepatitis C: A Review of the Clinical Evidence and Cost Effectiveness. The aim of the review was to evaluate the available evidence regarding the validity of non-invasive methods and their cost effectiveness compared with liver biopsy in the diagnosis and monitoring of liver fibrosis in patients with chronic hepatitis C viral infection. The commonly reported non-invasive methods for detecting </w:t>
      </w:r>
      <w:r w:rsidRPr="00F12C22">
        <w:lastRenderedPageBreak/>
        <w:t xml:space="preserve">hepatic fibrosis identified in the report included </w:t>
      </w:r>
      <w:r w:rsidR="004A53DD" w:rsidRPr="00F12C22">
        <w:t>t</w:t>
      </w:r>
      <w:r w:rsidRPr="00F12C22">
        <w:t xml:space="preserve">ransient elastography (TE, or </w:t>
      </w:r>
      <w:r w:rsidR="00B523A2">
        <w:t>FibroScan®</w:t>
      </w:r>
      <w:r w:rsidRPr="00F12C22">
        <w:t xml:space="preserve">) as well as other </w:t>
      </w:r>
      <w:r w:rsidR="00236595" w:rsidRPr="00F12C22">
        <w:t xml:space="preserve">biomarker </w:t>
      </w:r>
      <w:r w:rsidRPr="00F12C22">
        <w:t xml:space="preserve">methods such </w:t>
      </w:r>
      <w:r w:rsidR="00972D32" w:rsidRPr="00F12C22">
        <w:t>APRI</w:t>
      </w:r>
      <w:r w:rsidRPr="00F12C22">
        <w:t xml:space="preserve"> and Fibrotest</w:t>
      </w:r>
      <w:r w:rsidR="00B84875" w:rsidRPr="00F12C22">
        <w:t xml:space="preserve"> (uses the results of 6 blood serum tests (alpha-2-macroglobulin, haptoglobin, apolipoprotein A1, GGT, total bilirubin, and ALT) to generate a score that is correlated with the degree of liver damage</w:t>
      </w:r>
      <w:r w:rsidR="00B84875" w:rsidRPr="00F12C22">
        <w:rPr>
          <w:rStyle w:val="FootnoteReference"/>
        </w:rPr>
        <w:footnoteReference w:id="14"/>
      </w:r>
      <w:r w:rsidR="00B84875" w:rsidRPr="00F12C22">
        <w:t>)</w:t>
      </w:r>
      <w:r w:rsidRPr="00F12C22">
        <w:t>. The main outcomes investigated were the accuracy and validity of the tests to detect and grade liver fibrosis such as area under receiver operating characteristic curve (AUROC), sensitivity, specificity, PPV and NPV. The report noted that AUROC is an estimate of the probability of a true diagnosis, with an AUROC of 1.0 (100%) indicating a test can classify a patient with perfect accuracy, while an AUROC of 0.5 indicates that a test has a 50% chance of correct classification. Cost-effectiveness (ICER, $/QALY) was also investigated.</w:t>
      </w:r>
    </w:p>
    <w:p w14:paraId="51E66D0A" w14:textId="07F1AEF2" w:rsidR="007B3975" w:rsidRPr="007E2038" w:rsidRDefault="007B3975" w:rsidP="007B3975">
      <w:pPr>
        <w:autoSpaceDE w:val="0"/>
        <w:autoSpaceDN w:val="0"/>
        <w:adjustRightInd w:val="0"/>
        <w:spacing w:line="23" w:lineRule="atLeast"/>
        <w:rPr>
          <w:rFonts w:asciiTheme="minorHAnsi" w:hAnsiTheme="minorHAnsi" w:cstheme="minorHAnsi"/>
          <w:i/>
          <w:iCs/>
        </w:rPr>
      </w:pPr>
      <w:r w:rsidRPr="007E2038">
        <w:rPr>
          <w:rFonts w:asciiTheme="minorHAnsi" w:hAnsiTheme="minorHAnsi" w:cstheme="minorHAnsi"/>
          <w:i/>
          <w:iCs/>
        </w:rPr>
        <w:t xml:space="preserve">PASC advised that the applicant’s proposed outcome of harms from “false-negative FIB-4 scores” should be excluded from both PICO sets, as this is not an outcome of the proposed intervention, VCTE™, but </w:t>
      </w:r>
      <w:r w:rsidR="00EC4C0A">
        <w:rPr>
          <w:rFonts w:asciiTheme="minorHAnsi" w:hAnsiTheme="minorHAnsi" w:cstheme="minorHAnsi"/>
          <w:i/>
          <w:iCs/>
        </w:rPr>
        <w:t>rather</w:t>
      </w:r>
      <w:r w:rsidRPr="007E2038">
        <w:rPr>
          <w:rFonts w:asciiTheme="minorHAnsi" w:hAnsiTheme="minorHAnsi" w:cstheme="minorHAnsi"/>
          <w:i/>
          <w:iCs/>
        </w:rPr>
        <w:t xml:space="preserve"> occurs earlier in the clinical pathway.</w:t>
      </w:r>
    </w:p>
    <w:p w14:paraId="0FF1F28D" w14:textId="77777777" w:rsidR="007B3975" w:rsidRPr="007E2038" w:rsidRDefault="007B3975" w:rsidP="007B3975">
      <w:pPr>
        <w:autoSpaceDE w:val="0"/>
        <w:autoSpaceDN w:val="0"/>
        <w:adjustRightInd w:val="0"/>
        <w:spacing w:line="23" w:lineRule="atLeast"/>
        <w:rPr>
          <w:rFonts w:asciiTheme="minorHAnsi" w:hAnsiTheme="minorHAnsi" w:cstheme="minorHAnsi"/>
          <w:i/>
          <w:iCs/>
        </w:rPr>
      </w:pPr>
      <w:r w:rsidRPr="007E2038">
        <w:rPr>
          <w:rFonts w:asciiTheme="minorHAnsi" w:hAnsiTheme="minorHAnsi" w:cstheme="minorHAnsi"/>
          <w:i/>
          <w:iCs/>
        </w:rPr>
        <w:t>PASC advised that test accuracy measures should be compared to the reference standard of liver biopsy.</w:t>
      </w:r>
    </w:p>
    <w:p w14:paraId="4FF2BD80" w14:textId="77777777" w:rsidR="007B3975" w:rsidRPr="00CC594E" w:rsidRDefault="007B3975" w:rsidP="007B3975">
      <w:pPr>
        <w:autoSpaceDE w:val="0"/>
        <w:autoSpaceDN w:val="0"/>
        <w:adjustRightInd w:val="0"/>
        <w:spacing w:line="23" w:lineRule="atLeast"/>
        <w:rPr>
          <w:rFonts w:cs="Arial"/>
          <w:i/>
          <w:iCs/>
        </w:rPr>
      </w:pPr>
      <w:r w:rsidRPr="007E2038">
        <w:rPr>
          <w:rFonts w:asciiTheme="minorHAnsi" w:hAnsiTheme="minorHAnsi" w:cstheme="minorHAnsi"/>
          <w:i/>
          <w:iCs/>
        </w:rPr>
        <w:t>PASC advised that, when considering the outcome of change in patient management, ‘</w:t>
      </w:r>
      <w:r w:rsidRPr="007E2038">
        <w:rPr>
          <w:rFonts w:cs="Arial"/>
          <w:i/>
          <w:iCs/>
        </w:rPr>
        <w:t>what proportion continue to be referred to specialist care due to comorbid reasons for AF or due to low accuracy of FIB-4 (due to T2DM or age)</w:t>
      </w:r>
      <w:r w:rsidRPr="007E2038">
        <w:rPr>
          <w:rFonts w:cs="Arial"/>
        </w:rPr>
        <w:t xml:space="preserve">’ </w:t>
      </w:r>
      <w:r w:rsidRPr="007E2038">
        <w:rPr>
          <w:rFonts w:cs="Arial"/>
          <w:i/>
          <w:iCs/>
        </w:rPr>
        <w:t>should be excluded. This is because these patients would already be captured in the other change in management outcomes, specifically the ‘change in proportion [of patients] who are no longer referred to specialists’.</w:t>
      </w:r>
    </w:p>
    <w:p w14:paraId="2E5CACC5" w14:textId="77777777" w:rsidR="007B3975" w:rsidRPr="00614367" w:rsidRDefault="007B3975" w:rsidP="007B3975">
      <w:pPr>
        <w:rPr>
          <w:rFonts w:cs="Calibri"/>
          <w:bCs/>
          <w:i/>
          <w:iCs/>
        </w:rPr>
      </w:pPr>
      <w:r w:rsidRPr="007E2038">
        <w:rPr>
          <w:rFonts w:cstheme="minorHAnsi"/>
          <w:i/>
          <w:iCs/>
          <w:szCs w:val="20"/>
        </w:rPr>
        <w:t>PASC noted that patient impact outcomes had not been captured</w:t>
      </w:r>
      <w:r>
        <w:rPr>
          <w:rFonts w:cstheme="minorHAnsi"/>
          <w:i/>
          <w:iCs/>
          <w:szCs w:val="20"/>
        </w:rPr>
        <w:t xml:space="preserve"> in the applicant’s proposed outcomes</w:t>
      </w:r>
      <w:r w:rsidRPr="007E2038">
        <w:rPr>
          <w:rFonts w:cstheme="minorHAnsi"/>
          <w:i/>
          <w:iCs/>
          <w:szCs w:val="20"/>
        </w:rPr>
        <w:t>.</w:t>
      </w:r>
      <w:r w:rsidRPr="00614367">
        <w:rPr>
          <w:rFonts w:cstheme="minorHAnsi"/>
          <w:i/>
          <w:iCs/>
          <w:szCs w:val="20"/>
        </w:rPr>
        <w:t xml:space="preserve"> </w:t>
      </w:r>
      <w:r w:rsidRPr="00614367">
        <w:rPr>
          <w:rFonts w:cs="Calibri"/>
          <w:bCs/>
          <w:i/>
          <w:iCs/>
        </w:rPr>
        <w:t>PASC considered that there was potential for inequities. If implemented as proposed in this application, VCTE™ for MAFLD would be funded differently to tests for other causes of AF, and there may be a negative impact from VCTE™ being the only funded option for determination of AF. PASC acknowledged that these impacts would be difficult to capture and likely would not be supported by data.</w:t>
      </w:r>
    </w:p>
    <w:p w14:paraId="56B553EA" w14:textId="345CD02B" w:rsidR="007B3975" w:rsidRPr="00F12C22" w:rsidRDefault="007B3975" w:rsidP="007B3975">
      <w:r w:rsidRPr="0032454A">
        <w:rPr>
          <w:rFonts w:cs="Calibri"/>
          <w:bCs/>
          <w:i/>
          <w:iCs/>
        </w:rPr>
        <w:t>PASC noted that cost-effectiveness of VCTE™ would depend on the effectiveness of lifestyle and dietary modification. PASC advised that effectiveness for the purposes of cost-effectiveness determination would be ideally measured with health outcomes, rather than test outcomes. PASC considered that a cost-utility analysis would be desirable, but noted that a cost-effectiveness analysis (CEA) was acceptable based on the clinical claim</w:t>
      </w:r>
      <w:r>
        <w:rPr>
          <w:rFonts w:cs="Calibri"/>
          <w:bCs/>
          <w:i/>
          <w:iCs/>
        </w:rPr>
        <w:t>.</w:t>
      </w:r>
      <w:r w:rsidRPr="0032454A">
        <w:rPr>
          <w:rFonts w:cs="Calibri"/>
          <w:bCs/>
          <w:i/>
          <w:iCs/>
        </w:rPr>
        <w:t xml:space="preserve"> </w:t>
      </w:r>
      <w:r>
        <w:rPr>
          <w:rFonts w:asciiTheme="minorHAnsi" w:hAnsiTheme="minorHAnsi" w:cstheme="minorHAnsi"/>
          <w:i/>
          <w:iCs/>
        </w:rPr>
        <w:t>One example of a health outcome measurable in a CEA would be cost per case of cirrhosis or liver cancer averted.</w:t>
      </w:r>
    </w:p>
    <w:p w14:paraId="59CFF9FE" w14:textId="75A74BDF" w:rsidR="003009BE" w:rsidRPr="00F12C22" w:rsidRDefault="002E40BB" w:rsidP="00972D32">
      <w:r>
        <w:t>T</w:t>
      </w:r>
      <w:r w:rsidR="003009BE" w:rsidRPr="00F12C22">
        <w:t xml:space="preserve">he relevant outcomes for both PICO </w:t>
      </w:r>
      <w:r w:rsidR="0032454A">
        <w:t>s</w:t>
      </w:r>
      <w:r w:rsidR="0032454A" w:rsidRPr="00F12C22">
        <w:t xml:space="preserve">et </w:t>
      </w:r>
      <w:r w:rsidR="003009BE" w:rsidRPr="00F12C22">
        <w:t xml:space="preserve">1 and PICO </w:t>
      </w:r>
      <w:r w:rsidR="0032454A">
        <w:t>s</w:t>
      </w:r>
      <w:r w:rsidR="0032454A" w:rsidRPr="00F12C22">
        <w:t xml:space="preserve">et </w:t>
      </w:r>
      <w:r w:rsidR="003009BE" w:rsidRPr="00F12C22">
        <w:t>2</w:t>
      </w:r>
      <w:r w:rsidR="004B1C50">
        <w:t>, incorporating PASC’s advice,</w:t>
      </w:r>
      <w:r w:rsidR="003009BE" w:rsidRPr="00F12C22">
        <w:t xml:space="preserve"> are</w:t>
      </w:r>
      <w:r>
        <w:t xml:space="preserve"> outlined below</w:t>
      </w:r>
      <w:r w:rsidR="003009BE" w:rsidRPr="00F12C22">
        <w:t>:</w:t>
      </w:r>
    </w:p>
    <w:p w14:paraId="65BD0786" w14:textId="707EE7A4" w:rsidR="003009BE" w:rsidRPr="00F12C22" w:rsidRDefault="00257616" w:rsidP="00E31D34">
      <w:pPr>
        <w:pStyle w:val="ListParagraph"/>
        <w:numPr>
          <w:ilvl w:val="0"/>
          <w:numId w:val="17"/>
        </w:numPr>
        <w:spacing w:before="120" w:after="120"/>
        <w:ind w:left="369" w:hanging="369"/>
        <w:rPr>
          <w:rFonts w:cs="Arial"/>
        </w:rPr>
      </w:pPr>
      <w:r>
        <w:rPr>
          <w:rFonts w:cs="Arial"/>
        </w:rPr>
        <w:t>S</w:t>
      </w:r>
      <w:r w:rsidR="003009BE" w:rsidRPr="00F12C22">
        <w:rPr>
          <w:rFonts w:cs="Arial"/>
        </w:rPr>
        <w:t>afety (including any potential risk of harm to the patient)</w:t>
      </w:r>
      <w:r>
        <w:rPr>
          <w:rFonts w:cs="Arial"/>
        </w:rPr>
        <w:t>.</w:t>
      </w:r>
    </w:p>
    <w:p w14:paraId="1FD68E34" w14:textId="3653600A" w:rsidR="003009BE" w:rsidRPr="00F12C22" w:rsidRDefault="00257616" w:rsidP="00E31D34">
      <w:pPr>
        <w:pStyle w:val="ListParagraph"/>
        <w:numPr>
          <w:ilvl w:val="0"/>
          <w:numId w:val="17"/>
        </w:numPr>
        <w:spacing w:before="120" w:after="120"/>
        <w:ind w:left="369" w:hanging="369"/>
        <w:rPr>
          <w:rFonts w:cs="Arial"/>
        </w:rPr>
      </w:pPr>
      <w:r>
        <w:rPr>
          <w:rFonts w:cs="Arial"/>
        </w:rPr>
        <w:t>A</w:t>
      </w:r>
      <w:r w:rsidR="003009BE" w:rsidRPr="00F12C22">
        <w:rPr>
          <w:rFonts w:cs="Arial"/>
        </w:rPr>
        <w:t>ccuracy (sensitivity, specificity, positive and negative predictive values)</w:t>
      </w:r>
      <w:r w:rsidR="0032454A">
        <w:rPr>
          <w:rFonts w:cs="Arial"/>
        </w:rPr>
        <w:t xml:space="preserve"> </w:t>
      </w:r>
      <w:r w:rsidR="0032454A" w:rsidRPr="0032454A">
        <w:rPr>
          <w:rFonts w:cs="Arial"/>
        </w:rPr>
        <w:t>compared to the reference standard of liver biopsy</w:t>
      </w:r>
      <w:r>
        <w:rPr>
          <w:rFonts w:cs="Arial"/>
        </w:rPr>
        <w:t>.</w:t>
      </w:r>
    </w:p>
    <w:p w14:paraId="051A114C" w14:textId="3E705F44" w:rsidR="003009BE" w:rsidRPr="00120C58" w:rsidRDefault="00257616" w:rsidP="00E31D34">
      <w:pPr>
        <w:pStyle w:val="ListParagraph"/>
        <w:numPr>
          <w:ilvl w:val="0"/>
          <w:numId w:val="17"/>
        </w:numPr>
        <w:spacing w:before="120" w:after="120"/>
        <w:ind w:left="369" w:hanging="369"/>
        <w:rPr>
          <w:rFonts w:cs="Arial"/>
        </w:rPr>
      </w:pPr>
      <w:r>
        <w:rPr>
          <w:rFonts w:cs="Arial"/>
        </w:rPr>
        <w:t>C</w:t>
      </w:r>
      <w:r w:rsidR="003009BE" w:rsidRPr="00F12C22">
        <w:rPr>
          <w:rFonts w:cs="Arial"/>
        </w:rPr>
        <w:t>hange in patient management</w:t>
      </w:r>
      <w:r w:rsidR="00E93285" w:rsidRPr="00F12C22">
        <w:rPr>
          <w:rFonts w:cs="Arial"/>
        </w:rPr>
        <w:t xml:space="preserve"> – change in proportion who remain in primary care, change in proportion who are no longer referred to specialists</w:t>
      </w:r>
      <w:r w:rsidR="00E93285" w:rsidRPr="00120C58">
        <w:rPr>
          <w:rFonts w:cs="Arial"/>
        </w:rPr>
        <w:t>)</w:t>
      </w:r>
      <w:r w:rsidR="00B7362F">
        <w:rPr>
          <w:rFonts w:cs="Arial"/>
        </w:rPr>
        <w:t>.</w:t>
      </w:r>
    </w:p>
    <w:p w14:paraId="0E460710" w14:textId="78037CFB" w:rsidR="0014402F" w:rsidRPr="00120C58" w:rsidRDefault="001812DC" w:rsidP="00E31D34">
      <w:pPr>
        <w:pStyle w:val="ListParagraph"/>
        <w:numPr>
          <w:ilvl w:val="0"/>
          <w:numId w:val="17"/>
        </w:numPr>
        <w:spacing w:before="120" w:after="120"/>
        <w:ind w:left="369" w:hanging="369"/>
        <w:rPr>
          <w:rFonts w:cs="Arial"/>
        </w:rPr>
      </w:pPr>
      <w:r w:rsidRPr="00120C58">
        <w:rPr>
          <w:rFonts w:cs="Arial"/>
        </w:rPr>
        <w:t>P</w:t>
      </w:r>
      <w:r w:rsidR="0014402F" w:rsidRPr="00120C58">
        <w:rPr>
          <w:rFonts w:cs="Arial"/>
        </w:rPr>
        <w:t xml:space="preserve">atient impacts – inequity in the system where </w:t>
      </w:r>
      <w:r w:rsidR="0014402F" w:rsidRPr="00120C58">
        <w:rPr>
          <w:rFonts w:cs="Calibri"/>
        </w:rPr>
        <w:t>VCTE™ for MAFLD is funded differently to other causes of AF, negative impact resulting from VCTE™ being the only</w:t>
      </w:r>
      <w:r w:rsidRPr="00120C58">
        <w:rPr>
          <w:rFonts w:cs="Calibri"/>
        </w:rPr>
        <w:t xml:space="preserve"> funded</w:t>
      </w:r>
      <w:r w:rsidR="0014402F" w:rsidRPr="00120C58">
        <w:rPr>
          <w:rFonts w:cs="Calibri"/>
        </w:rPr>
        <w:t xml:space="preserve"> option for determination of AF</w:t>
      </w:r>
      <w:r w:rsidR="00B7362F">
        <w:rPr>
          <w:rFonts w:cs="Calibri"/>
        </w:rPr>
        <w:t>.</w:t>
      </w:r>
    </w:p>
    <w:p w14:paraId="539900DB" w14:textId="0C3CEBBE" w:rsidR="00E93285" w:rsidRPr="00F12C22" w:rsidRDefault="001812DC" w:rsidP="00E31D34">
      <w:pPr>
        <w:pStyle w:val="ListParagraph"/>
        <w:numPr>
          <w:ilvl w:val="0"/>
          <w:numId w:val="17"/>
        </w:numPr>
        <w:spacing w:before="120" w:after="120"/>
        <w:ind w:left="369" w:hanging="369"/>
        <w:rPr>
          <w:rFonts w:cs="Arial"/>
        </w:rPr>
      </w:pPr>
      <w:r>
        <w:rPr>
          <w:rFonts w:cs="Arial"/>
        </w:rPr>
        <w:lastRenderedPageBreak/>
        <w:t>E</w:t>
      </w:r>
      <w:r w:rsidR="003009BE" w:rsidRPr="00F12C22">
        <w:rPr>
          <w:rFonts w:cs="Arial"/>
        </w:rPr>
        <w:t xml:space="preserve">fficacy/effectiveness (including, but not limited to, patient-relevant outcomes such as </w:t>
      </w:r>
      <w:r w:rsidR="000A4A3F" w:rsidRPr="00F12C22">
        <w:rPr>
          <w:rFonts w:cs="Arial"/>
        </w:rPr>
        <w:t>AF</w:t>
      </w:r>
      <w:r w:rsidR="003009BE" w:rsidRPr="00F12C22">
        <w:rPr>
          <w:rFonts w:cs="Arial"/>
        </w:rPr>
        <w:t>, progression of fibrosis, compensated and decompensated cirrhosis, health-related quality of life, mortality)</w:t>
      </w:r>
      <w:r w:rsidR="00E93285" w:rsidRPr="00F12C22">
        <w:rPr>
          <w:rFonts w:cs="Arial"/>
        </w:rPr>
        <w:t xml:space="preserve"> – of </w:t>
      </w:r>
      <w:r w:rsidR="00E93285" w:rsidRPr="00F12C22">
        <w:rPr>
          <w:rFonts w:cs="Calibri"/>
        </w:rPr>
        <w:t>VCTE™ itself and of the elements related to the consultation</w:t>
      </w:r>
      <w:r>
        <w:rPr>
          <w:rFonts w:cs="Calibri"/>
        </w:rPr>
        <w:t>.</w:t>
      </w:r>
      <w:r w:rsidR="00E93285" w:rsidRPr="00F12C22">
        <w:rPr>
          <w:rFonts w:cs="Arial"/>
        </w:rPr>
        <w:t xml:space="preserve"> </w:t>
      </w:r>
    </w:p>
    <w:p w14:paraId="7732FB29" w14:textId="6B46D3FF" w:rsidR="003009BE" w:rsidRPr="00F12C22" w:rsidRDefault="001812DC" w:rsidP="00E31D34">
      <w:pPr>
        <w:pStyle w:val="ListParagraph"/>
        <w:numPr>
          <w:ilvl w:val="0"/>
          <w:numId w:val="17"/>
        </w:numPr>
        <w:spacing w:before="120" w:after="120"/>
        <w:ind w:left="369" w:hanging="369"/>
        <w:rPr>
          <w:rFonts w:cs="Arial"/>
        </w:rPr>
      </w:pPr>
      <w:r>
        <w:rPr>
          <w:rFonts w:cs="Arial"/>
        </w:rPr>
        <w:t>H</w:t>
      </w:r>
      <w:r w:rsidR="003009BE" w:rsidRPr="00F12C22">
        <w:rPr>
          <w:rFonts w:cs="Arial"/>
        </w:rPr>
        <w:t>ealth care resources</w:t>
      </w:r>
      <w:r>
        <w:rPr>
          <w:rFonts w:cs="Arial"/>
        </w:rPr>
        <w:t>.</w:t>
      </w:r>
    </w:p>
    <w:p w14:paraId="1FEC921A" w14:textId="2A2ED485" w:rsidR="00E61CB4" w:rsidRPr="00F12C22" w:rsidRDefault="001812DC" w:rsidP="00E31D34">
      <w:pPr>
        <w:pStyle w:val="ListParagraph"/>
        <w:numPr>
          <w:ilvl w:val="0"/>
          <w:numId w:val="17"/>
        </w:numPr>
        <w:spacing w:before="120" w:after="120"/>
        <w:ind w:left="369" w:hanging="369"/>
        <w:rPr>
          <w:rFonts w:cs="Arial"/>
        </w:rPr>
      </w:pPr>
      <w:r>
        <w:rPr>
          <w:rFonts w:cs="Arial"/>
        </w:rPr>
        <w:t>C</w:t>
      </w:r>
      <w:r w:rsidR="003009BE" w:rsidRPr="00F12C22">
        <w:rPr>
          <w:rFonts w:cs="Arial"/>
        </w:rPr>
        <w:t>ost-effectiveness</w:t>
      </w:r>
      <w:r>
        <w:rPr>
          <w:rFonts w:cs="Arial"/>
        </w:rPr>
        <w:t>.</w:t>
      </w:r>
    </w:p>
    <w:p w14:paraId="7544A3C1" w14:textId="27738D8A" w:rsidR="007B764E" w:rsidRPr="004D7619" w:rsidRDefault="001812DC" w:rsidP="0032454A">
      <w:pPr>
        <w:pStyle w:val="ListParagraph"/>
        <w:numPr>
          <w:ilvl w:val="0"/>
          <w:numId w:val="17"/>
        </w:numPr>
        <w:spacing w:before="120" w:after="120"/>
        <w:ind w:left="369" w:hanging="369"/>
        <w:rPr>
          <w:rFonts w:asciiTheme="minorHAnsi" w:hAnsiTheme="minorHAnsi" w:cstheme="minorHAnsi"/>
        </w:rPr>
      </w:pPr>
      <w:r>
        <w:rPr>
          <w:rFonts w:cs="Arial"/>
        </w:rPr>
        <w:t>T</w:t>
      </w:r>
      <w:r w:rsidR="003009BE" w:rsidRPr="00F12C22">
        <w:rPr>
          <w:rFonts w:cs="Arial"/>
        </w:rPr>
        <w:t>otal Australian Government health care costs.</w:t>
      </w:r>
    </w:p>
    <w:p w14:paraId="4BBF84CB" w14:textId="77777777" w:rsidR="009B31CC" w:rsidRPr="005C67C7" w:rsidRDefault="009B31CC" w:rsidP="00713728">
      <w:pPr>
        <w:pStyle w:val="Heading2"/>
        <w:rPr>
          <w:color w:val="auto"/>
        </w:rPr>
      </w:pPr>
      <w:r w:rsidRPr="005C67C7">
        <w:rPr>
          <w:color w:val="auto"/>
        </w:rPr>
        <w:t>Assessment framework (for investigative technologies)</w:t>
      </w:r>
    </w:p>
    <w:p w14:paraId="4AAC5C15" w14:textId="4EC05C89" w:rsidR="00D917C4" w:rsidRDefault="0058449E" w:rsidP="00E70A6C">
      <w:r w:rsidRPr="00F12C22">
        <w:rPr>
          <w:rFonts w:cs="Calibri"/>
        </w:rPr>
        <w:t xml:space="preserve">A linked evidence approach is the most appropriate as there is unlikely to be direct evidence of the impact of </w:t>
      </w:r>
      <w:r w:rsidR="00823CCA" w:rsidRPr="00F12C22">
        <w:rPr>
          <w:rFonts w:cs="Calibri"/>
        </w:rPr>
        <w:t>VCTE™</w:t>
      </w:r>
      <w:r w:rsidRPr="00F12C22">
        <w:rPr>
          <w:rFonts w:cs="Calibri"/>
        </w:rPr>
        <w:t xml:space="preserve"> testing on health outcomes. An assessment framework linking </w:t>
      </w:r>
      <w:r w:rsidR="00823CCA" w:rsidRPr="00F12C22">
        <w:rPr>
          <w:rFonts w:cs="Calibri"/>
        </w:rPr>
        <w:t>VCTE™</w:t>
      </w:r>
      <w:r w:rsidRPr="00F12C22">
        <w:rPr>
          <w:rFonts w:cs="Calibri"/>
        </w:rPr>
        <w:t xml:space="preserve"> testing to relevant health outcomes is presented </w:t>
      </w:r>
      <w:r w:rsidRPr="00F12C22">
        <w:t xml:space="preserve">in </w:t>
      </w:r>
      <w:r w:rsidRPr="00F12C22">
        <w:fldChar w:fldCharType="begin"/>
      </w:r>
      <w:r w:rsidRPr="00F12C22">
        <w:instrText xml:space="preserve"> REF _Ref68327680 \h </w:instrText>
      </w:r>
      <w:r w:rsidRPr="00F12C22">
        <w:fldChar w:fldCharType="separate"/>
      </w:r>
      <w:r w:rsidR="00D917C4" w:rsidRPr="00F12C22">
        <w:t>Figure </w:t>
      </w:r>
      <w:r w:rsidR="00D917C4">
        <w:rPr>
          <w:noProof/>
        </w:rPr>
        <w:t>2</w:t>
      </w:r>
      <w:r w:rsidRPr="00F12C22">
        <w:fldChar w:fldCharType="end"/>
      </w:r>
      <w:r w:rsidRPr="00F12C22">
        <w:t xml:space="preserve">. </w:t>
      </w:r>
    </w:p>
    <w:p w14:paraId="5904713E" w14:textId="301E3051" w:rsidR="00E70A6C" w:rsidRDefault="008C1806" w:rsidP="005C67C7">
      <w:r w:rsidRPr="00120C58">
        <w:rPr>
          <w:rFonts w:asciiTheme="minorHAnsi" w:hAnsiTheme="minorHAnsi" w:cstheme="minorHAnsi"/>
          <w:i/>
          <w:iCs/>
        </w:rPr>
        <w:t>PASC noted that the</w:t>
      </w:r>
      <w:r>
        <w:rPr>
          <w:rFonts w:asciiTheme="minorHAnsi" w:hAnsiTheme="minorHAnsi" w:cstheme="minorHAnsi"/>
          <w:i/>
          <w:iCs/>
        </w:rPr>
        <w:t xml:space="preserve"> impact of treatment and management is an important part of the linked evidence approach, and that the</w:t>
      </w:r>
      <w:r w:rsidRPr="00120C58">
        <w:rPr>
          <w:rFonts w:asciiTheme="minorHAnsi" w:hAnsiTheme="minorHAnsi" w:cstheme="minorHAnsi"/>
          <w:i/>
          <w:iCs/>
        </w:rPr>
        <w:t xml:space="preserve"> assessment framework did not specifically indicate a “change in management”</w:t>
      </w:r>
      <w:r>
        <w:rPr>
          <w:rFonts w:asciiTheme="minorHAnsi" w:hAnsiTheme="minorHAnsi" w:cstheme="minorHAnsi"/>
          <w:i/>
          <w:iCs/>
        </w:rPr>
        <w:t xml:space="preserve">. PASC advised that this </w:t>
      </w:r>
      <w:r w:rsidRPr="00120C58">
        <w:rPr>
          <w:rFonts w:asciiTheme="minorHAnsi" w:hAnsiTheme="minorHAnsi" w:cstheme="minorHAnsi"/>
          <w:i/>
          <w:iCs/>
        </w:rPr>
        <w:t>should be included at point ‘5’ in figure</w:t>
      </w:r>
      <w:r w:rsidR="007B018A">
        <w:rPr>
          <w:rFonts w:asciiTheme="minorHAnsi" w:hAnsiTheme="minorHAnsi" w:cstheme="minorHAnsi"/>
          <w:i/>
          <w:iCs/>
        </w:rPr>
        <w:t xml:space="preserve"> 3</w:t>
      </w:r>
      <w:r w:rsidRPr="00120C58">
        <w:rPr>
          <w:rFonts w:asciiTheme="minorHAnsi" w:hAnsiTheme="minorHAnsi" w:cstheme="minorHAnsi"/>
          <w:i/>
          <w:iCs/>
        </w:rPr>
        <w:t>.</w:t>
      </w:r>
      <w:r>
        <w:rPr>
          <w:rFonts w:asciiTheme="minorHAnsi" w:hAnsiTheme="minorHAnsi" w:cstheme="minorHAnsi"/>
          <w:i/>
          <w:iCs/>
        </w:rPr>
        <w:t xml:space="preserve"> </w:t>
      </w:r>
      <w:r w:rsidR="00B7362F">
        <w:rPr>
          <w:rFonts w:asciiTheme="minorHAnsi" w:hAnsiTheme="minorHAnsi" w:cstheme="minorHAnsi"/>
        </w:rPr>
        <w:t xml:space="preserve">This has since been amended. </w:t>
      </w:r>
      <w:r>
        <w:rPr>
          <w:rFonts w:asciiTheme="minorHAnsi" w:hAnsiTheme="minorHAnsi" w:cstheme="minorHAnsi"/>
          <w:i/>
          <w:iCs/>
        </w:rPr>
        <w:t>PASC noted that this was relevant to Question 4 below.</w:t>
      </w:r>
      <w:bookmarkStart w:id="7" w:name="_Ref68327593"/>
      <w:bookmarkStart w:id="8" w:name="_Ref68327680"/>
    </w:p>
    <w:p w14:paraId="7E9FEE41" w14:textId="3D0953AF" w:rsidR="00C15ADF" w:rsidRPr="00F12C22" w:rsidRDefault="00C15ADF" w:rsidP="005C67C7">
      <w:r>
        <w:rPr>
          <w:noProof/>
        </w:rPr>
        <w:drawing>
          <wp:inline distT="0" distB="0" distL="0" distR="0" wp14:anchorId="33B032CF" wp14:editId="2E3FA721">
            <wp:extent cx="6240946" cy="2609850"/>
            <wp:effectExtent l="0" t="0" r="7620" b="0"/>
            <wp:docPr id="335822482" name="Picture 2" descr="VCTE™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22482" name="Picture 2" descr="VCTE™ assessment framework showing the links from the test population to health outco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3599" cy="2610959"/>
                    </a:xfrm>
                    <a:prstGeom prst="rect">
                      <a:avLst/>
                    </a:prstGeom>
                    <a:noFill/>
                  </pic:spPr>
                </pic:pic>
              </a:graphicData>
            </a:graphic>
          </wp:inline>
        </w:drawing>
      </w:r>
    </w:p>
    <w:p w14:paraId="58E23E9A" w14:textId="315FB7B2" w:rsidR="009B31CC" w:rsidRPr="00F12C22" w:rsidRDefault="00AE6FE0" w:rsidP="00C40CC4">
      <w:pPr>
        <w:pStyle w:val="Caption"/>
      </w:pPr>
      <w:r w:rsidRPr="00F12C22">
        <w:t>Figure</w:t>
      </w:r>
      <w:bookmarkEnd w:id="7"/>
      <w:r w:rsidR="00E607F3" w:rsidRPr="00F12C22">
        <w:t> </w:t>
      </w:r>
      <w:r w:rsidRPr="00F12C22">
        <w:fldChar w:fldCharType="begin"/>
      </w:r>
      <w:r w:rsidRPr="00F12C22">
        <w:instrText xml:space="preserve"> SEQ Figure \* ARABIC </w:instrText>
      </w:r>
      <w:r w:rsidRPr="00F12C22">
        <w:fldChar w:fldCharType="separate"/>
      </w:r>
      <w:r w:rsidR="00280F06">
        <w:rPr>
          <w:noProof/>
        </w:rPr>
        <w:t>3</w:t>
      </w:r>
      <w:r w:rsidRPr="00F12C22">
        <w:fldChar w:fldCharType="end"/>
      </w:r>
      <w:bookmarkEnd w:id="8"/>
      <w:r w:rsidR="009B31CC" w:rsidRPr="00F12C22">
        <w:tab/>
      </w:r>
      <w:r w:rsidR="00823CCA" w:rsidRPr="00F12C22">
        <w:t>VCTE™</w:t>
      </w:r>
      <w:r w:rsidR="009B31CC" w:rsidRPr="00F12C22">
        <w:t xml:space="preserve"> assessment framework showing the links from the test population to health outcomes</w:t>
      </w:r>
    </w:p>
    <w:p w14:paraId="534738C5" w14:textId="5594621B" w:rsidR="00C40CC4" w:rsidRPr="00F12C22" w:rsidRDefault="00C40CC4" w:rsidP="005C67C7">
      <w:pPr>
        <w:pStyle w:val="Tablenotes"/>
        <w:keepLines/>
        <w:spacing w:after="0"/>
        <w:rPr>
          <w:szCs w:val="18"/>
        </w:rPr>
      </w:pPr>
      <w:r w:rsidRPr="00F12C22">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2AEA8537" w14:textId="3CAB7087" w:rsidR="0058449E" w:rsidRPr="00F12C22" w:rsidRDefault="0058449E" w:rsidP="00C40CC4">
      <w:pPr>
        <w:pStyle w:val="Tablenotes"/>
        <w:keepLines/>
        <w:rPr>
          <w:szCs w:val="18"/>
        </w:rPr>
      </w:pPr>
      <w:r w:rsidRPr="00F12C22">
        <w:rPr>
          <w:szCs w:val="18"/>
        </w:rPr>
        <w:t>AF = advanced fibrosis; FIB-4 = fibrosis-4; HCC = hepatocellular carcinoma; kPa = kilopascals; LSM = liver stiffness measurement; MALFD = metabolic dysfunction-associated fatty liver disease</w:t>
      </w:r>
    </w:p>
    <w:p w14:paraId="4F658E31" w14:textId="46CF3FDF" w:rsidR="0058449E" w:rsidRPr="00F12C22" w:rsidRDefault="0058449E" w:rsidP="0058449E">
      <w:pPr>
        <w:ind w:left="-20" w:right="-20"/>
        <w:rPr>
          <w:rFonts w:cs="Calibri"/>
        </w:rPr>
      </w:pPr>
      <w:r w:rsidRPr="00F12C22">
        <w:rPr>
          <w:rFonts w:cs="Calibri"/>
        </w:rPr>
        <w:t>Questions relevant to this assessment framework are as follows:</w:t>
      </w:r>
    </w:p>
    <w:p w14:paraId="0F99DB2C" w14:textId="08D9F40C" w:rsidR="00E70A6C" w:rsidRPr="00F12C22" w:rsidRDefault="00E70A6C" w:rsidP="00E31D34">
      <w:pPr>
        <w:pStyle w:val="ListParagraph"/>
        <w:numPr>
          <w:ilvl w:val="0"/>
          <w:numId w:val="14"/>
        </w:numPr>
        <w:ind w:left="284" w:hanging="284"/>
      </w:pPr>
      <w:r w:rsidRPr="00F12C22">
        <w:t xml:space="preserve">What is the accuracy of VCTE™ compared with liver biopsy? </w:t>
      </w:r>
    </w:p>
    <w:p w14:paraId="0C9AA53B" w14:textId="561B368A" w:rsidR="0058449E" w:rsidRPr="00F12C22" w:rsidRDefault="0058449E" w:rsidP="00E31D34">
      <w:pPr>
        <w:pStyle w:val="ListParagraph"/>
        <w:numPr>
          <w:ilvl w:val="0"/>
          <w:numId w:val="14"/>
        </w:numPr>
        <w:ind w:left="284" w:hanging="284"/>
      </w:pPr>
      <w:r w:rsidRPr="00F12C22">
        <w:t>Does the availability of new information (</w:t>
      </w:r>
      <w:r w:rsidR="00976340" w:rsidRPr="00F12C22">
        <w:t>LSM status</w:t>
      </w:r>
      <w:r w:rsidRPr="00F12C22">
        <w:t xml:space="preserve">) from </w:t>
      </w:r>
      <w:r w:rsidR="00823CCA" w:rsidRPr="00F12C22">
        <w:t>VCTE™</w:t>
      </w:r>
      <w:r w:rsidRPr="00F12C22">
        <w:t xml:space="preserve"> testing </w:t>
      </w:r>
      <w:r w:rsidR="00976340" w:rsidRPr="00F12C22">
        <w:t xml:space="preserve">in primary care </w:t>
      </w:r>
      <w:r w:rsidRPr="00F12C22">
        <w:t>lead to a change in management of the patient?</w:t>
      </w:r>
    </w:p>
    <w:p w14:paraId="0D6D9A97" w14:textId="6B9866D3" w:rsidR="008C1806" w:rsidRPr="008C1806" w:rsidRDefault="00E70A6C" w:rsidP="008C1806">
      <w:pPr>
        <w:pStyle w:val="ListParagraph"/>
        <w:numPr>
          <w:ilvl w:val="0"/>
          <w:numId w:val="14"/>
        </w:numPr>
        <w:ind w:left="284" w:hanging="284"/>
      </w:pPr>
      <w:r w:rsidRPr="00F12C22">
        <w:t xml:space="preserve">Does the use of VCTE™ in place of </w:t>
      </w:r>
      <w:r w:rsidR="0032454A">
        <w:t>standard of care</w:t>
      </w:r>
      <w:r w:rsidR="003E1BD3" w:rsidRPr="00F12C22">
        <w:t xml:space="preserve"> </w:t>
      </w:r>
      <w:r w:rsidRPr="00F12C22">
        <w:t>result in the claimed superior health outcomes?</w:t>
      </w:r>
    </w:p>
    <w:p w14:paraId="3B47F365" w14:textId="357C0C9B" w:rsidR="00511AE6" w:rsidRPr="00F12C22" w:rsidRDefault="00511AE6" w:rsidP="00E31D34">
      <w:pPr>
        <w:pStyle w:val="ListParagraph"/>
        <w:numPr>
          <w:ilvl w:val="0"/>
          <w:numId w:val="14"/>
        </w:numPr>
        <w:ind w:left="284" w:hanging="284"/>
      </w:pPr>
      <w:r w:rsidRPr="00F12C22">
        <w:t xml:space="preserve">Do the differences in </w:t>
      </w:r>
      <w:r w:rsidR="00FD02EF">
        <w:t>patient</w:t>
      </w:r>
      <w:r w:rsidR="00FD02EF" w:rsidRPr="00F12C22">
        <w:t xml:space="preserve"> </w:t>
      </w:r>
      <w:r w:rsidRPr="00F12C22">
        <w:t>management derived from VCTE™ result in the claimed superior health outcomes (OS, HRQoL)?</w:t>
      </w:r>
    </w:p>
    <w:p w14:paraId="76536C7F" w14:textId="773EDBCF" w:rsidR="00E70A6C" w:rsidRPr="00F12C22" w:rsidRDefault="00FD02EF" w:rsidP="00E31D34">
      <w:pPr>
        <w:pStyle w:val="ListParagraph"/>
        <w:numPr>
          <w:ilvl w:val="0"/>
          <w:numId w:val="14"/>
        </w:numPr>
        <w:ind w:left="284" w:hanging="284"/>
      </w:pPr>
      <w:r>
        <w:lastRenderedPageBreak/>
        <w:t>Are any</w:t>
      </w:r>
      <w:r w:rsidR="00E70A6C" w:rsidRPr="00F12C22">
        <w:t xml:space="preserve"> adverse events associated with VCTE™?</w:t>
      </w:r>
    </w:p>
    <w:p w14:paraId="6249B0CF" w14:textId="50B9FB94" w:rsidR="0058449E" w:rsidRDefault="00FD02EF" w:rsidP="00E31D34">
      <w:pPr>
        <w:pStyle w:val="ListParagraph"/>
        <w:numPr>
          <w:ilvl w:val="0"/>
          <w:numId w:val="14"/>
        </w:numPr>
        <w:ind w:left="284" w:hanging="284"/>
      </w:pPr>
      <w:r>
        <w:t>Are any</w:t>
      </w:r>
      <w:r w:rsidR="0058449E" w:rsidRPr="00F12C22">
        <w:t xml:space="preserve"> adverse events associated with </w:t>
      </w:r>
      <w:r w:rsidR="00511AE6" w:rsidRPr="00F12C22">
        <w:t>changes in clinical management</w:t>
      </w:r>
      <w:r w:rsidR="0058449E" w:rsidRPr="00F12C22">
        <w:t>?</w:t>
      </w:r>
    </w:p>
    <w:p w14:paraId="7A993D82" w14:textId="1709BEA7" w:rsidR="003A4630" w:rsidRPr="004D7619" w:rsidRDefault="008C1806" w:rsidP="00F42687">
      <w:pPr>
        <w:rPr>
          <w:i/>
          <w:iCs/>
        </w:rPr>
      </w:pPr>
      <w:r w:rsidRPr="008C1806">
        <w:rPr>
          <w:i/>
          <w:iCs/>
        </w:rPr>
        <w:t>PASC advised that, if the comparator was revised to be standard of care as opposed to ultrasound, Question 3 would need to also be revised, for example to read: ‘Does the use of VCTE™ in place of standard of care result in the claimed superior health outcomes?’</w:t>
      </w:r>
    </w:p>
    <w:p w14:paraId="6069F0B5" w14:textId="617E776C" w:rsidR="00D73332" w:rsidRPr="005C67C7" w:rsidRDefault="00D73332" w:rsidP="00713728">
      <w:pPr>
        <w:pStyle w:val="Heading2"/>
        <w:rPr>
          <w:color w:val="auto"/>
        </w:rPr>
      </w:pPr>
      <w:r w:rsidRPr="005C67C7">
        <w:rPr>
          <w:color w:val="auto"/>
        </w:rPr>
        <w:t>Clinical management algorithms</w:t>
      </w:r>
    </w:p>
    <w:p w14:paraId="13D028E2" w14:textId="44A024D6" w:rsidR="00FA572A" w:rsidRDefault="00A87E1F" w:rsidP="001660E9">
      <w:pPr>
        <w:rPr>
          <w:i/>
          <w:iCs/>
        </w:rPr>
      </w:pPr>
      <w:r>
        <w:t xml:space="preserve">The current clinical management algorithm provided by the </w:t>
      </w:r>
      <w:r w:rsidR="00FF0847">
        <w:t>applicant</w:t>
      </w:r>
      <w:r w:rsidR="002E4504">
        <w:t xml:space="preserve"> </w:t>
      </w:r>
      <w:r w:rsidR="002E4504">
        <w:rPr>
          <w:i/>
          <w:iCs/>
        </w:rPr>
        <w:t>and amended according to PASC advice</w:t>
      </w:r>
      <w:r w:rsidR="00FF0847">
        <w:t xml:space="preserve"> </w:t>
      </w:r>
      <w:r w:rsidR="00421A0E">
        <w:t xml:space="preserve">is presented in </w:t>
      </w:r>
      <w:r w:rsidR="00421A0E">
        <w:fldChar w:fldCharType="begin"/>
      </w:r>
      <w:r w:rsidR="00421A0E">
        <w:instrText xml:space="preserve"> REF _Ref193875879 \h </w:instrText>
      </w:r>
      <w:r w:rsidR="00421A0E">
        <w:fldChar w:fldCharType="separate"/>
      </w:r>
      <w:r w:rsidR="00421A0E">
        <w:t xml:space="preserve">Figure </w:t>
      </w:r>
      <w:r w:rsidR="00421A0E">
        <w:fldChar w:fldCharType="end"/>
      </w:r>
      <w:r w:rsidR="0012390F">
        <w:t>4</w:t>
      </w:r>
      <w:r w:rsidR="00421A0E">
        <w:t xml:space="preserve">. </w:t>
      </w:r>
      <w:r w:rsidR="004A6142" w:rsidRPr="00F42687">
        <w:rPr>
          <w:i/>
          <w:iCs/>
        </w:rPr>
        <w:t xml:space="preserve">PASC considered that for the ‘no second-line </w:t>
      </w:r>
      <w:r w:rsidR="00FA572A">
        <w:rPr>
          <w:i/>
          <w:iCs/>
        </w:rPr>
        <w:t>non-invasive liver test</w:t>
      </w:r>
      <w:r w:rsidR="004A6142" w:rsidRPr="00F42687">
        <w:rPr>
          <w:i/>
          <w:iCs/>
        </w:rPr>
        <w:t>’ arm in the current clinical management algorithm,</w:t>
      </w:r>
      <w:r w:rsidR="00FA572A">
        <w:rPr>
          <w:i/>
          <w:iCs/>
        </w:rPr>
        <w:t xml:space="preserve"> that</w:t>
      </w:r>
      <w:r w:rsidR="004A6142" w:rsidRPr="00F42687">
        <w:rPr>
          <w:i/>
          <w:iCs/>
        </w:rPr>
        <w:t xml:space="preserve"> (i) other tests c</w:t>
      </w:r>
      <w:r w:rsidR="00FA572A">
        <w:rPr>
          <w:i/>
          <w:iCs/>
        </w:rPr>
        <w:t>ould</w:t>
      </w:r>
      <w:r w:rsidR="004A6142" w:rsidRPr="00F42687">
        <w:rPr>
          <w:i/>
          <w:iCs/>
        </w:rPr>
        <w:t xml:space="preserve"> be conducted at this stage, although they are not MBS-listed, and could be included within the algorithm</w:t>
      </w:r>
      <w:r w:rsidR="00FA572A">
        <w:rPr>
          <w:i/>
          <w:iCs/>
        </w:rPr>
        <w:t>;</w:t>
      </w:r>
      <w:r w:rsidR="004A6142" w:rsidRPr="00F42687">
        <w:rPr>
          <w:i/>
          <w:iCs/>
        </w:rPr>
        <w:t xml:space="preserve"> and (ii) the subsequent events in this pathway of the algorithm</w:t>
      </w:r>
      <w:r w:rsidR="00FA572A">
        <w:rPr>
          <w:i/>
          <w:iCs/>
        </w:rPr>
        <w:t xml:space="preserve">, as proposed by the applicant, </w:t>
      </w:r>
      <w:r w:rsidR="004A6142" w:rsidRPr="00F42687">
        <w:rPr>
          <w:i/>
          <w:iCs/>
        </w:rPr>
        <w:t>represent</w:t>
      </w:r>
      <w:r w:rsidR="00FA572A">
        <w:rPr>
          <w:i/>
          <w:iCs/>
        </w:rPr>
        <w:t>ed</w:t>
      </w:r>
      <w:r w:rsidR="004A6142" w:rsidRPr="00F42687">
        <w:rPr>
          <w:i/>
          <w:iCs/>
        </w:rPr>
        <w:t xml:space="preserve"> a subset of outcomes rather than being part of the clinical management pathway. </w:t>
      </w:r>
    </w:p>
    <w:p w14:paraId="25777E9D" w14:textId="75FE62B5" w:rsidR="005E120C" w:rsidRDefault="00E34D11" w:rsidP="001660E9">
      <w:r w:rsidRPr="00F12C22">
        <w:t xml:space="preserve">An updated </w:t>
      </w:r>
      <w:r w:rsidR="00B0693C" w:rsidRPr="00F12C22">
        <w:t xml:space="preserve">proposed </w:t>
      </w:r>
      <w:r w:rsidR="006279E0" w:rsidRPr="00F12C22">
        <w:t xml:space="preserve">clinical management algorithm provided </w:t>
      </w:r>
      <w:r w:rsidR="00DE7ADF" w:rsidRPr="00F12C22">
        <w:t>by the applicant</w:t>
      </w:r>
      <w:r w:rsidR="006279E0" w:rsidRPr="00F12C22">
        <w:t xml:space="preserve"> </w:t>
      </w:r>
      <w:r w:rsidR="00DE7ADF" w:rsidRPr="00F12C22">
        <w:t xml:space="preserve">(and amended for the PICO Confirmation) </w:t>
      </w:r>
      <w:r w:rsidR="00BF6C0A">
        <w:t>is</w:t>
      </w:r>
      <w:r w:rsidR="00BF6C0A" w:rsidRPr="00F12C22">
        <w:t xml:space="preserve"> </w:t>
      </w:r>
      <w:r w:rsidR="00B0693C" w:rsidRPr="00F12C22">
        <w:t xml:space="preserve">presented in </w:t>
      </w:r>
      <w:r w:rsidR="00B0693C" w:rsidRPr="00F12C22">
        <w:fldChar w:fldCharType="begin"/>
      </w:r>
      <w:r w:rsidR="00B0693C" w:rsidRPr="00F12C22">
        <w:instrText xml:space="preserve"> REF _Ref193072203 \h </w:instrText>
      </w:r>
      <w:r w:rsidR="00B0693C" w:rsidRPr="00F12C22">
        <w:fldChar w:fldCharType="separate"/>
      </w:r>
      <w:r w:rsidR="008B40C7" w:rsidRPr="00F12C22">
        <w:t xml:space="preserve">Figure </w:t>
      </w:r>
      <w:r w:rsidR="00B0693C" w:rsidRPr="00F12C22">
        <w:fldChar w:fldCharType="end"/>
      </w:r>
      <w:r w:rsidR="0012390F">
        <w:t>5</w:t>
      </w:r>
      <w:r w:rsidR="00B0693C" w:rsidRPr="00F12C22">
        <w:t xml:space="preserve"> for the primary care (PICO </w:t>
      </w:r>
      <w:r w:rsidR="00C15ADF">
        <w:t>s</w:t>
      </w:r>
      <w:r w:rsidR="00C15ADF" w:rsidRPr="00F12C22">
        <w:t xml:space="preserve">et </w:t>
      </w:r>
      <w:r w:rsidR="00B0693C" w:rsidRPr="00F12C22">
        <w:t xml:space="preserve">1) and specialist (PICO </w:t>
      </w:r>
      <w:r w:rsidR="00C15ADF">
        <w:t>s</w:t>
      </w:r>
      <w:r w:rsidR="00C15ADF" w:rsidRPr="00F12C22">
        <w:t xml:space="preserve">et </w:t>
      </w:r>
      <w:r w:rsidR="00B0693C" w:rsidRPr="00F12C22">
        <w:t>2) settings.</w:t>
      </w:r>
    </w:p>
    <w:p w14:paraId="32868808" w14:textId="09E17116" w:rsidR="00FA572A" w:rsidRPr="00F12C22" w:rsidRDefault="00FA572A" w:rsidP="00FA572A">
      <w:r w:rsidRPr="00223D71">
        <w:rPr>
          <w:rFonts w:asciiTheme="minorHAnsi" w:hAnsiTheme="minorHAnsi" w:cstheme="minorHAnsi"/>
          <w:i/>
          <w:iCs/>
          <w:szCs w:val="20"/>
        </w:rPr>
        <w:t xml:space="preserve">PASC noted that the </w:t>
      </w:r>
      <w:r w:rsidR="004C196B">
        <w:rPr>
          <w:rFonts w:asciiTheme="minorHAnsi" w:hAnsiTheme="minorHAnsi" w:cstheme="minorHAnsi"/>
          <w:i/>
          <w:iCs/>
          <w:szCs w:val="20"/>
        </w:rPr>
        <w:t>use of</w:t>
      </w:r>
      <w:r w:rsidRPr="00223D71">
        <w:rPr>
          <w:rFonts w:asciiTheme="minorHAnsi" w:hAnsiTheme="minorHAnsi" w:cstheme="minorHAnsi"/>
          <w:i/>
          <w:iCs/>
          <w:szCs w:val="20"/>
        </w:rPr>
        <w:t xml:space="preserve"> repeat </w:t>
      </w:r>
      <w:r w:rsidRPr="00223D71">
        <w:rPr>
          <w:i/>
          <w:iCs/>
          <w:szCs w:val="18"/>
        </w:rPr>
        <w:t>VCTE™</w:t>
      </w:r>
      <w:r>
        <w:rPr>
          <w:szCs w:val="18"/>
        </w:rPr>
        <w:t xml:space="preserve"> </w:t>
      </w:r>
      <w:r>
        <w:rPr>
          <w:i/>
          <w:iCs/>
          <w:szCs w:val="18"/>
        </w:rPr>
        <w:t xml:space="preserve">for </w:t>
      </w:r>
      <w:r w:rsidR="00D716DE">
        <w:rPr>
          <w:i/>
          <w:iCs/>
          <w:szCs w:val="18"/>
        </w:rPr>
        <w:t>the</w:t>
      </w:r>
      <w:r w:rsidRPr="00223D71">
        <w:rPr>
          <w:i/>
          <w:iCs/>
          <w:szCs w:val="18"/>
        </w:rPr>
        <w:t xml:space="preserve"> </w:t>
      </w:r>
      <w:r w:rsidR="004C196B">
        <w:rPr>
          <w:i/>
          <w:iCs/>
          <w:szCs w:val="18"/>
        </w:rPr>
        <w:t>purposes</w:t>
      </w:r>
      <w:r w:rsidRPr="00223D71">
        <w:rPr>
          <w:i/>
          <w:iCs/>
          <w:szCs w:val="18"/>
        </w:rPr>
        <w:t xml:space="preserve"> </w:t>
      </w:r>
      <w:r w:rsidR="00D716DE">
        <w:rPr>
          <w:i/>
          <w:iCs/>
          <w:szCs w:val="18"/>
        </w:rPr>
        <w:t>of monitoring known fibrosis</w:t>
      </w:r>
      <w:r w:rsidRPr="00223D71">
        <w:rPr>
          <w:i/>
          <w:iCs/>
          <w:szCs w:val="18"/>
        </w:rPr>
        <w:t xml:space="preserve"> </w:t>
      </w:r>
      <w:r w:rsidR="001E6EB3">
        <w:rPr>
          <w:i/>
          <w:iCs/>
          <w:szCs w:val="18"/>
        </w:rPr>
        <w:t xml:space="preserve">every 2-3 years </w:t>
      </w:r>
      <w:r>
        <w:rPr>
          <w:i/>
          <w:iCs/>
          <w:szCs w:val="18"/>
        </w:rPr>
        <w:t>(</w:t>
      </w:r>
      <w:r w:rsidR="005F62A8">
        <w:rPr>
          <w:i/>
          <w:iCs/>
          <w:szCs w:val="18"/>
        </w:rPr>
        <w:t xml:space="preserve">included in the applicant’s proposed treatment algorithm </w:t>
      </w:r>
      <w:r w:rsidR="003C1DB3">
        <w:rPr>
          <w:i/>
          <w:iCs/>
          <w:szCs w:val="18"/>
        </w:rPr>
        <w:t>following</w:t>
      </w:r>
      <w:r w:rsidR="003C1DB3" w:rsidRPr="00223D71">
        <w:rPr>
          <w:i/>
          <w:iCs/>
          <w:szCs w:val="18"/>
        </w:rPr>
        <w:t xml:space="preserve"> </w:t>
      </w:r>
      <w:r w:rsidRPr="00223D71">
        <w:rPr>
          <w:i/>
          <w:iCs/>
          <w:szCs w:val="18"/>
        </w:rPr>
        <w:t>referr</w:t>
      </w:r>
      <w:r w:rsidR="003C1DB3">
        <w:rPr>
          <w:i/>
          <w:iCs/>
          <w:szCs w:val="18"/>
        </w:rPr>
        <w:t>al</w:t>
      </w:r>
      <w:r w:rsidRPr="00223D71">
        <w:rPr>
          <w:i/>
          <w:iCs/>
          <w:szCs w:val="18"/>
        </w:rPr>
        <w:t xml:space="preserve"> to specialist care</w:t>
      </w:r>
      <w:r>
        <w:rPr>
          <w:i/>
          <w:iCs/>
          <w:szCs w:val="18"/>
        </w:rPr>
        <w:t>)</w:t>
      </w:r>
      <w:r w:rsidRPr="00223D71">
        <w:rPr>
          <w:i/>
          <w:iCs/>
          <w:szCs w:val="18"/>
        </w:rPr>
        <w:t xml:space="preserve"> was </w:t>
      </w:r>
      <w:r>
        <w:rPr>
          <w:i/>
          <w:iCs/>
          <w:szCs w:val="18"/>
        </w:rPr>
        <w:t>out of scope for the application.</w:t>
      </w:r>
    </w:p>
    <w:p w14:paraId="47229E95" w14:textId="77777777" w:rsidR="005E120C" w:rsidRPr="00F12C22" w:rsidRDefault="005E120C" w:rsidP="001660E9">
      <w:pPr>
        <w:sectPr w:rsidR="005E120C" w:rsidRPr="00F12C22" w:rsidSect="00AE6FE0">
          <w:headerReference w:type="default" r:id="rId10"/>
          <w:footerReference w:type="even" r:id="rId11"/>
          <w:footerReference w:type="default" r:id="rId12"/>
          <w:pgSz w:w="11906" w:h="16838"/>
          <w:pgMar w:top="682" w:right="1134" w:bottom="1021" w:left="1191" w:header="709" w:footer="709" w:gutter="0"/>
          <w:cols w:space="708"/>
          <w:docGrid w:linePitch="360"/>
        </w:sectPr>
      </w:pPr>
    </w:p>
    <w:p w14:paraId="3A154079" w14:textId="27CE45C8" w:rsidR="0027524B" w:rsidRDefault="0027524B" w:rsidP="0027524B">
      <w:pPr>
        <w:keepNext/>
        <w:jc w:val="center"/>
      </w:pPr>
    </w:p>
    <w:p w14:paraId="55794A76" w14:textId="299AAFDF" w:rsidR="002E4504" w:rsidRDefault="002E4504" w:rsidP="0027524B">
      <w:pPr>
        <w:keepNext/>
        <w:jc w:val="center"/>
      </w:pPr>
      <w:r>
        <w:rPr>
          <w:noProof/>
        </w:rPr>
        <w:drawing>
          <wp:inline distT="0" distB="0" distL="0" distR="0" wp14:anchorId="2A14BDA1" wp14:editId="3E38FA22">
            <wp:extent cx="7120136" cy="4152900"/>
            <wp:effectExtent l="0" t="0" r="5080" b="0"/>
            <wp:docPr id="1309103993" name="Picture 3" descr="Current algorithm without VCTE™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03993" name="Picture 3" descr="Current algorithm without VCTE™ fun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9823" cy="4158550"/>
                    </a:xfrm>
                    <a:prstGeom prst="rect">
                      <a:avLst/>
                    </a:prstGeom>
                    <a:noFill/>
                  </pic:spPr>
                </pic:pic>
              </a:graphicData>
            </a:graphic>
          </wp:inline>
        </w:drawing>
      </w:r>
    </w:p>
    <w:p w14:paraId="072AB170" w14:textId="68F53A48" w:rsidR="00D00E53" w:rsidRDefault="0027524B" w:rsidP="008B40C7">
      <w:pPr>
        <w:pStyle w:val="Caption"/>
      </w:pPr>
      <w:bookmarkStart w:id="9" w:name="_Ref193875879"/>
      <w:r>
        <w:t xml:space="preserve">Figure </w:t>
      </w:r>
      <w:r>
        <w:fldChar w:fldCharType="begin"/>
      </w:r>
      <w:r>
        <w:instrText xml:space="preserve"> SEQ Figure \* ARABIC </w:instrText>
      </w:r>
      <w:r>
        <w:fldChar w:fldCharType="separate"/>
      </w:r>
      <w:r w:rsidR="00280F06">
        <w:rPr>
          <w:noProof/>
        </w:rPr>
        <w:t>4</w:t>
      </w:r>
      <w:r>
        <w:fldChar w:fldCharType="end"/>
      </w:r>
      <w:bookmarkEnd w:id="9"/>
      <w:r w:rsidRPr="0027524B">
        <w:t xml:space="preserve"> </w:t>
      </w:r>
      <w:r w:rsidR="00F42687">
        <w:tab/>
      </w:r>
      <w:r>
        <w:t xml:space="preserve">Current algorithm without </w:t>
      </w:r>
      <w:r w:rsidR="002E4504" w:rsidRPr="002E4504">
        <w:t>VCTE™</w:t>
      </w:r>
      <w:r>
        <w:t xml:space="preserve"> funding</w:t>
      </w:r>
    </w:p>
    <w:p w14:paraId="36D83524" w14:textId="15B1B4A7" w:rsidR="00966C23" w:rsidRPr="00F12C22" w:rsidRDefault="00966C23" w:rsidP="00966C23">
      <w:pPr>
        <w:spacing w:after="0" w:line="240" w:lineRule="auto"/>
        <w:rPr>
          <w:rFonts w:ascii="Arial Narrow" w:hAnsi="Arial Narrow"/>
          <w:sz w:val="18"/>
          <w:szCs w:val="18"/>
          <w:lang w:val="en-GB" w:eastAsia="ja-JP"/>
        </w:rPr>
      </w:pPr>
      <w:r w:rsidRPr="00F12C22">
        <w:rPr>
          <w:rFonts w:ascii="Arial Narrow" w:hAnsi="Arial Narrow"/>
          <w:sz w:val="18"/>
          <w:szCs w:val="18"/>
          <w:lang w:val="en-GB" w:eastAsia="ja-JP"/>
        </w:rPr>
        <w:t xml:space="preserve">Source: </w:t>
      </w:r>
      <w:r w:rsidR="00421A0E">
        <w:rPr>
          <w:rFonts w:ascii="Arial Narrow" w:hAnsi="Arial Narrow"/>
          <w:sz w:val="18"/>
          <w:szCs w:val="18"/>
          <w:lang w:val="en-GB" w:eastAsia="ja-JP"/>
        </w:rPr>
        <w:t>Application documents</w:t>
      </w:r>
      <w:r w:rsidRPr="00F12C22">
        <w:rPr>
          <w:rFonts w:ascii="Arial Narrow" w:hAnsi="Arial Narrow"/>
          <w:sz w:val="18"/>
          <w:szCs w:val="18"/>
          <w:lang w:val="en-GB" w:eastAsia="ja-JP"/>
        </w:rPr>
        <w:t>, amended for the PICO Confirmation</w:t>
      </w:r>
    </w:p>
    <w:p w14:paraId="4FF69AFF" w14:textId="528CBFFF" w:rsidR="0037723A" w:rsidRDefault="00966C23">
      <w:pPr>
        <w:spacing w:after="160" w:line="259" w:lineRule="auto"/>
        <w:rPr>
          <w:rFonts w:ascii="Arial Narrow" w:hAnsi="Arial Narrow"/>
          <w:sz w:val="18"/>
          <w:szCs w:val="18"/>
          <w:lang w:eastAsia="ja-JP"/>
        </w:rPr>
      </w:pPr>
      <w:r>
        <w:rPr>
          <w:rFonts w:ascii="Arial Narrow" w:hAnsi="Arial Narrow"/>
          <w:sz w:val="18"/>
          <w:szCs w:val="18"/>
          <w:vertAlign w:val="superscript"/>
          <w:lang w:val="en-GB" w:eastAsia="ja-JP"/>
        </w:rPr>
        <w:t>1</w:t>
      </w:r>
      <w:r w:rsidR="0037723A" w:rsidRPr="0037723A">
        <w:rPr>
          <w:color w:val="000000"/>
          <w:sz w:val="27"/>
          <w:szCs w:val="27"/>
        </w:rPr>
        <w:t xml:space="preserve"> </w:t>
      </w:r>
      <w:r w:rsidR="0037723A" w:rsidRPr="008B40C7">
        <w:rPr>
          <w:rFonts w:ascii="Arial Narrow" w:hAnsi="Arial Narrow"/>
          <w:sz w:val="18"/>
          <w:szCs w:val="18"/>
          <w:lang w:eastAsia="ja-JP"/>
        </w:rPr>
        <w:t xml:space="preserve">Abnormal </w:t>
      </w:r>
      <w:r w:rsidR="0037723A">
        <w:rPr>
          <w:rFonts w:ascii="Arial Narrow" w:hAnsi="Arial Narrow"/>
          <w:sz w:val="18"/>
          <w:szCs w:val="18"/>
          <w:lang w:eastAsia="ja-JP"/>
        </w:rPr>
        <w:t>u</w:t>
      </w:r>
      <w:r w:rsidR="0037723A" w:rsidRPr="008B40C7">
        <w:rPr>
          <w:rFonts w:ascii="Arial Narrow" w:hAnsi="Arial Narrow"/>
          <w:sz w:val="18"/>
          <w:szCs w:val="18"/>
          <w:lang w:eastAsia="ja-JP"/>
        </w:rPr>
        <w:t>ltrasound findings refer to aspects related to fibrosis deposition, namely irregularity of liver profile and heterogeneity of its echotexture</w:t>
      </w:r>
      <w:r w:rsidR="000D43A2">
        <w:rPr>
          <w:rFonts w:ascii="Arial Narrow" w:hAnsi="Arial Narrow"/>
          <w:sz w:val="18"/>
          <w:szCs w:val="18"/>
          <w:lang w:eastAsia="ja-JP"/>
        </w:rPr>
        <w:t>.</w:t>
      </w:r>
    </w:p>
    <w:p w14:paraId="29A70485" w14:textId="46D385B0" w:rsidR="000A28ED" w:rsidRDefault="000A28ED">
      <w:pPr>
        <w:spacing w:after="160" w:line="259" w:lineRule="auto"/>
      </w:pPr>
      <w:r>
        <w:br w:type="page"/>
      </w:r>
    </w:p>
    <w:p w14:paraId="663E9609" w14:textId="2911C45E" w:rsidR="00B0693C" w:rsidRPr="00F12C22" w:rsidRDefault="00B56A7A" w:rsidP="00B0693C">
      <w:pPr>
        <w:jc w:val="center"/>
      </w:pPr>
      <w:r w:rsidRPr="00F12C22">
        <w:rPr>
          <w:noProof/>
        </w:rPr>
        <w:lastRenderedPageBreak/>
        <w:drawing>
          <wp:inline distT="0" distB="0" distL="0" distR="0" wp14:anchorId="14A7A1F6" wp14:editId="06E4E3CA">
            <wp:extent cx="6849619" cy="4748261"/>
            <wp:effectExtent l="0" t="0" r="8890" b="0"/>
            <wp:docPr id="645537152" name="Picture 39" descr="Proposed treatment algorithm with VC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37152" name="Picture 39" descr="Proposed treatment algorithm with VCTE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49619" cy="4748261"/>
                    </a:xfrm>
                    <a:prstGeom prst="rect">
                      <a:avLst/>
                    </a:prstGeom>
                    <a:noFill/>
                  </pic:spPr>
                </pic:pic>
              </a:graphicData>
            </a:graphic>
          </wp:inline>
        </w:drawing>
      </w:r>
    </w:p>
    <w:p w14:paraId="64B377EF" w14:textId="10F8F395" w:rsidR="00B0693C" w:rsidRPr="00F12C22" w:rsidRDefault="00B0693C" w:rsidP="00B0693C">
      <w:pPr>
        <w:pStyle w:val="Caption"/>
      </w:pPr>
      <w:bookmarkStart w:id="10" w:name="_Ref193072203"/>
      <w:r w:rsidRPr="00F12C22">
        <w:t xml:space="preserve">Figure </w:t>
      </w:r>
      <w:r w:rsidRPr="00F12C22">
        <w:fldChar w:fldCharType="begin"/>
      </w:r>
      <w:r w:rsidRPr="00F12C22">
        <w:instrText xml:space="preserve"> SEQ Figure \* ARABIC </w:instrText>
      </w:r>
      <w:r w:rsidRPr="00F12C22">
        <w:fldChar w:fldCharType="separate"/>
      </w:r>
      <w:r w:rsidR="00280F06">
        <w:rPr>
          <w:noProof/>
        </w:rPr>
        <w:t>5</w:t>
      </w:r>
      <w:r w:rsidRPr="00F12C22">
        <w:fldChar w:fldCharType="end"/>
      </w:r>
      <w:bookmarkEnd w:id="10"/>
      <w:r w:rsidRPr="00F12C22">
        <w:tab/>
      </w:r>
      <w:r w:rsidR="00DE7ADF" w:rsidRPr="00F12C22">
        <w:t xml:space="preserve">Proposed </w:t>
      </w:r>
      <w:r w:rsidRPr="00F12C22">
        <w:t>treatment algorithm</w:t>
      </w:r>
      <w:r w:rsidR="008D196B" w:rsidRPr="00F12C22">
        <w:t xml:space="preserve"> with </w:t>
      </w:r>
      <w:r w:rsidR="002E4504" w:rsidRPr="002E4504">
        <w:t>VCTE™</w:t>
      </w:r>
      <w:r w:rsidR="00EE0469" w:rsidRPr="00F12C22">
        <w:t xml:space="preserve"> </w:t>
      </w:r>
    </w:p>
    <w:p w14:paraId="439E7157" w14:textId="0DE3EFB7" w:rsidR="00FA04EC" w:rsidRPr="00F12C22" w:rsidRDefault="00B0693C" w:rsidP="00FA04EC">
      <w:pPr>
        <w:spacing w:after="0" w:line="240" w:lineRule="auto"/>
        <w:rPr>
          <w:rFonts w:ascii="Arial Narrow" w:hAnsi="Arial Narrow"/>
          <w:sz w:val="18"/>
          <w:szCs w:val="18"/>
          <w:lang w:val="en-GB" w:eastAsia="ja-JP"/>
        </w:rPr>
      </w:pPr>
      <w:r w:rsidRPr="00F12C22">
        <w:rPr>
          <w:rFonts w:ascii="Arial Narrow" w:hAnsi="Arial Narrow"/>
          <w:sz w:val="18"/>
          <w:szCs w:val="18"/>
          <w:lang w:val="en-GB" w:eastAsia="ja-JP"/>
        </w:rPr>
        <w:t xml:space="preserve">Source: </w:t>
      </w:r>
      <w:r w:rsidR="00DE7ADF" w:rsidRPr="00F12C22">
        <w:rPr>
          <w:rFonts w:ascii="Arial Narrow" w:hAnsi="Arial Narrow"/>
          <w:sz w:val="18"/>
          <w:szCs w:val="18"/>
          <w:lang w:val="en-GB" w:eastAsia="ja-JP"/>
        </w:rPr>
        <w:t>Applicant, amended for the PICO Confirmation</w:t>
      </w:r>
    </w:p>
    <w:p w14:paraId="58BE825E" w14:textId="7CAE88C1" w:rsidR="00FA04EC" w:rsidRPr="00F12C22" w:rsidRDefault="00CA63BD" w:rsidP="005C67C7">
      <w:r w:rsidRPr="00F12C22">
        <w:rPr>
          <w:rFonts w:ascii="Arial Narrow" w:hAnsi="Arial Narrow"/>
          <w:sz w:val="18"/>
          <w:szCs w:val="18"/>
          <w:lang w:val="en-GB" w:eastAsia="ja-JP"/>
        </w:rPr>
        <w:t>Black font represents pathways that are the same between PICO Sets 1 &amp; 2, blue font represents PICO Set 1 pathway and purple font represents PICO Set 2 pathway</w:t>
      </w:r>
      <w:r w:rsidR="000D43A2">
        <w:rPr>
          <w:rFonts w:ascii="Arial Narrow" w:hAnsi="Arial Narrow"/>
          <w:sz w:val="18"/>
          <w:szCs w:val="18"/>
          <w:lang w:val="en-GB" w:eastAsia="ja-JP"/>
        </w:rPr>
        <w:t>.</w:t>
      </w:r>
    </w:p>
    <w:p w14:paraId="162AA20F" w14:textId="77777777" w:rsidR="00B0693C" w:rsidRPr="00F12C22" w:rsidRDefault="00B0693C" w:rsidP="001660E9">
      <w:pPr>
        <w:sectPr w:rsidR="00B0693C" w:rsidRPr="00F12C22" w:rsidSect="00B0693C">
          <w:pgSz w:w="16838" w:h="11906" w:orient="landscape"/>
          <w:pgMar w:top="1191" w:right="682" w:bottom="1134" w:left="1021" w:header="709" w:footer="709" w:gutter="0"/>
          <w:cols w:space="708"/>
          <w:docGrid w:linePitch="360"/>
        </w:sectPr>
      </w:pPr>
    </w:p>
    <w:p w14:paraId="3D2A76BF" w14:textId="1BBE1F8C" w:rsidR="008531CC" w:rsidRDefault="003F7CD7" w:rsidP="00B83370">
      <w:r w:rsidRPr="00F12C22">
        <w:lastRenderedPageBreak/>
        <w:t xml:space="preserve">The applicant has clarified that </w:t>
      </w:r>
      <w:r w:rsidR="00823CCA" w:rsidRPr="00F12C22">
        <w:t>VCTE™</w:t>
      </w:r>
      <w:r w:rsidR="00B83370" w:rsidRPr="00F12C22">
        <w:t xml:space="preserve"> complements ultrasound, as both tests assess different aspects of liver health. Ultrasound detects liver fat, while </w:t>
      </w:r>
      <w:r w:rsidR="00823CCA" w:rsidRPr="00F12C22">
        <w:t>VCTE™</w:t>
      </w:r>
      <w:r w:rsidR="00B83370" w:rsidRPr="00F12C22">
        <w:t xml:space="preserve"> measures liver stiffness. </w:t>
      </w:r>
      <w:r w:rsidRPr="00F12C22">
        <w:t>The applicant stated that s</w:t>
      </w:r>
      <w:r w:rsidR="00B83370" w:rsidRPr="00F12C22">
        <w:t xml:space="preserve">tiffness correlates with fibrosis severity, the key predictor of adverse liver outcomes. Ultrasound cannot assess liver stiffness, making </w:t>
      </w:r>
      <w:r w:rsidR="00823CCA" w:rsidRPr="00F12C22">
        <w:t>VCTE™</w:t>
      </w:r>
      <w:r w:rsidR="00B83370" w:rsidRPr="00F12C22">
        <w:t xml:space="preserve"> essential for risk stratification</w:t>
      </w:r>
      <w:r w:rsidR="00F80F2D">
        <w:t>.</w:t>
      </w:r>
    </w:p>
    <w:p w14:paraId="2943E4A2" w14:textId="4DF63670" w:rsidR="00B83370" w:rsidRPr="00F12C22" w:rsidRDefault="00B83370" w:rsidP="00B83370">
      <w:r w:rsidRPr="00F12C22">
        <w:t>Their complementary roles are reflected in GESA guidelines, ensuring a comprehensive liver assessment.</w:t>
      </w:r>
    </w:p>
    <w:p w14:paraId="5016AFB1" w14:textId="793651C4" w:rsidR="00E34D11" w:rsidRPr="00F12C22" w:rsidRDefault="00FA572A" w:rsidP="001660E9">
      <w:r>
        <w:t>For the</w:t>
      </w:r>
      <w:r w:rsidR="00E34D11" w:rsidRPr="00F12C22">
        <w:t xml:space="preserve"> current treatment algorithm</w:t>
      </w:r>
      <w:r>
        <w:t>,</w:t>
      </w:r>
      <w:r w:rsidR="00E34D11" w:rsidRPr="00F12C22">
        <w:t xml:space="preserve"> </w:t>
      </w:r>
      <w:r>
        <w:t>i</w:t>
      </w:r>
      <w:r w:rsidRPr="00F12C22">
        <w:t xml:space="preserve">n </w:t>
      </w:r>
      <w:r w:rsidR="00E34D11" w:rsidRPr="00F12C22">
        <w:t xml:space="preserve">the absence of VCTE™ in the primary care setting, it is possible that all patients with MAFLD and FIB-4 score 1.3-2.7 may be referred to specialist care. If this is the case, the </w:t>
      </w:r>
      <w:r w:rsidR="00571573">
        <w:t>proposed</w:t>
      </w:r>
      <w:r w:rsidR="00E34D11" w:rsidRPr="00F12C22">
        <w:t xml:space="preserve"> inclusion of VCTE™ </w:t>
      </w:r>
      <w:r w:rsidR="00571573">
        <w:t xml:space="preserve">as in PICO set 1 </w:t>
      </w:r>
      <w:r w:rsidR="007649F8" w:rsidRPr="00F12C22">
        <w:t>may</w:t>
      </w:r>
      <w:r w:rsidR="00E34D11" w:rsidRPr="00F12C22">
        <w:t xml:space="preserve"> aid in stratifying high risk (LSM </w:t>
      </w:r>
      <w:r w:rsidR="00E34D11" w:rsidRPr="00F12C22">
        <w:rPr>
          <w:rFonts w:cs="Calibri"/>
        </w:rPr>
        <w:t>≥</w:t>
      </w:r>
      <w:r w:rsidR="00E34D11" w:rsidRPr="00F12C22">
        <w:t>8 kPa) patients for referral</w:t>
      </w:r>
      <w:r w:rsidR="00914C14">
        <w:t>,</w:t>
      </w:r>
      <w:r w:rsidR="00E34D11" w:rsidRPr="00F12C22">
        <w:t xml:space="preserve"> while low risk (LSM &lt;8 kPa) patients can remain in primary care. This will</w:t>
      </w:r>
      <w:r w:rsidR="00571573">
        <w:t>,</w:t>
      </w:r>
      <w:r w:rsidR="00E34D11" w:rsidRPr="00F12C22">
        <w:t xml:space="preserve"> however, be dependent on the availability of VCTE™ in the primary care setting.</w:t>
      </w:r>
    </w:p>
    <w:p w14:paraId="6AA099E3" w14:textId="349EDF95" w:rsidR="007649F8" w:rsidRPr="00F12C22" w:rsidRDefault="007649F8" w:rsidP="007649F8">
      <w:r w:rsidRPr="00F12C22">
        <w:t>There are several scenarios clinically that could arise and are already in practice including:</w:t>
      </w:r>
    </w:p>
    <w:p w14:paraId="2E3C8CA2" w14:textId="102003E0" w:rsidR="007649F8" w:rsidRPr="00F12C22" w:rsidRDefault="00571573" w:rsidP="00E31D34">
      <w:pPr>
        <w:pStyle w:val="ListParagraph"/>
        <w:numPr>
          <w:ilvl w:val="0"/>
          <w:numId w:val="26"/>
        </w:numPr>
        <w:ind w:left="284" w:hanging="284"/>
      </w:pPr>
      <w:r>
        <w:t>T</w:t>
      </w:r>
      <w:r w:rsidR="007649F8" w:rsidRPr="00F12C22">
        <w:t xml:space="preserve">he </w:t>
      </w:r>
      <w:r w:rsidR="00DB18C2" w:rsidRPr="00F12C22">
        <w:t xml:space="preserve">primary care </w:t>
      </w:r>
      <w:r w:rsidR="007649F8" w:rsidRPr="00F12C22">
        <w:t xml:space="preserve">clinician </w:t>
      </w:r>
      <w:r w:rsidR="00DB18C2" w:rsidRPr="00F12C22">
        <w:t>follows the pathway proposed in the application</w:t>
      </w:r>
      <w:r w:rsidR="007649F8" w:rsidRPr="00F12C22">
        <w:t xml:space="preserve"> (which the application indicates </w:t>
      </w:r>
      <w:r w:rsidR="122D2003">
        <w:t>may not be common</w:t>
      </w:r>
      <w:r w:rsidR="007649F8" w:rsidRPr="00F12C22">
        <w:t xml:space="preserve"> due to the lack of machines in primary care settings)</w:t>
      </w:r>
      <w:r>
        <w:t>.</w:t>
      </w:r>
    </w:p>
    <w:p w14:paraId="63EBDD4B" w14:textId="2C80AAF0" w:rsidR="007649F8" w:rsidRPr="00F12C22" w:rsidRDefault="00571573" w:rsidP="00E31D34">
      <w:pPr>
        <w:pStyle w:val="ListParagraph"/>
        <w:numPr>
          <w:ilvl w:val="0"/>
          <w:numId w:val="26"/>
        </w:numPr>
        <w:ind w:left="284" w:hanging="284"/>
      </w:pPr>
      <w:r>
        <w:t>T</w:t>
      </w:r>
      <w:r w:rsidR="00DB18C2" w:rsidRPr="00F12C22">
        <w:t xml:space="preserve">he primary care </w:t>
      </w:r>
      <w:r w:rsidR="007649F8" w:rsidRPr="00F12C22">
        <w:t>clinician does</w:t>
      </w:r>
      <w:r w:rsidR="00DB18C2" w:rsidRPr="00F12C22">
        <w:t xml:space="preserve"> not</w:t>
      </w:r>
      <w:r w:rsidR="007649F8" w:rsidRPr="00F12C22">
        <w:t xml:space="preserve"> have </w:t>
      </w:r>
      <w:r w:rsidR="00DB18C2" w:rsidRPr="00F12C22">
        <w:t xml:space="preserve">access to VCTE™, thus </w:t>
      </w:r>
      <w:r w:rsidR="007649F8" w:rsidRPr="00F12C22">
        <w:t xml:space="preserve">refers </w:t>
      </w:r>
      <w:r w:rsidR="00DB18C2" w:rsidRPr="00F12C22">
        <w:t xml:space="preserve">patients </w:t>
      </w:r>
      <w:r w:rsidR="007649F8" w:rsidRPr="00F12C22">
        <w:t xml:space="preserve">to another clinician (primary care or specialist) for </w:t>
      </w:r>
      <w:r w:rsidR="003009BE" w:rsidRPr="00F12C22">
        <w:t>VCTE™</w:t>
      </w:r>
      <w:r>
        <w:t>.</w:t>
      </w:r>
    </w:p>
    <w:p w14:paraId="6A957A28" w14:textId="708E2DD3" w:rsidR="007649F8" w:rsidRPr="00F12C22" w:rsidRDefault="00571573" w:rsidP="00E31D34">
      <w:pPr>
        <w:pStyle w:val="ListParagraph"/>
        <w:numPr>
          <w:ilvl w:val="0"/>
          <w:numId w:val="26"/>
        </w:numPr>
        <w:ind w:left="284" w:hanging="284"/>
      </w:pPr>
      <w:r>
        <w:t>T</w:t>
      </w:r>
      <w:r w:rsidR="003009BE" w:rsidRPr="00F12C22">
        <w:t xml:space="preserve">he primary care clinician does not have access to VCTE™, thus </w:t>
      </w:r>
      <w:r w:rsidR="007649F8" w:rsidRPr="00F12C22">
        <w:t xml:space="preserve">refers </w:t>
      </w:r>
      <w:r w:rsidR="00AA104D">
        <w:t>the patient</w:t>
      </w:r>
      <w:r w:rsidR="00AA104D" w:rsidRPr="00F12C22">
        <w:t xml:space="preserve"> </w:t>
      </w:r>
      <w:r w:rsidR="007649F8" w:rsidRPr="00F12C22">
        <w:t xml:space="preserve">to </w:t>
      </w:r>
      <w:r w:rsidR="00AA104D">
        <w:t>a</w:t>
      </w:r>
      <w:r w:rsidR="007649F8" w:rsidRPr="00F12C22">
        <w:t xml:space="preserve"> radiology practice for </w:t>
      </w:r>
      <w:r w:rsidR="003009BE" w:rsidRPr="00F12C22">
        <w:t xml:space="preserve">a </w:t>
      </w:r>
      <w:r w:rsidR="007649F8" w:rsidRPr="00F12C22">
        <w:t xml:space="preserve">'fibrosis scan' which may be </w:t>
      </w:r>
      <w:r w:rsidR="003009BE" w:rsidRPr="00F12C22">
        <w:t>VCTE™</w:t>
      </w:r>
      <w:r w:rsidR="007649F8" w:rsidRPr="00F12C22">
        <w:t xml:space="preserve">, but may also be </w:t>
      </w:r>
      <w:r w:rsidR="139143F1">
        <w:t xml:space="preserve">an </w:t>
      </w:r>
      <w:r w:rsidR="007649F8" w:rsidRPr="00F12C22">
        <w:t xml:space="preserve">alternative </w:t>
      </w:r>
      <w:r w:rsidR="4241934C">
        <w:t xml:space="preserve">assessment </w:t>
      </w:r>
      <w:r w:rsidR="007649F8" w:rsidRPr="00F12C22">
        <w:t xml:space="preserve">such as </w:t>
      </w:r>
      <w:r w:rsidR="003009BE" w:rsidRPr="00F12C22">
        <w:t>SWE</w:t>
      </w:r>
      <w:r w:rsidR="00B41192">
        <w:t>.</w:t>
      </w:r>
    </w:p>
    <w:p w14:paraId="037C50AA" w14:textId="111674B9" w:rsidR="007649F8" w:rsidRPr="00F12C22" w:rsidRDefault="003009BE" w:rsidP="00E31D34">
      <w:pPr>
        <w:pStyle w:val="ListParagraph"/>
        <w:numPr>
          <w:ilvl w:val="0"/>
          <w:numId w:val="26"/>
        </w:numPr>
        <w:ind w:left="284" w:hanging="284"/>
      </w:pPr>
      <w:r>
        <w:t>VCTE™</w:t>
      </w:r>
      <w:r w:rsidR="0C0B478C">
        <w:t xml:space="preserve"> or an alternate elastography method</w:t>
      </w:r>
      <w:r w:rsidRPr="00F12C22">
        <w:t xml:space="preserve"> is conducted </w:t>
      </w:r>
      <w:r w:rsidR="007649F8" w:rsidRPr="00F12C22">
        <w:t xml:space="preserve"> at the point of initial ultrasound </w:t>
      </w:r>
      <w:r w:rsidRPr="00F12C22">
        <w:t>(</w:t>
      </w:r>
      <w:r w:rsidR="007649F8" w:rsidRPr="00F12C22">
        <w:t>at the prior test phase</w:t>
      </w:r>
      <w:r w:rsidRPr="00F12C22">
        <w:t>). T</w:t>
      </w:r>
      <w:r w:rsidR="007649F8" w:rsidRPr="00F12C22">
        <w:t xml:space="preserve">he primary care clinician has the results and refers/manages </w:t>
      </w:r>
      <w:r w:rsidR="7D0BD65B">
        <w:t xml:space="preserve">for MALFD </w:t>
      </w:r>
      <w:r w:rsidRPr="00F12C22">
        <w:t>from</w:t>
      </w:r>
      <w:r w:rsidR="007649F8" w:rsidRPr="00F12C22">
        <w:t xml:space="preserve"> this point </w:t>
      </w:r>
      <w:r w:rsidR="490786AE">
        <w:t xml:space="preserve">and does not require a repeat subsequent </w:t>
      </w:r>
      <w:r w:rsidR="002B3E97" w:rsidRPr="00F12C22">
        <w:t>VCTE™</w:t>
      </w:r>
      <w:r w:rsidR="00B41192">
        <w:t>.</w:t>
      </w:r>
      <w:r w:rsidRPr="00F12C22">
        <w:t xml:space="preserve"> </w:t>
      </w:r>
    </w:p>
    <w:p w14:paraId="66D27AC5" w14:textId="5B3B71FE" w:rsidR="001B2042" w:rsidRPr="00F12C22" w:rsidRDefault="003009BE" w:rsidP="00E31D34">
      <w:pPr>
        <w:pStyle w:val="ListParagraph"/>
        <w:numPr>
          <w:ilvl w:val="0"/>
          <w:numId w:val="26"/>
        </w:numPr>
        <w:ind w:left="284" w:hanging="284"/>
      </w:pPr>
      <w:r w:rsidRPr="00F12C22">
        <w:t xml:space="preserve">VCTE™ is conducted </w:t>
      </w:r>
      <w:r w:rsidR="007649F8" w:rsidRPr="00F12C22">
        <w:t>for another clinical reason (i</w:t>
      </w:r>
      <w:r w:rsidRPr="00F12C22">
        <w:t>.</w:t>
      </w:r>
      <w:r w:rsidR="007649F8" w:rsidRPr="00F12C22">
        <w:t>e</w:t>
      </w:r>
      <w:r w:rsidRPr="00F12C22">
        <w:t>.,</w:t>
      </w:r>
      <w:r w:rsidR="007649F8" w:rsidRPr="00F12C22">
        <w:t xml:space="preserve"> </w:t>
      </w:r>
      <w:r w:rsidRPr="00F12C22">
        <w:t>VCTE™</w:t>
      </w:r>
      <w:r w:rsidR="007649F8" w:rsidRPr="00F12C22">
        <w:t xml:space="preserve">/another method </w:t>
      </w:r>
      <w:r w:rsidRPr="00F12C22">
        <w:t>is conducted</w:t>
      </w:r>
      <w:r w:rsidR="007649F8" w:rsidRPr="00F12C22">
        <w:t xml:space="preserve"> in the setting of </w:t>
      </w:r>
      <w:r w:rsidR="3665C3B5">
        <w:t>a</w:t>
      </w:r>
      <w:r w:rsidR="35854B87">
        <w:t xml:space="preserve"> diagnosis such as </w:t>
      </w:r>
      <w:r w:rsidR="007649F8" w:rsidRPr="00F12C22">
        <w:t>hepatitis) which then needs investigation to exclude other causes of fibrosis meaning the prior tests  become the subsequent tests</w:t>
      </w:r>
      <w:r w:rsidRPr="00F12C22">
        <w:t>.</w:t>
      </w:r>
    </w:p>
    <w:p w14:paraId="75D1B01A" w14:textId="06A72D1A" w:rsidR="001660E9" w:rsidRPr="00F12C22" w:rsidRDefault="00C45677" w:rsidP="001660E9">
      <w:pPr>
        <w:rPr>
          <w:b/>
        </w:rPr>
      </w:pPr>
      <w:r>
        <w:t xml:space="preserve">While the current application is limited to VCTE™, </w:t>
      </w:r>
      <w:r w:rsidR="001660E9" w:rsidRPr="00F12C22">
        <w:t xml:space="preserve">GESA </w:t>
      </w:r>
      <w:r w:rsidR="003F7CD7" w:rsidRPr="00F12C22">
        <w:t>(2024)</w:t>
      </w:r>
      <w:r>
        <w:t xml:space="preserve"> has</w:t>
      </w:r>
      <w:r w:rsidR="001660E9" w:rsidRPr="00F12C22">
        <w:t xml:space="preserve"> nominated the following</w:t>
      </w:r>
      <w:r>
        <w:t xml:space="preserve"> broader list of</w:t>
      </w:r>
      <w:r w:rsidR="001660E9" w:rsidRPr="00F12C22">
        <w:t xml:space="preserve"> non-invasive tests (NITs) for </w:t>
      </w:r>
      <w:r>
        <w:t xml:space="preserve">identifying </w:t>
      </w:r>
      <w:r w:rsidR="001660E9" w:rsidRPr="00F12C22">
        <w:t>liver fibrosis:</w:t>
      </w:r>
    </w:p>
    <w:p w14:paraId="085DC2EB" w14:textId="606A0F34" w:rsidR="001660E9" w:rsidRPr="00F12C22" w:rsidRDefault="001660E9" w:rsidP="00E31D34">
      <w:pPr>
        <w:pStyle w:val="ListParagraph"/>
        <w:numPr>
          <w:ilvl w:val="0"/>
          <w:numId w:val="15"/>
        </w:numPr>
        <w:ind w:left="284" w:hanging="284"/>
        <w:rPr>
          <w:b/>
        </w:rPr>
      </w:pPr>
      <w:r w:rsidRPr="00F12C22">
        <w:rPr>
          <w:u w:val="single"/>
        </w:rPr>
        <w:t xml:space="preserve">Indirect </w:t>
      </w:r>
      <w:r w:rsidR="006E7D6D" w:rsidRPr="00F12C22">
        <w:rPr>
          <w:u w:val="single"/>
        </w:rPr>
        <w:t>b</w:t>
      </w:r>
      <w:r w:rsidRPr="00F12C22">
        <w:rPr>
          <w:u w:val="single"/>
        </w:rPr>
        <w:t>lood-based tests</w:t>
      </w:r>
      <w:r w:rsidRPr="00F12C22">
        <w:t xml:space="preserve"> (serum markers of fibrosis; laboratory variables). This include</w:t>
      </w:r>
      <w:r w:rsidR="003F7CD7" w:rsidRPr="00F12C22">
        <w:t>s</w:t>
      </w:r>
      <w:r w:rsidRPr="00F12C22">
        <w:t xml:space="preserve"> ALT, AST, </w:t>
      </w:r>
      <w:r w:rsidR="003F7CD7" w:rsidRPr="00F12C22">
        <w:t>a</w:t>
      </w:r>
      <w:r w:rsidRPr="00F12C22">
        <w:t>lkaline phosphatase</w:t>
      </w:r>
      <w:r w:rsidR="00535CAA" w:rsidRPr="00F12C22">
        <w:t xml:space="preserve">, </w:t>
      </w:r>
      <w:r w:rsidRPr="00F12C22">
        <w:t>gamma-glutamyl transferase</w:t>
      </w:r>
      <w:r w:rsidR="00535CAA" w:rsidRPr="00F12C22">
        <w:t xml:space="preserve">, </w:t>
      </w:r>
      <w:r w:rsidRPr="00F12C22">
        <w:t xml:space="preserve">bilirubin, albumin, </w:t>
      </w:r>
      <w:r w:rsidR="0091035D" w:rsidRPr="00F12C22">
        <w:t xml:space="preserve">and </w:t>
      </w:r>
      <w:r w:rsidRPr="00F12C22">
        <w:t>total protein. Results of individual LFTs could be combined to identify patterns of liver damage (e.g.</w:t>
      </w:r>
      <w:r w:rsidR="00D464A3">
        <w:t>,</w:t>
      </w:r>
      <w:r w:rsidRPr="00F12C22">
        <w:t xml:space="preserve"> alcoholic liver disease or hepatitis) and improve diagnostic accuracy. </w:t>
      </w:r>
    </w:p>
    <w:p w14:paraId="100B7363" w14:textId="1072323F" w:rsidR="001660E9" w:rsidRPr="00F12C22" w:rsidRDefault="001660E9" w:rsidP="001660E9">
      <w:pPr>
        <w:ind w:left="284"/>
        <w:rPr>
          <w:b/>
        </w:rPr>
      </w:pPr>
      <w:r w:rsidRPr="00F12C22">
        <w:t>A range of validated simple scores are used in practice and may include routinely available laboratory variables with or without clinical variables (e.g.</w:t>
      </w:r>
      <w:r w:rsidR="00D464A3">
        <w:t>,</w:t>
      </w:r>
      <w:r w:rsidRPr="00F12C22">
        <w:t xml:space="preserve"> AST/ALT ratio; APRI). FIB-4 (based on age, AST levels, ALT levels and the platelet count) and NFS fall into this category. NFS is calculated by adding BMI and the presence of diabetes to the four parameters used in the </w:t>
      </w:r>
      <w:r w:rsidRPr="00F12C22">
        <w:rPr>
          <w:iCs/>
        </w:rPr>
        <w:t xml:space="preserve">FIB‐4 </w:t>
      </w:r>
      <w:r w:rsidRPr="00F12C22">
        <w:t xml:space="preserve">index. NFS is considered more specific to NAFLD, making it potentially more accurate for diagnosing </w:t>
      </w:r>
      <w:r w:rsidR="000A4A3F" w:rsidRPr="00F12C22">
        <w:t>AF</w:t>
      </w:r>
      <w:r w:rsidRPr="00F12C22">
        <w:t xml:space="preserve"> in NAFLD patients</w:t>
      </w:r>
      <w:r w:rsidR="00EE0E6F">
        <w:t xml:space="preserve">; however, given the majority of these patients </w:t>
      </w:r>
      <w:r w:rsidR="006D67E7">
        <w:t>also fit MAFLD criteria, it may still be relevant to MAFLD</w:t>
      </w:r>
      <w:r w:rsidRPr="00F12C22">
        <w:t xml:space="preserve">. </w:t>
      </w:r>
    </w:p>
    <w:p w14:paraId="2256516B" w14:textId="33ACE396" w:rsidR="001660E9" w:rsidRPr="00F12C22" w:rsidRDefault="001660E9" w:rsidP="001660E9">
      <w:pPr>
        <w:ind w:left="284"/>
      </w:pPr>
      <w:r w:rsidRPr="00F12C22">
        <w:t>Despite their potential to act as ‘gate-keeping tests’ in primary care liver fibrosis screening pathways, the simple fibrosis scores only include indirect markers of liver damage (AST, ALT), risk factors (age, BMI, diabetes) or liver function and portal hypertension (platelet count, cholesterol)</w:t>
      </w:r>
      <w:r w:rsidR="00490B51" w:rsidRPr="00F12C22">
        <w:t>,</w:t>
      </w:r>
      <w:r w:rsidRPr="00F12C22">
        <w:t xml:space="preserve"> and are not direct markers of liver fibrosis (EASL 2021).</w:t>
      </w:r>
    </w:p>
    <w:p w14:paraId="647E2F0A" w14:textId="37AC5630" w:rsidR="001660E9" w:rsidRPr="00F12C22" w:rsidRDefault="001660E9" w:rsidP="00E31D34">
      <w:pPr>
        <w:pStyle w:val="ListParagraph"/>
        <w:numPr>
          <w:ilvl w:val="0"/>
          <w:numId w:val="15"/>
        </w:numPr>
        <w:ind w:left="284" w:hanging="284"/>
        <w:rPr>
          <w:b/>
          <w:bCs/>
        </w:rPr>
      </w:pPr>
      <w:r w:rsidRPr="00F12C22">
        <w:rPr>
          <w:bCs/>
          <w:u w:val="single"/>
        </w:rPr>
        <w:lastRenderedPageBreak/>
        <w:t>Direct blood markers of liver damage</w:t>
      </w:r>
      <w:r w:rsidRPr="00F12C22">
        <w:rPr>
          <w:bCs/>
        </w:rPr>
        <w:t xml:space="preserve">. These involve more complex serum scores, which include direct markers of fibrogenesis or fibrinolysis. </w:t>
      </w:r>
      <w:r w:rsidRPr="00F12C22">
        <w:t>Direct</w:t>
      </w:r>
      <w:r w:rsidRPr="00F12C22">
        <w:rPr>
          <w:bCs/>
        </w:rPr>
        <w:t xml:space="preserve"> blood markers are products of activated hepatic stellate cells (myofibroblasts): the cells responsible for generating </w:t>
      </w:r>
      <w:r w:rsidRPr="00F12C22">
        <w:t>fibrosis</w:t>
      </w:r>
      <w:r w:rsidRPr="00F12C22">
        <w:rPr>
          <w:bCs/>
        </w:rPr>
        <w:t xml:space="preserve"> in the liver. Examples include the ELF score and Hepascore. </w:t>
      </w:r>
    </w:p>
    <w:p w14:paraId="57DF832D" w14:textId="26E8FBBF" w:rsidR="001660E9" w:rsidRPr="00F12C22" w:rsidRDefault="003F7CD7" w:rsidP="001660E9">
      <w:pPr>
        <w:ind w:left="284"/>
        <w:rPr>
          <w:b/>
          <w:bCs/>
        </w:rPr>
      </w:pPr>
      <w:r w:rsidRPr="00F12C22">
        <w:rPr>
          <w:bCs/>
        </w:rPr>
        <w:t xml:space="preserve">MSAC </w:t>
      </w:r>
      <w:r w:rsidR="00DE6256" w:rsidRPr="00F12C22">
        <w:rPr>
          <w:bCs/>
        </w:rPr>
        <w:t>application</w:t>
      </w:r>
      <w:r w:rsidRPr="00F12C22">
        <w:rPr>
          <w:bCs/>
        </w:rPr>
        <w:t xml:space="preserve"> 1446 </w:t>
      </w:r>
      <w:r w:rsidR="001660E9" w:rsidRPr="00F12C22">
        <w:rPr>
          <w:bCs/>
        </w:rPr>
        <w:t>for MBS listing for Hepascore in hepatitis C and B populations (to diagnose cirrhosis) was considered at MSAC meeting in November 2020.</w:t>
      </w:r>
      <w:r w:rsidR="001660E9" w:rsidRPr="00F12C22">
        <w:t xml:space="preserve"> </w:t>
      </w:r>
      <w:r w:rsidR="001660E9" w:rsidRPr="00F12C22">
        <w:rPr>
          <w:bCs/>
        </w:rPr>
        <w:t>MSAC considered that there was limited clinical need for an additional test to diagnose and monitor liver fibrosis given the variety of alternative tests available. MSAC agreed with the Evaluation Sub-Committee (ESC) that Hepascore would be an additional test (not a replacement test) to assess liver fibrosis. MSAC also noted that the AST to platelet ratio index (APRI) is calculated from routine monitoring tests and has similar specificity to Hepascore at a threshold of 2, meaning it can rule out cirrhosis as effectively as Hepascore. There was no application for ELF test listing on MBS.</w:t>
      </w:r>
      <w:r w:rsidR="001660E9" w:rsidRPr="00F12C22">
        <w:t xml:space="preserve"> </w:t>
      </w:r>
    </w:p>
    <w:p w14:paraId="34B82872" w14:textId="33EBCC7B" w:rsidR="001660E9" w:rsidRPr="00F12C22" w:rsidRDefault="001660E9" w:rsidP="00E31D34">
      <w:pPr>
        <w:pStyle w:val="ListParagraph"/>
        <w:numPr>
          <w:ilvl w:val="0"/>
          <w:numId w:val="15"/>
        </w:numPr>
        <w:ind w:left="284" w:hanging="284"/>
        <w:contextualSpacing w:val="0"/>
        <w:rPr>
          <w:b/>
          <w:bCs/>
        </w:rPr>
      </w:pPr>
      <w:r w:rsidRPr="00F12C22">
        <w:rPr>
          <w:bCs/>
          <w:u w:val="single"/>
        </w:rPr>
        <w:t>Elastography methods</w:t>
      </w:r>
      <w:r w:rsidRPr="00F12C22">
        <w:rPr>
          <w:bCs/>
        </w:rPr>
        <w:t xml:space="preserve"> assessing physical properties of the liver (e.g.</w:t>
      </w:r>
      <w:r w:rsidR="00D464A3">
        <w:rPr>
          <w:bCs/>
        </w:rPr>
        <w:t>,</w:t>
      </w:r>
      <w:r w:rsidRPr="00F12C22">
        <w:rPr>
          <w:bCs/>
        </w:rPr>
        <w:t xml:space="preserve"> liver stiffness). </w:t>
      </w:r>
      <w:r w:rsidR="007365C6" w:rsidRPr="00F12C22">
        <w:rPr>
          <w:bCs/>
        </w:rPr>
        <w:t>LSM</w:t>
      </w:r>
      <w:r w:rsidRPr="00F12C22">
        <w:rPr>
          <w:bCs/>
        </w:rPr>
        <w:t xml:space="preserve"> can be obtained by different methods</w:t>
      </w:r>
      <w:r w:rsidR="008361B2">
        <w:rPr>
          <w:bCs/>
        </w:rPr>
        <w:t xml:space="preserve"> including</w:t>
      </w:r>
      <w:r w:rsidRPr="00F12C22">
        <w:rPr>
          <w:bCs/>
        </w:rPr>
        <w:t xml:space="preserve"> </w:t>
      </w:r>
      <w:r w:rsidR="00823CCA" w:rsidRPr="00F12C22">
        <w:rPr>
          <w:bCs/>
        </w:rPr>
        <w:t>VCTE™</w:t>
      </w:r>
      <w:r w:rsidRPr="00F12C22">
        <w:rPr>
          <w:bCs/>
        </w:rPr>
        <w:t xml:space="preserve"> </w:t>
      </w:r>
      <w:r w:rsidR="00026822">
        <w:rPr>
          <w:bCs/>
        </w:rPr>
        <w:t>(</w:t>
      </w:r>
      <w:r w:rsidRPr="00F12C22">
        <w:rPr>
          <w:bCs/>
        </w:rPr>
        <w:t xml:space="preserve">sometimes is referred to by </w:t>
      </w:r>
      <w:r w:rsidR="00EA156E">
        <w:rPr>
          <w:bCs/>
        </w:rPr>
        <w:t>the</w:t>
      </w:r>
      <w:r w:rsidRPr="00F12C22">
        <w:rPr>
          <w:bCs/>
        </w:rPr>
        <w:t xml:space="preserve"> shorter abbreviation </w:t>
      </w:r>
      <w:r w:rsidR="00026822">
        <w:rPr>
          <w:bCs/>
        </w:rPr>
        <w:t>–</w:t>
      </w:r>
      <w:r w:rsidRPr="00F12C22">
        <w:rPr>
          <w:bCs/>
        </w:rPr>
        <w:t xml:space="preserve"> TE</w:t>
      </w:r>
      <w:r w:rsidR="00026822">
        <w:rPr>
          <w:bCs/>
        </w:rPr>
        <w:t>)</w:t>
      </w:r>
      <w:r w:rsidRPr="00F12C22">
        <w:rPr>
          <w:bCs/>
        </w:rPr>
        <w:t>; techniques integrated in ultrasound devices</w:t>
      </w:r>
      <w:r w:rsidR="008361B2">
        <w:rPr>
          <w:bCs/>
        </w:rPr>
        <w:t xml:space="preserve"> such as</w:t>
      </w:r>
      <w:r w:rsidRPr="00F12C22">
        <w:rPr>
          <w:bCs/>
        </w:rPr>
        <w:t xml:space="preserve"> point-shear wave elastography (pSWE)</w:t>
      </w:r>
      <w:r w:rsidR="008361B2">
        <w:rPr>
          <w:bCs/>
        </w:rPr>
        <w:t xml:space="preserve"> and </w:t>
      </w:r>
      <w:r w:rsidRPr="00F12C22">
        <w:rPr>
          <w:bCs/>
        </w:rPr>
        <w:t>bidimensional shear wave elastography (2D-SWE), both</w:t>
      </w:r>
      <w:r w:rsidRPr="00F12C22">
        <w:t xml:space="preserve"> </w:t>
      </w:r>
      <w:r w:rsidR="008361B2">
        <w:rPr>
          <w:bCs/>
        </w:rPr>
        <w:t>of which</w:t>
      </w:r>
      <w:r w:rsidRPr="00F12C22">
        <w:t xml:space="preserve"> </w:t>
      </w:r>
      <w:r w:rsidRPr="00F12C22">
        <w:rPr>
          <w:bCs/>
        </w:rPr>
        <w:t>can be performed in combination with regular ultrasound if the device is provided with adequate software; and magnetic resonance elastography (MRE), which</w:t>
      </w:r>
      <w:r w:rsidRPr="00F12C22">
        <w:t xml:space="preserve"> </w:t>
      </w:r>
      <w:r w:rsidRPr="00F12C22">
        <w:rPr>
          <w:bCs/>
        </w:rPr>
        <w:t xml:space="preserve">can be implemented on a regular MRI machine. Unlike </w:t>
      </w:r>
      <w:r w:rsidR="00823CCA" w:rsidRPr="00F12C22">
        <w:rPr>
          <w:bCs/>
        </w:rPr>
        <w:t>VCTE™</w:t>
      </w:r>
      <w:r w:rsidRPr="00F12C22">
        <w:rPr>
          <w:bCs/>
        </w:rPr>
        <w:t xml:space="preserve">, pSWE and 2D-SWE </w:t>
      </w:r>
      <w:r w:rsidR="00B562D5" w:rsidRPr="00F12C22">
        <w:rPr>
          <w:bCs/>
        </w:rPr>
        <w:t xml:space="preserve">I can be </w:t>
      </w:r>
      <w:r w:rsidR="00D77DA1" w:rsidRPr="00F12C22">
        <w:rPr>
          <w:bCs/>
        </w:rPr>
        <w:t xml:space="preserve">used in patients with </w:t>
      </w:r>
      <w:r w:rsidRPr="00F12C22">
        <w:rPr>
          <w:bCs/>
        </w:rPr>
        <w:t xml:space="preserve">obesity </w:t>
      </w:r>
      <w:r w:rsidR="00252BB5" w:rsidRPr="00F12C22">
        <w:rPr>
          <w:bCs/>
        </w:rPr>
        <w:t>and</w:t>
      </w:r>
      <w:r w:rsidR="00D77DA1" w:rsidRPr="00F12C22">
        <w:rPr>
          <w:bCs/>
        </w:rPr>
        <w:t>/or</w:t>
      </w:r>
      <w:r w:rsidR="00252BB5" w:rsidRPr="00F12C22">
        <w:rPr>
          <w:bCs/>
        </w:rPr>
        <w:t xml:space="preserve"> </w:t>
      </w:r>
      <w:r w:rsidRPr="00F12C22">
        <w:rPr>
          <w:bCs/>
        </w:rPr>
        <w:t xml:space="preserve">ascites (EASL 2021). </w:t>
      </w:r>
    </w:p>
    <w:p w14:paraId="1556CF68" w14:textId="16573424" w:rsidR="001660E9" w:rsidRPr="00F12C22" w:rsidRDefault="001660E9" w:rsidP="00E31D34">
      <w:pPr>
        <w:pStyle w:val="ListParagraph"/>
        <w:numPr>
          <w:ilvl w:val="0"/>
          <w:numId w:val="15"/>
        </w:numPr>
        <w:ind w:left="284" w:hanging="284"/>
        <w:rPr>
          <w:b/>
        </w:rPr>
      </w:pPr>
      <w:r w:rsidRPr="00F12C22">
        <w:rPr>
          <w:u w:val="single"/>
        </w:rPr>
        <w:t>Imaging methods routinely used in chronic liver disease</w:t>
      </w:r>
      <w:r w:rsidRPr="00F12C22">
        <w:t xml:space="preserve"> include ultrasound-based techniques, computed tomography (CT)-based techniques and magnetic </w:t>
      </w:r>
      <w:r w:rsidRPr="00F12C22">
        <w:rPr>
          <w:bCs/>
        </w:rPr>
        <w:t>resonance</w:t>
      </w:r>
      <w:r w:rsidRPr="00F12C22">
        <w:t xml:space="preserve"> (MR)-based techniques</w:t>
      </w:r>
      <w:r w:rsidR="003F7CD7" w:rsidRPr="00F12C22">
        <w:t>.</w:t>
      </w:r>
      <w:r w:rsidRPr="00F12C22">
        <w:t xml:space="preserve"> </w:t>
      </w:r>
    </w:p>
    <w:p w14:paraId="33BC74DA" w14:textId="55833134" w:rsidR="00D80A77" w:rsidRPr="004D7619" w:rsidRDefault="001660E9" w:rsidP="001660E9">
      <w:pPr>
        <w:rPr>
          <w:iCs/>
        </w:rPr>
      </w:pPr>
      <w:r w:rsidRPr="00F12C22">
        <w:t xml:space="preserve">Each NIT has specific advantages and limitations, with no single test being perfect. GESA </w:t>
      </w:r>
      <w:r w:rsidR="003F7CD7" w:rsidRPr="00F12C22">
        <w:t xml:space="preserve">(2024) </w:t>
      </w:r>
      <w:r w:rsidRPr="00F12C22">
        <w:t xml:space="preserve">commented that the above testing strategies are complementary, and all available data need to be considered together to reach an accurate assessment of fibrosis severity. For example, standard liver function tests are not accurate in detecting </w:t>
      </w:r>
      <w:r w:rsidR="007365C6" w:rsidRPr="00F12C22">
        <w:t>AF</w:t>
      </w:r>
      <w:r w:rsidRPr="00F12C22">
        <w:t xml:space="preserve"> and may even give normal results in the presence of </w:t>
      </w:r>
      <w:r w:rsidRPr="00F12C22">
        <w:rPr>
          <w:iCs/>
        </w:rPr>
        <w:t xml:space="preserve">cirrhosis. Confidence in FIB-4 result is uncertain in alcoholic and genetic liver diseases, </w:t>
      </w:r>
      <w:r w:rsidR="00360A0D">
        <w:rPr>
          <w:iCs/>
        </w:rPr>
        <w:t xml:space="preserve">and </w:t>
      </w:r>
      <w:r w:rsidRPr="00F12C22">
        <w:rPr>
          <w:iCs/>
        </w:rPr>
        <w:t xml:space="preserve">viral, autoimmune </w:t>
      </w:r>
      <w:r w:rsidR="00360A0D">
        <w:rPr>
          <w:iCs/>
        </w:rPr>
        <w:t>or</w:t>
      </w:r>
      <w:r w:rsidRPr="00F12C22">
        <w:rPr>
          <w:iCs/>
        </w:rPr>
        <w:t xml:space="preserve"> drug-induced conditions. </w:t>
      </w:r>
      <w:r w:rsidRPr="00F12C22">
        <w:t xml:space="preserve">Similarly, ultrasound is inaccurate for determining </w:t>
      </w:r>
      <w:r w:rsidR="007365C6" w:rsidRPr="00F12C22">
        <w:t>AF</w:t>
      </w:r>
      <w:r w:rsidRPr="00F12C22">
        <w:t xml:space="preserve"> and lack</w:t>
      </w:r>
      <w:r w:rsidR="003F7CD7" w:rsidRPr="00F12C22">
        <w:t>s</w:t>
      </w:r>
      <w:r w:rsidRPr="00F12C22">
        <w:t xml:space="preserve"> sensitivity for determining cirrhosis (GESA </w:t>
      </w:r>
      <w:r w:rsidR="003F7CD7" w:rsidRPr="00F12C22">
        <w:t>2024</w:t>
      </w:r>
      <w:r w:rsidRPr="00F12C22">
        <w:t>).</w:t>
      </w:r>
      <w:r w:rsidRPr="00F12C22">
        <w:rPr>
          <w:iCs/>
        </w:rPr>
        <w:t xml:space="preserve"> The applica</w:t>
      </w:r>
      <w:r w:rsidR="003F7CD7" w:rsidRPr="00F12C22">
        <w:rPr>
          <w:iCs/>
        </w:rPr>
        <w:t>nt’s</w:t>
      </w:r>
      <w:r w:rsidRPr="00F12C22">
        <w:rPr>
          <w:iCs/>
        </w:rPr>
        <w:t xml:space="preserve"> expert also commented on a low sensitivity of ultrasound for detecting liver fibrosis. </w:t>
      </w:r>
    </w:p>
    <w:p w14:paraId="2BDE22B9" w14:textId="7B25DDAC" w:rsidR="00D73332" w:rsidRPr="005C67C7" w:rsidRDefault="00D73332" w:rsidP="00713728">
      <w:pPr>
        <w:pStyle w:val="Heading2"/>
        <w:rPr>
          <w:color w:val="auto"/>
        </w:rPr>
      </w:pPr>
      <w:r w:rsidRPr="005C67C7">
        <w:rPr>
          <w:color w:val="auto"/>
        </w:rPr>
        <w:t>Proposed economic evaluation</w:t>
      </w:r>
    </w:p>
    <w:p w14:paraId="097ECD09" w14:textId="670AE315" w:rsidR="00A67D91" w:rsidRDefault="00845CDE" w:rsidP="00A67D91">
      <w:r>
        <w:t>For both PICO set 1 and 2, b</w:t>
      </w:r>
      <w:r w:rsidR="00C136EE" w:rsidRPr="00F12C22">
        <w:t xml:space="preserve">ased on a claim of superiority versus </w:t>
      </w:r>
      <w:r w:rsidR="007365C6" w:rsidRPr="00F12C22">
        <w:t xml:space="preserve">the appropriate comparator(s) </w:t>
      </w:r>
      <w:r w:rsidR="00C136EE" w:rsidRPr="00F12C22">
        <w:t>for the detection and risk stratification of intermediate (F2) to AF (F3-F4), a cost-effectiveness/cost-utility analysis would be relevant.</w:t>
      </w:r>
    </w:p>
    <w:p w14:paraId="3BEF5F73" w14:textId="77777777" w:rsidR="00FA572A" w:rsidRPr="00FA572A" w:rsidRDefault="00FA572A" w:rsidP="00FA572A">
      <w:pPr>
        <w:rPr>
          <w:i/>
          <w:iCs/>
        </w:rPr>
      </w:pPr>
      <w:r w:rsidRPr="00FA572A">
        <w:rPr>
          <w:i/>
          <w:iCs/>
        </w:rPr>
        <w:t>PASC considered that on the basis of a claim of superiority, a cost-effectiveness/cost-utility analysis would be appropriate.</w:t>
      </w:r>
    </w:p>
    <w:p w14:paraId="692D8FB3" w14:textId="77777777" w:rsidR="00FA572A" w:rsidRPr="00FA572A" w:rsidRDefault="00FA572A" w:rsidP="00FA572A">
      <w:pPr>
        <w:rPr>
          <w:i/>
          <w:iCs/>
        </w:rPr>
      </w:pPr>
      <w:r w:rsidRPr="00FA572A">
        <w:rPr>
          <w:i/>
          <w:iCs/>
        </w:rPr>
        <w:t xml:space="preserve">PASC noted that a cost-utility analysis would best capture the spectrum of impacts from testing. However, if a cost-effectiveness analysis was pursued, effectiveness should be measured as a health outcome (e.g., </w:t>
      </w:r>
      <w:r w:rsidRPr="00FA572A">
        <w:rPr>
          <w:i/>
          <w:iCs/>
        </w:rPr>
        <w:lastRenderedPageBreak/>
        <w:t xml:space="preserve">cost per case of cirrhosis prevented) which is more informative than a test outcome (e.g., cost per case of fibrosis detected). </w:t>
      </w:r>
    </w:p>
    <w:p w14:paraId="61061EF6" w14:textId="13EEA677" w:rsidR="00FA572A" w:rsidRPr="00F42687" w:rsidRDefault="00FA572A" w:rsidP="00FA572A">
      <w:pPr>
        <w:rPr>
          <w:i/>
          <w:iCs/>
        </w:rPr>
      </w:pPr>
      <w:r w:rsidRPr="00FA572A">
        <w:rPr>
          <w:i/>
          <w:iCs/>
        </w:rPr>
        <w:t>PASC also considered that any changes to the number of referrals to specialists based on risk stratification in the primary care setting should be captured in the economic evaluation.</w:t>
      </w:r>
    </w:p>
    <w:p w14:paraId="6DAB2DBD" w14:textId="16B0A53E" w:rsidR="000939E0" w:rsidRPr="00F12C22" w:rsidRDefault="000939E0" w:rsidP="00C40CC4">
      <w:pPr>
        <w:pStyle w:val="Caption"/>
      </w:pPr>
      <w:bookmarkStart w:id="11" w:name="_Ref54260209"/>
      <w:bookmarkStart w:id="12" w:name="_Toc423450289"/>
      <w:r w:rsidRPr="00F12C22">
        <w:t>Table</w:t>
      </w:r>
      <w:r w:rsidR="00DE762F" w:rsidRPr="00F12C22">
        <w:t> </w:t>
      </w:r>
      <w:r w:rsidRPr="00F12C22">
        <w:fldChar w:fldCharType="begin"/>
      </w:r>
      <w:r w:rsidRPr="00F12C22">
        <w:instrText xml:space="preserve"> SEQ Table \* ARABIC </w:instrText>
      </w:r>
      <w:r w:rsidRPr="00F12C22">
        <w:fldChar w:fldCharType="separate"/>
      </w:r>
      <w:r w:rsidR="00D917C4">
        <w:rPr>
          <w:noProof/>
        </w:rPr>
        <w:t>5</w:t>
      </w:r>
      <w:r w:rsidRPr="00F12C22">
        <w:fldChar w:fldCharType="end"/>
      </w:r>
      <w:bookmarkEnd w:id="11"/>
      <w:r w:rsidR="001A5D2F" w:rsidRPr="00F12C22">
        <w:tab/>
        <w:t>Classification of</w:t>
      </w:r>
      <w:r w:rsidRPr="00F12C22">
        <w:t xml:space="preserve"> comparative effectiveness and safety of the proposed intervention</w:t>
      </w:r>
      <w:r w:rsidR="001A5D2F" w:rsidRPr="00F12C22">
        <w:t>,</w:t>
      </w:r>
      <w:r w:rsidRPr="00F12C22">
        <w:t xml:space="preserve"> compared with its main comparator</w:t>
      </w:r>
      <w:r w:rsidR="001A5D2F" w:rsidRPr="00F12C22">
        <w:t>,</w:t>
      </w:r>
      <w:r w:rsidRPr="00F12C22">
        <w:t xml:space="preserve"> and guide to the suitable type of economic evaluation</w:t>
      </w:r>
      <w:bookmarkEnd w:id="12"/>
    </w:p>
    <w:tbl>
      <w:tblPr>
        <w:tblW w:w="4872" w:type="pct"/>
        <w:tblInd w:w="115" w:type="dxa"/>
        <w:tblLayout w:type="fixed"/>
        <w:tblCellMar>
          <w:left w:w="115" w:type="dxa"/>
          <w:right w:w="115" w:type="dxa"/>
        </w:tblCellMar>
        <w:tblLook w:val="01E0" w:firstRow="1" w:lastRow="1" w:firstColumn="1" w:lastColumn="1" w:noHBand="0" w:noVBand="0"/>
        <w:tblCaption w:val="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F12C22" w:rsidRPr="00F12C22"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F12C22" w:rsidRDefault="00686EED" w:rsidP="00C40CC4">
            <w:pPr>
              <w:pStyle w:val="TableHeading"/>
            </w:pPr>
            <w:bookmarkStart w:id="13" w:name="Title_Table2" w:colFirst="0" w:colLast="0"/>
            <w:r w:rsidRPr="00F12C22">
              <w:t>Comparative safety</w:t>
            </w:r>
            <w:r w:rsidRPr="005C67C7">
              <w:t>-</w:t>
            </w:r>
          </w:p>
        </w:tc>
        <w:tc>
          <w:tcPr>
            <w:tcW w:w="1905" w:type="dxa"/>
            <w:tcBorders>
              <w:top w:val="single" w:sz="4" w:space="0" w:color="auto"/>
              <w:left w:val="single" w:sz="4" w:space="0" w:color="auto"/>
              <w:bottom w:val="single" w:sz="4" w:space="0" w:color="auto"/>
              <w:right w:val="nil"/>
            </w:tcBorders>
          </w:tcPr>
          <w:p w14:paraId="293E5792" w14:textId="77777777" w:rsidR="00686EED" w:rsidRPr="00F12C22"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F12C22" w:rsidRDefault="00686EED" w:rsidP="00C40CC4">
            <w:pPr>
              <w:pStyle w:val="TableHeading"/>
              <w:ind w:left="-75" w:right="-127"/>
              <w:jc w:val="center"/>
            </w:pPr>
            <w:r w:rsidRPr="00F12C22">
              <w:t>Comparative effectiveness</w:t>
            </w:r>
          </w:p>
        </w:tc>
        <w:tc>
          <w:tcPr>
            <w:tcW w:w="1748" w:type="dxa"/>
            <w:tcBorders>
              <w:top w:val="single" w:sz="4" w:space="0" w:color="auto"/>
              <w:left w:val="nil"/>
              <w:bottom w:val="single" w:sz="4" w:space="0" w:color="auto"/>
            </w:tcBorders>
          </w:tcPr>
          <w:p w14:paraId="6B53FB6C" w14:textId="77777777" w:rsidR="00686EED" w:rsidRPr="00F12C22"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F12C22" w:rsidRDefault="00686EED" w:rsidP="00C40CC4">
            <w:pPr>
              <w:pStyle w:val="TableHeading"/>
              <w:jc w:val="center"/>
            </w:pPr>
          </w:p>
        </w:tc>
      </w:tr>
      <w:bookmarkEnd w:id="13"/>
      <w:tr w:rsidR="00F12C22" w:rsidRPr="00F12C22"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F12C22"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F12C22" w:rsidRDefault="00686EED" w:rsidP="00C40CC4">
            <w:pPr>
              <w:pStyle w:val="TableHeading"/>
              <w:jc w:val="center"/>
            </w:pPr>
            <w:r w:rsidRPr="00F12C22">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F12C22" w:rsidRDefault="00686EED" w:rsidP="00C40CC4">
            <w:pPr>
              <w:pStyle w:val="TableHeading"/>
              <w:jc w:val="center"/>
            </w:pPr>
            <w:r w:rsidRPr="00F12C22">
              <w:t>Uncertain</w:t>
            </w:r>
            <w:r w:rsidRPr="00F12C22">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F12C22" w:rsidRDefault="00686EED" w:rsidP="00C40CC4">
            <w:pPr>
              <w:pStyle w:val="TableHeading"/>
              <w:jc w:val="center"/>
            </w:pPr>
            <w:r w:rsidRPr="00F12C22">
              <w:t>Noninferior</w:t>
            </w:r>
            <w:r w:rsidRPr="00F12C22">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F12C22" w:rsidRDefault="00686EED" w:rsidP="00C40CC4">
            <w:pPr>
              <w:pStyle w:val="TableHeading"/>
              <w:jc w:val="center"/>
            </w:pPr>
            <w:r w:rsidRPr="00F12C22">
              <w:t>Superior</w:t>
            </w:r>
          </w:p>
        </w:tc>
      </w:tr>
      <w:tr w:rsidR="00F12C22" w:rsidRPr="00F12C22"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F12C22" w:rsidRDefault="000939E0" w:rsidP="00C40CC4">
            <w:pPr>
              <w:pStyle w:val="Tabletext"/>
              <w:keepNext/>
            </w:pPr>
            <w:r w:rsidRPr="00F12C22">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F12C22" w:rsidRDefault="000939E0" w:rsidP="00C40CC4">
            <w:pPr>
              <w:pStyle w:val="Tabletext"/>
              <w:keepNext/>
            </w:pPr>
            <w:r w:rsidRPr="00F12C22">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F12C22" w:rsidRDefault="000939E0" w:rsidP="00C40CC4">
            <w:pPr>
              <w:pStyle w:val="Tabletext"/>
              <w:keepNext/>
            </w:pPr>
            <w:r w:rsidRPr="00F12C22">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F12C22" w:rsidRDefault="000939E0" w:rsidP="00C40CC4">
            <w:pPr>
              <w:pStyle w:val="Tabletext"/>
              <w:keepNext/>
            </w:pPr>
            <w:r w:rsidRPr="00F12C22">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F12C22" w:rsidRDefault="000939E0" w:rsidP="00C40CC4">
            <w:pPr>
              <w:pStyle w:val="Tabletext"/>
              <w:keepNext/>
            </w:pPr>
            <w:r w:rsidRPr="00F12C22">
              <w:t>? Likely CUA</w:t>
            </w:r>
          </w:p>
        </w:tc>
      </w:tr>
      <w:tr w:rsidR="00F12C22" w:rsidRPr="00F12C22"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F12C22" w:rsidRDefault="000939E0" w:rsidP="00C40CC4">
            <w:pPr>
              <w:pStyle w:val="Tabletext"/>
              <w:keepNext/>
            </w:pPr>
            <w:r w:rsidRPr="00F12C22">
              <w:t>Uncertain</w:t>
            </w:r>
            <w:r w:rsidRPr="00F12C22">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F12C22" w:rsidRDefault="000939E0" w:rsidP="00C40CC4">
            <w:pPr>
              <w:pStyle w:val="Tabletext"/>
              <w:keepNext/>
            </w:pPr>
            <w:r w:rsidRPr="00F12C22">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F12C22" w:rsidRDefault="000939E0" w:rsidP="00C40CC4">
            <w:pPr>
              <w:pStyle w:val="Tabletext"/>
              <w:keepNext/>
            </w:pPr>
            <w:r w:rsidRPr="00F12C22">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F12C22" w:rsidRDefault="000939E0" w:rsidP="00C40CC4">
            <w:pPr>
              <w:pStyle w:val="Tabletext"/>
              <w:keepNext/>
            </w:pPr>
            <w:r w:rsidRPr="00F12C22">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F12C22" w:rsidRDefault="000939E0" w:rsidP="00C40CC4">
            <w:pPr>
              <w:pStyle w:val="Tabletext"/>
              <w:keepNext/>
            </w:pPr>
            <w:r w:rsidRPr="00F12C22">
              <w:t>? Likely CEA/CUA</w:t>
            </w:r>
          </w:p>
        </w:tc>
      </w:tr>
      <w:tr w:rsidR="00F12C22" w:rsidRPr="00F12C22"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F12C22" w:rsidRDefault="000939E0" w:rsidP="00C40CC4">
            <w:pPr>
              <w:pStyle w:val="Tabletext"/>
              <w:keepNext/>
            </w:pPr>
            <w:r w:rsidRPr="00F12C22">
              <w:t>Noninferior</w:t>
            </w:r>
            <w:r w:rsidRPr="00F12C22">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F12C22" w:rsidRDefault="000939E0" w:rsidP="00C40CC4">
            <w:pPr>
              <w:pStyle w:val="Tabletext"/>
              <w:keepNext/>
            </w:pPr>
            <w:r w:rsidRPr="00F12C22">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F12C22" w:rsidRDefault="000939E0" w:rsidP="00C40CC4">
            <w:pPr>
              <w:pStyle w:val="Tabletext"/>
              <w:keepNext/>
            </w:pPr>
            <w:r w:rsidRPr="00F12C22">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F12C22" w:rsidRDefault="000939E0" w:rsidP="00C40CC4">
            <w:pPr>
              <w:pStyle w:val="Tabletext"/>
              <w:keepNext/>
            </w:pPr>
            <w:r w:rsidRPr="00F12C22">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F12C22" w:rsidRDefault="000939E0" w:rsidP="00C40CC4">
            <w:pPr>
              <w:pStyle w:val="Tabletext"/>
              <w:keepNext/>
            </w:pPr>
            <w:r w:rsidRPr="00F12C22">
              <w:t>CEA/CUA</w:t>
            </w:r>
          </w:p>
        </w:tc>
      </w:tr>
      <w:tr w:rsidR="00F12C22" w:rsidRPr="00F12C22"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F12C22" w:rsidRDefault="000939E0" w:rsidP="00C40CC4">
            <w:pPr>
              <w:pStyle w:val="Tabletext"/>
              <w:keepNext/>
            </w:pPr>
            <w:r w:rsidRPr="00F12C22">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F12C22" w:rsidRDefault="000939E0" w:rsidP="00C40CC4">
            <w:pPr>
              <w:pStyle w:val="Tabletext"/>
              <w:keepNext/>
            </w:pPr>
            <w:r w:rsidRPr="00F12C22">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F12C22" w:rsidRDefault="000939E0" w:rsidP="00C40CC4">
            <w:pPr>
              <w:pStyle w:val="Tabletext"/>
              <w:keepNext/>
            </w:pPr>
            <w:r w:rsidRPr="00F12C22">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F12C22" w:rsidRDefault="000939E0" w:rsidP="00C40CC4">
            <w:pPr>
              <w:pStyle w:val="Tabletext"/>
              <w:keepNext/>
            </w:pPr>
            <w:r w:rsidRPr="00F12C22">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F12C22" w:rsidRDefault="000939E0" w:rsidP="00C40CC4">
            <w:pPr>
              <w:pStyle w:val="Tabletext"/>
              <w:keepNext/>
            </w:pPr>
            <w:r w:rsidRPr="00F12C22">
              <w:t>CEA/CUA</w:t>
            </w:r>
          </w:p>
        </w:tc>
      </w:tr>
    </w:tbl>
    <w:p w14:paraId="6538A3FB" w14:textId="77777777" w:rsidR="000939E0" w:rsidRPr="00F12C22" w:rsidRDefault="000939E0" w:rsidP="00A67D91">
      <w:pPr>
        <w:pStyle w:val="Tablenotes"/>
        <w:keepNext/>
        <w:spacing w:after="0"/>
        <w:rPr>
          <w:szCs w:val="18"/>
        </w:rPr>
      </w:pPr>
      <w:r w:rsidRPr="00F12C22">
        <w:rPr>
          <w:szCs w:val="18"/>
        </w:rPr>
        <w:t>CEA=cost-effectiveness analysis; CMA=cost-minimisation analysis; CUA=cost-utility analysis</w:t>
      </w:r>
    </w:p>
    <w:p w14:paraId="48F7CED7" w14:textId="77777777" w:rsidR="000939E0" w:rsidRPr="00F12C22" w:rsidRDefault="000939E0" w:rsidP="00A67D91">
      <w:pPr>
        <w:pStyle w:val="Tablenotes"/>
        <w:keepNext/>
        <w:spacing w:after="0"/>
        <w:rPr>
          <w:b/>
          <w:szCs w:val="18"/>
        </w:rPr>
      </w:pPr>
      <w:r w:rsidRPr="00F12C22">
        <w:rPr>
          <w:szCs w:val="18"/>
        </w:rPr>
        <w:t xml:space="preserve">? = reflect uncertainties and any identified health trade-offs in the economic evaluation, as a minimum in a cost-consequences analysis </w:t>
      </w:r>
    </w:p>
    <w:p w14:paraId="65C6F534" w14:textId="77777777" w:rsidR="000939E0" w:rsidRPr="00F12C22" w:rsidRDefault="000939E0" w:rsidP="00A67D91">
      <w:pPr>
        <w:pStyle w:val="Tablenotes"/>
        <w:keepNext/>
        <w:spacing w:after="0"/>
        <w:rPr>
          <w:b/>
          <w:szCs w:val="18"/>
        </w:rPr>
      </w:pPr>
      <w:r w:rsidRPr="00F12C22">
        <w:rPr>
          <w:szCs w:val="18"/>
          <w:vertAlign w:val="superscript"/>
        </w:rPr>
        <w:t>a</w:t>
      </w:r>
      <w:r w:rsidRPr="00F12C22">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3F4AEA8E" w14:textId="39F74675" w:rsidR="009517D8" w:rsidRPr="00F12C22" w:rsidRDefault="000939E0" w:rsidP="000939E0">
      <w:pPr>
        <w:pStyle w:val="Tablenotes"/>
        <w:rPr>
          <w:szCs w:val="18"/>
        </w:rPr>
      </w:pPr>
      <w:r w:rsidRPr="00F12C22">
        <w:rPr>
          <w:szCs w:val="18"/>
          <w:vertAlign w:val="superscript"/>
        </w:rPr>
        <w:t>b</w:t>
      </w:r>
      <w:r w:rsidRPr="00F12C22">
        <w:rPr>
          <w:szCs w:val="18"/>
        </w:rPr>
        <w:t> An adequate assessment of ‘noninferiority’ is the preferred basis for demonstrating equivalence</w:t>
      </w:r>
    </w:p>
    <w:p w14:paraId="047E4738" w14:textId="172316E8" w:rsidR="00D73332" w:rsidRPr="005C67C7" w:rsidRDefault="00D73332" w:rsidP="00DE762F">
      <w:pPr>
        <w:pStyle w:val="Heading2"/>
        <w:rPr>
          <w:color w:val="auto"/>
        </w:rPr>
      </w:pPr>
      <w:r w:rsidRPr="005C67C7">
        <w:rPr>
          <w:color w:val="auto"/>
        </w:rPr>
        <w:t>Propos</w:t>
      </w:r>
      <w:r w:rsidR="000D1FCF" w:rsidRPr="005C67C7">
        <w:rPr>
          <w:color w:val="auto"/>
        </w:rPr>
        <w:t>al for public funding</w:t>
      </w:r>
    </w:p>
    <w:p w14:paraId="643DA5BA" w14:textId="4787B866" w:rsidR="00FA04EC" w:rsidRPr="00F12C22" w:rsidRDefault="00FA04EC" w:rsidP="00955933">
      <w:r w:rsidRPr="00F12C22">
        <w:t xml:space="preserve">The item descriptors proposed by the applicant are presented in </w:t>
      </w:r>
      <w:r w:rsidRPr="00F12C22">
        <w:fldChar w:fldCharType="begin"/>
      </w:r>
      <w:r w:rsidRPr="00F12C22">
        <w:instrText xml:space="preserve"> REF _Ref193073073 \h </w:instrText>
      </w:r>
      <w:r w:rsidRPr="00F12C22">
        <w:fldChar w:fldCharType="separate"/>
      </w:r>
      <w:r w:rsidR="008B40C7" w:rsidRPr="00F12C22">
        <w:t xml:space="preserve">Table </w:t>
      </w:r>
      <w:r w:rsidR="008B40C7">
        <w:rPr>
          <w:noProof/>
        </w:rPr>
        <w:t>6</w:t>
      </w:r>
      <w:r w:rsidRPr="00F12C22">
        <w:fldChar w:fldCharType="end"/>
      </w:r>
      <w:r w:rsidRPr="00F12C22">
        <w:t xml:space="preserve"> and </w:t>
      </w:r>
      <w:r w:rsidRPr="00F12C22">
        <w:fldChar w:fldCharType="begin"/>
      </w:r>
      <w:r w:rsidRPr="00F12C22">
        <w:instrText xml:space="preserve"> REF _Ref193073075 \h </w:instrText>
      </w:r>
      <w:r w:rsidRPr="00F12C22">
        <w:fldChar w:fldCharType="separate"/>
      </w:r>
      <w:r w:rsidR="008B40C7" w:rsidRPr="00F12C22">
        <w:t xml:space="preserve">Table </w:t>
      </w:r>
      <w:r w:rsidR="008B40C7">
        <w:rPr>
          <w:noProof/>
        </w:rPr>
        <w:t>7</w:t>
      </w:r>
      <w:r w:rsidRPr="00F12C22">
        <w:fldChar w:fldCharType="end"/>
      </w:r>
      <w:r w:rsidRPr="00F12C22">
        <w:t>, for primary</w:t>
      </w:r>
      <w:r w:rsidR="00B406B0">
        <w:t xml:space="preserve"> (PICO set 1)</w:t>
      </w:r>
      <w:r w:rsidRPr="00F12C22">
        <w:t xml:space="preserve"> and specialist </w:t>
      </w:r>
      <w:r w:rsidR="00B406B0">
        <w:t xml:space="preserve">(PICO set 2) </w:t>
      </w:r>
      <w:r w:rsidRPr="00F12C22">
        <w:t>care, respectively.</w:t>
      </w:r>
    </w:p>
    <w:p w14:paraId="2E492E71" w14:textId="1BE7A528" w:rsidR="00FA04EC" w:rsidRPr="00F12C22" w:rsidRDefault="00FA04EC" w:rsidP="00FA04EC">
      <w:pPr>
        <w:pStyle w:val="Caption"/>
      </w:pPr>
      <w:bookmarkStart w:id="14" w:name="_Ref193073073"/>
      <w:r w:rsidRPr="00F12C22">
        <w:t xml:space="preserve">Table </w:t>
      </w:r>
      <w:r w:rsidRPr="00F12C22">
        <w:fldChar w:fldCharType="begin"/>
      </w:r>
      <w:r w:rsidRPr="00F12C22">
        <w:instrText xml:space="preserve"> SEQ Table \* ARABIC </w:instrText>
      </w:r>
      <w:r w:rsidRPr="00F12C22">
        <w:fldChar w:fldCharType="separate"/>
      </w:r>
      <w:r w:rsidR="008B40C7">
        <w:rPr>
          <w:noProof/>
        </w:rPr>
        <w:t>6</w:t>
      </w:r>
      <w:r w:rsidRPr="00F12C22">
        <w:fldChar w:fldCharType="end"/>
      </w:r>
      <w:bookmarkEnd w:id="14"/>
      <w:r w:rsidRPr="00F12C22">
        <w:tab/>
        <w:t xml:space="preserve">Proposed item descriptor for </w:t>
      </w:r>
      <w:r w:rsidR="00823CCA" w:rsidRPr="00F12C22">
        <w:t>VCTE™</w:t>
      </w:r>
      <w:r w:rsidRPr="00F12C22">
        <w:rPr>
          <w:vertAlign w:val="superscript"/>
        </w:rPr>
        <w:t xml:space="preserve"> </w:t>
      </w:r>
      <w:r w:rsidRPr="00F12C22">
        <w:t>in the primary care setting</w:t>
      </w:r>
      <w:r w:rsidR="00B406B0">
        <w:t xml:space="preserve"> (PICO set 1)</w:t>
      </w:r>
    </w:p>
    <w:tbl>
      <w:tblPr>
        <w:tblStyle w:val="TableGrid"/>
        <w:tblW w:w="9634" w:type="dxa"/>
        <w:tblInd w:w="0" w:type="dxa"/>
        <w:tblLook w:val="04A0" w:firstRow="1" w:lastRow="0" w:firstColumn="1" w:lastColumn="0" w:noHBand="0" w:noVBand="1"/>
        <w:tblCaption w:val="Proposed item descriptor for VCTE™ in the primary care setting (PICO set 1)"/>
        <w:tblDescription w:val="Proposed item descriptor for VCTE™ in the primary care setting (PICO set 1)"/>
      </w:tblPr>
      <w:tblGrid>
        <w:gridCol w:w="9634"/>
      </w:tblGrid>
      <w:tr w:rsidR="00F12C22" w:rsidRPr="00F12C22" w14:paraId="6059EDC0" w14:textId="77777777" w:rsidTr="00E34D11">
        <w:trPr>
          <w:cantSplit/>
          <w:trHeight w:val="350"/>
          <w:tblHeader/>
        </w:trPr>
        <w:tc>
          <w:tcPr>
            <w:tcW w:w="9634" w:type="dxa"/>
          </w:tcPr>
          <w:p w14:paraId="06615DD8" w14:textId="0B8F08D3" w:rsidR="00FA04EC" w:rsidRPr="00F12C22" w:rsidRDefault="00FA04EC">
            <w:pPr>
              <w:pStyle w:val="TableText0"/>
            </w:pPr>
            <w:r w:rsidRPr="00F12C22">
              <w:t xml:space="preserve">Category 1 – Professional attendances </w:t>
            </w:r>
          </w:p>
        </w:tc>
      </w:tr>
      <w:tr w:rsidR="00F12C22" w:rsidRPr="00F12C22" w14:paraId="5B963076" w14:textId="77777777" w:rsidTr="00E34D11">
        <w:trPr>
          <w:cantSplit/>
          <w:tblHeader/>
        </w:trPr>
        <w:tc>
          <w:tcPr>
            <w:tcW w:w="9634" w:type="dxa"/>
          </w:tcPr>
          <w:p w14:paraId="7502C71F" w14:textId="77777777" w:rsidR="00FA04EC" w:rsidRPr="00F12C22" w:rsidRDefault="00FA04EC">
            <w:pPr>
              <w:pStyle w:val="TableText0"/>
              <w:rPr>
                <w:lang w:val="en-US" w:eastAsia="ja-JP"/>
              </w:rPr>
            </w:pPr>
            <w:r w:rsidRPr="00F12C22">
              <w:rPr>
                <w:lang w:val="en-US" w:eastAsia="ja-JP"/>
              </w:rPr>
              <w:t>MBS item XXXX</w:t>
            </w:r>
          </w:p>
          <w:p w14:paraId="069DF171" w14:textId="77777777" w:rsidR="00FA04EC" w:rsidRPr="00F12C22" w:rsidRDefault="00FA04EC">
            <w:pPr>
              <w:pStyle w:val="TableText0"/>
              <w:rPr>
                <w:lang w:val="en-US" w:eastAsia="ja-JP"/>
              </w:rPr>
            </w:pPr>
          </w:p>
          <w:p w14:paraId="5F2AF091" w14:textId="77777777" w:rsidR="00FA04EC" w:rsidRPr="00F12C22" w:rsidRDefault="00FA04EC" w:rsidP="00FA04EC">
            <w:pPr>
              <w:pStyle w:val="TableText0"/>
            </w:pPr>
            <w:r w:rsidRPr="00F12C22">
              <w:t>Vibration-Controlled Transient Elastography at 50 Hz performed in primary care by a suitably trained medical practitioner or by practice staff on behalf of the medical practitioner, following an indeterminate (1.3–2.7) FIB-4 test, for the assessment of liver fibrosis in patients with metabolic dysfunction-associated fatty liver disease. Additionally:</w:t>
            </w:r>
          </w:p>
          <w:p w14:paraId="79548184" w14:textId="1A7A4161" w:rsidR="00FA04EC" w:rsidRPr="00F12C22" w:rsidRDefault="00FA04EC" w:rsidP="00FA04EC">
            <w:pPr>
              <w:pStyle w:val="TableText0"/>
            </w:pPr>
            <w:r w:rsidRPr="00F12C22">
              <w:t>a. collection of relevant information, including taking a patient history; and</w:t>
            </w:r>
          </w:p>
          <w:p w14:paraId="39F9963F" w14:textId="77777777" w:rsidR="00FA04EC" w:rsidRPr="00F12C22" w:rsidRDefault="00FA04EC" w:rsidP="00FA04EC">
            <w:pPr>
              <w:pStyle w:val="TableText0"/>
            </w:pPr>
            <w:r w:rsidRPr="00F12C22">
              <w:t>b. initiating interventions and referrals as indicated; and</w:t>
            </w:r>
          </w:p>
          <w:p w14:paraId="3705BAF1" w14:textId="77777777" w:rsidR="00FA04EC" w:rsidRPr="00F12C22" w:rsidRDefault="00FA04EC" w:rsidP="00FA04EC">
            <w:pPr>
              <w:pStyle w:val="TableText0"/>
            </w:pPr>
            <w:r w:rsidRPr="00F12C22">
              <w:t>c. implementing a management plan; and</w:t>
            </w:r>
          </w:p>
          <w:p w14:paraId="71E17109" w14:textId="77777777" w:rsidR="00FA04EC" w:rsidRPr="00F12C22" w:rsidRDefault="00FA04EC" w:rsidP="00FA04EC">
            <w:pPr>
              <w:pStyle w:val="TableText0"/>
            </w:pPr>
            <w:r w:rsidRPr="00F12C22">
              <w:t>d. providing the patient with preventative health care advice and information.</w:t>
            </w:r>
          </w:p>
          <w:p w14:paraId="4C14F8B6" w14:textId="6F287F19" w:rsidR="00FA04EC" w:rsidRPr="00F12C22" w:rsidRDefault="00FA04EC" w:rsidP="001E4503">
            <w:pPr>
              <w:pStyle w:val="TableText0"/>
            </w:pPr>
            <w:r w:rsidRPr="00F12C22">
              <w:t>Used on the liver – 1 service only every 3 year</w:t>
            </w:r>
            <w:r w:rsidR="00355BED" w:rsidRPr="00F12C22">
              <w:t>s</w:t>
            </w:r>
            <w:r w:rsidRPr="00F12C22">
              <w:t xml:space="preserve"> - including interpretation and report</w:t>
            </w:r>
            <w:r w:rsidR="001E4503" w:rsidRPr="00F12C22">
              <w:t>.</w:t>
            </w:r>
          </w:p>
        </w:tc>
      </w:tr>
      <w:tr w:rsidR="00F12C22" w:rsidRPr="00F12C22" w14:paraId="1B60002C" w14:textId="77777777" w:rsidTr="00E34D11">
        <w:trPr>
          <w:cantSplit/>
          <w:trHeight w:val="223"/>
          <w:tblHeader/>
        </w:trPr>
        <w:tc>
          <w:tcPr>
            <w:tcW w:w="9634" w:type="dxa"/>
          </w:tcPr>
          <w:p w14:paraId="2BCE109C" w14:textId="1A54942E" w:rsidR="00FA04EC" w:rsidRPr="00F12C22" w:rsidRDefault="00FA04EC">
            <w:pPr>
              <w:pStyle w:val="TableText0"/>
              <w:rPr>
                <w:snapToGrid w:val="0"/>
              </w:rPr>
            </w:pPr>
            <w:r w:rsidRPr="00F12C22">
              <w:t>Fee: $101.70</w:t>
            </w:r>
            <w:r w:rsidRPr="00F12C22">
              <w:rPr>
                <w:strike/>
              </w:rPr>
              <w:t xml:space="preserve"> </w:t>
            </w:r>
          </w:p>
        </w:tc>
      </w:tr>
    </w:tbl>
    <w:p w14:paraId="5744A7ED" w14:textId="77777777" w:rsidR="00FA04EC" w:rsidRPr="00F12C22" w:rsidRDefault="00FA04EC" w:rsidP="00955933"/>
    <w:p w14:paraId="3B56A8C7" w14:textId="744B3E08" w:rsidR="00FA04EC" w:rsidRPr="00F12C22" w:rsidRDefault="00FA04EC" w:rsidP="00FA04EC">
      <w:pPr>
        <w:pStyle w:val="Caption"/>
      </w:pPr>
      <w:bookmarkStart w:id="15" w:name="_Ref193073075"/>
      <w:r w:rsidRPr="00F12C22">
        <w:lastRenderedPageBreak/>
        <w:t xml:space="preserve">Table </w:t>
      </w:r>
      <w:r w:rsidRPr="00F12C22">
        <w:fldChar w:fldCharType="begin"/>
      </w:r>
      <w:r w:rsidRPr="00F12C22">
        <w:instrText xml:space="preserve"> SEQ Table \* ARABIC </w:instrText>
      </w:r>
      <w:r w:rsidRPr="00F12C22">
        <w:fldChar w:fldCharType="separate"/>
      </w:r>
      <w:r w:rsidR="00D917C4">
        <w:rPr>
          <w:noProof/>
        </w:rPr>
        <w:t>7</w:t>
      </w:r>
      <w:r w:rsidRPr="00F12C22">
        <w:fldChar w:fldCharType="end"/>
      </w:r>
      <w:bookmarkEnd w:id="15"/>
      <w:r w:rsidRPr="00F12C22">
        <w:tab/>
        <w:t xml:space="preserve">Proposed item descriptor for </w:t>
      </w:r>
      <w:r w:rsidR="00823CCA" w:rsidRPr="00F12C22">
        <w:t>VCTE™</w:t>
      </w:r>
      <w:r w:rsidRPr="00F12C22">
        <w:rPr>
          <w:vertAlign w:val="superscript"/>
        </w:rPr>
        <w:t xml:space="preserve"> </w:t>
      </w:r>
      <w:r w:rsidRPr="00F12C22">
        <w:t xml:space="preserve">in the </w:t>
      </w:r>
      <w:r w:rsidR="00BE64AE" w:rsidRPr="00F12C22">
        <w:t>specialist</w:t>
      </w:r>
      <w:r w:rsidRPr="00F12C22">
        <w:t xml:space="preserve"> care setting</w:t>
      </w:r>
      <w:r w:rsidR="00B406B0">
        <w:t xml:space="preserve"> (PICO set 2)</w:t>
      </w:r>
    </w:p>
    <w:tbl>
      <w:tblPr>
        <w:tblStyle w:val="TableGrid"/>
        <w:tblW w:w="9634" w:type="dxa"/>
        <w:tblInd w:w="0" w:type="dxa"/>
        <w:tblLook w:val="04A0" w:firstRow="1" w:lastRow="0" w:firstColumn="1" w:lastColumn="0" w:noHBand="0" w:noVBand="1"/>
        <w:tblCaption w:val="Proposed item descriptor for VCTE™ in the specialist care setting (PICO set 2)"/>
        <w:tblDescription w:val="Proposed item descriptor for VCTE™ in the specialist care setting (PICO set 2)"/>
      </w:tblPr>
      <w:tblGrid>
        <w:gridCol w:w="9634"/>
      </w:tblGrid>
      <w:tr w:rsidR="00F12C22" w:rsidRPr="00F12C22" w14:paraId="37EFF0BD" w14:textId="77777777" w:rsidTr="00E34D11">
        <w:trPr>
          <w:cantSplit/>
          <w:trHeight w:val="350"/>
          <w:tblHeader/>
        </w:trPr>
        <w:tc>
          <w:tcPr>
            <w:tcW w:w="9634" w:type="dxa"/>
          </w:tcPr>
          <w:p w14:paraId="0695B290" w14:textId="77777777" w:rsidR="00FA04EC" w:rsidRPr="00F12C22" w:rsidRDefault="00FA04EC">
            <w:pPr>
              <w:pStyle w:val="TableText0"/>
            </w:pPr>
            <w:r w:rsidRPr="00F12C22">
              <w:t xml:space="preserve">Category 1 – Professional attendances </w:t>
            </w:r>
          </w:p>
        </w:tc>
      </w:tr>
      <w:tr w:rsidR="00F12C22" w:rsidRPr="00F12C22" w14:paraId="185E0367" w14:textId="77777777" w:rsidTr="00E34D11">
        <w:trPr>
          <w:cantSplit/>
          <w:tblHeader/>
        </w:trPr>
        <w:tc>
          <w:tcPr>
            <w:tcW w:w="9634" w:type="dxa"/>
          </w:tcPr>
          <w:p w14:paraId="0AF365DE" w14:textId="77777777" w:rsidR="00FA04EC" w:rsidRPr="00F12C22" w:rsidRDefault="00FA04EC">
            <w:pPr>
              <w:pStyle w:val="TableText0"/>
              <w:rPr>
                <w:lang w:val="en-US" w:eastAsia="ja-JP"/>
              </w:rPr>
            </w:pPr>
            <w:r w:rsidRPr="00F12C22">
              <w:rPr>
                <w:lang w:val="en-US" w:eastAsia="ja-JP"/>
              </w:rPr>
              <w:t>MBS item XXXX</w:t>
            </w:r>
          </w:p>
          <w:p w14:paraId="3697BC02" w14:textId="77777777" w:rsidR="00FA04EC" w:rsidRPr="00F12C22" w:rsidRDefault="00FA04EC">
            <w:pPr>
              <w:pStyle w:val="TableText0"/>
              <w:rPr>
                <w:lang w:val="en-US" w:eastAsia="ja-JP"/>
              </w:rPr>
            </w:pPr>
          </w:p>
          <w:p w14:paraId="761461B4" w14:textId="05A59589" w:rsidR="00FA04EC" w:rsidRPr="00F12C22" w:rsidRDefault="00FA04EC">
            <w:pPr>
              <w:pStyle w:val="TableText0"/>
            </w:pPr>
            <w:r w:rsidRPr="00F12C22">
              <w:t xml:space="preserve">Vibration-Controlled Transient Elastography at 50 Hz performed in </w:t>
            </w:r>
            <w:r w:rsidR="00BE64AE" w:rsidRPr="00F12C22">
              <w:t>specialist</w:t>
            </w:r>
            <w:r w:rsidRPr="00F12C22">
              <w:t xml:space="preserve"> care by a suitably trained medical practitioner or by practice staff on behalf of the medical practitioner, following an indeterminate or high (1.3 or higher) FIB-4 test, for the assessment of liver fibrosis in patients with metabolic dysfunction-associated fatty liver disease. Additionally:</w:t>
            </w:r>
          </w:p>
          <w:p w14:paraId="06F53373" w14:textId="77777777" w:rsidR="00FA04EC" w:rsidRPr="00F12C22" w:rsidRDefault="00FA04EC">
            <w:pPr>
              <w:pStyle w:val="TableText0"/>
            </w:pPr>
            <w:r w:rsidRPr="00F12C22">
              <w:t>a. collection of relevant information, including taking a patient history; and</w:t>
            </w:r>
          </w:p>
          <w:p w14:paraId="07C37C67" w14:textId="77777777" w:rsidR="00FA04EC" w:rsidRPr="00F12C22" w:rsidRDefault="00FA04EC">
            <w:pPr>
              <w:pStyle w:val="TableText0"/>
            </w:pPr>
            <w:r w:rsidRPr="00F12C22">
              <w:t>b. initiating interventions and referrals as indicated; and</w:t>
            </w:r>
          </w:p>
          <w:p w14:paraId="718822AD" w14:textId="77777777" w:rsidR="00FA04EC" w:rsidRPr="00F12C22" w:rsidRDefault="00FA04EC">
            <w:pPr>
              <w:pStyle w:val="TableText0"/>
            </w:pPr>
            <w:r w:rsidRPr="00F12C22">
              <w:t>c. implementing a management plan; and</w:t>
            </w:r>
          </w:p>
          <w:p w14:paraId="0EA74DF2" w14:textId="77777777" w:rsidR="00FA04EC" w:rsidRPr="00F12C22" w:rsidRDefault="00FA04EC">
            <w:pPr>
              <w:pStyle w:val="TableText0"/>
            </w:pPr>
            <w:r w:rsidRPr="00F12C22">
              <w:t>d. providing the patient with preventative health care advice and information.</w:t>
            </w:r>
          </w:p>
          <w:p w14:paraId="3BA3DCE5" w14:textId="6147E4CF" w:rsidR="00FA04EC" w:rsidRPr="00F12C22" w:rsidRDefault="00FA04EC" w:rsidP="00C24866">
            <w:pPr>
              <w:pStyle w:val="TableText0"/>
            </w:pPr>
            <w:r w:rsidRPr="00F12C22">
              <w:t>Used on the liver – 1 service only every 3 year</w:t>
            </w:r>
            <w:r w:rsidR="00355BED" w:rsidRPr="00F12C22">
              <w:t>s</w:t>
            </w:r>
            <w:r w:rsidRPr="00F12C22">
              <w:t xml:space="preserve"> - including interpretation and report</w:t>
            </w:r>
            <w:r w:rsidR="00C24866" w:rsidRPr="00F12C22">
              <w:t>.</w:t>
            </w:r>
          </w:p>
        </w:tc>
      </w:tr>
      <w:tr w:rsidR="00F12C22" w:rsidRPr="00F12C22" w14:paraId="699D2ACD" w14:textId="77777777" w:rsidTr="00E34D11">
        <w:trPr>
          <w:cantSplit/>
          <w:trHeight w:val="223"/>
          <w:tblHeader/>
        </w:trPr>
        <w:tc>
          <w:tcPr>
            <w:tcW w:w="9634" w:type="dxa"/>
          </w:tcPr>
          <w:p w14:paraId="69B54176" w14:textId="4C626C98" w:rsidR="00FA04EC" w:rsidRPr="00F12C22" w:rsidRDefault="00FA04EC">
            <w:pPr>
              <w:pStyle w:val="TableText0"/>
              <w:rPr>
                <w:snapToGrid w:val="0"/>
              </w:rPr>
            </w:pPr>
            <w:r w:rsidRPr="00F12C22">
              <w:t>Fee: $141.75</w:t>
            </w:r>
            <w:r w:rsidRPr="00F12C22">
              <w:rPr>
                <w:strike/>
              </w:rPr>
              <w:t xml:space="preserve"> </w:t>
            </w:r>
          </w:p>
        </w:tc>
      </w:tr>
    </w:tbl>
    <w:p w14:paraId="083A50DC" w14:textId="761A3EBC" w:rsidR="00FA04EC" w:rsidRPr="00F12C22" w:rsidRDefault="00FA04EC" w:rsidP="00955933"/>
    <w:p w14:paraId="7889A93C" w14:textId="47329476" w:rsidR="0080096A" w:rsidRPr="005C67C7" w:rsidRDefault="0080096A" w:rsidP="0080096A">
      <w:r w:rsidRPr="00F12C22">
        <w:t>In MSAC application 1366, the item was proposed to be Category 5 – Diagnostic Imaging Services (MSAC 1366 PSD, p5).</w:t>
      </w:r>
      <w:r>
        <w:t xml:space="preserve"> </w:t>
      </w:r>
      <w:r w:rsidRPr="00D334F8">
        <w:t xml:space="preserve">Although </w:t>
      </w:r>
      <w:r w:rsidRPr="00F12C22">
        <w:t>VCTE™</w:t>
      </w:r>
      <w:r w:rsidRPr="00D334F8">
        <w:t xml:space="preserve"> is a type of ultrasound, </w:t>
      </w:r>
      <w:r>
        <w:t xml:space="preserve">the department has advised that </w:t>
      </w:r>
      <w:r w:rsidRPr="00D334F8">
        <w:t xml:space="preserve">an MBS item would not sit in the Diagnostic Imaging Services Table as </w:t>
      </w:r>
      <w:r>
        <w:t>the scan</w:t>
      </w:r>
      <w:r w:rsidRPr="00D334F8">
        <w:t xml:space="preserve"> generates a measurement rather than a diagnostic image</w:t>
      </w:r>
      <w:r>
        <w:t>, and</w:t>
      </w:r>
      <w:r w:rsidRPr="00D334F8">
        <w:t xml:space="preserve"> would be better placed under Category 2 (Diagnostic Procedures and Investigations) of the General Medical Services Table.</w:t>
      </w:r>
    </w:p>
    <w:p w14:paraId="39E4B68E" w14:textId="75C27782" w:rsidR="55DABA2D" w:rsidRPr="00F12C22" w:rsidRDefault="00AC0A90">
      <w:r>
        <w:t>I</w:t>
      </w:r>
      <w:r w:rsidR="55DABA2D" w:rsidRPr="00F12C22">
        <w:t xml:space="preserve">nclusion of </w:t>
      </w:r>
      <w:r w:rsidR="29698B46" w:rsidRPr="00F12C22">
        <w:t xml:space="preserve">the trade marked terminology </w:t>
      </w:r>
      <w:r w:rsidR="55DABA2D" w:rsidRPr="00F12C22">
        <w:t>Vibration-Controlled Transient Elastography</w:t>
      </w:r>
      <w:r w:rsidR="00EB1A25" w:rsidRPr="00F12C22">
        <w:t>™</w:t>
      </w:r>
      <w:r w:rsidR="55DABA2D" w:rsidRPr="00F12C22">
        <w:t xml:space="preserve"> in the item descriptor restricts the use of this item solely to </w:t>
      </w:r>
      <w:r w:rsidR="7ED5BB92" w:rsidRPr="00F12C22">
        <w:t>th</w:t>
      </w:r>
      <w:r w:rsidR="527F0C14" w:rsidRPr="00F12C22">
        <w:t>e Fibro</w:t>
      </w:r>
      <w:r w:rsidR="006C4B91" w:rsidRPr="00F12C22">
        <w:t>S</w:t>
      </w:r>
      <w:r w:rsidR="527F0C14" w:rsidRPr="00F12C22">
        <w:t>can</w:t>
      </w:r>
      <w:r w:rsidR="006B3EBC">
        <w:t>®</w:t>
      </w:r>
      <w:r w:rsidR="55DABA2D" w:rsidRPr="00F12C22">
        <w:t xml:space="preserve"> </w:t>
      </w:r>
      <w:r w:rsidR="7ED5BB92" w:rsidRPr="00F12C22">
        <w:t>device</w:t>
      </w:r>
      <w:r w:rsidR="363E35E8" w:rsidRPr="00F12C22">
        <w:t xml:space="preserve">. This wording </w:t>
      </w:r>
      <w:r w:rsidR="6BD6FAA8" w:rsidRPr="00F12C22">
        <w:t>will legislatively prohibit the public funding of any other forms of elastography.</w:t>
      </w:r>
    </w:p>
    <w:p w14:paraId="6692E430" w14:textId="40681E15" w:rsidR="00442E84" w:rsidRDefault="00442E84" w:rsidP="00442E84">
      <w:pPr>
        <w:autoSpaceDE w:val="0"/>
        <w:autoSpaceDN w:val="0"/>
        <w:adjustRightInd w:val="0"/>
        <w:spacing w:line="23" w:lineRule="atLeast"/>
        <w:rPr>
          <w:rFonts w:asciiTheme="minorHAnsi" w:hAnsiTheme="minorHAnsi" w:cstheme="minorHAnsi"/>
          <w:i/>
        </w:rPr>
      </w:pPr>
      <w:r>
        <w:rPr>
          <w:rFonts w:asciiTheme="minorHAnsi" w:hAnsiTheme="minorHAnsi" w:cstheme="minorHAnsi"/>
          <w:i/>
          <w:iCs/>
        </w:rPr>
        <w:t xml:space="preserve">PASC considered the appropriateness of the item descriptor specifying </w:t>
      </w:r>
      <w:r w:rsidRPr="003B5ED1">
        <w:rPr>
          <w:rFonts w:asciiTheme="minorHAnsi" w:hAnsiTheme="minorHAnsi" w:cstheme="minorHAnsi"/>
          <w:i/>
          <w:iCs/>
        </w:rPr>
        <w:t>VCTE™</w:t>
      </w:r>
      <w:r>
        <w:rPr>
          <w:rFonts w:asciiTheme="minorHAnsi" w:hAnsiTheme="minorHAnsi" w:cstheme="minorHAnsi"/>
          <w:i/>
          <w:iCs/>
        </w:rPr>
        <w:t xml:space="preserve"> as opposed to alternative forms of elastography. PASC advised that there is a preference for device/method agnostic descriptors for MBS items, and therefore suggested that the term ‘transient elastography’ may be more appropriate than ‘VCTE™’. PASC reiterated that the pursual of an item descriptor specifying a specific device would need to be substantiated with evidence to justify limiting testing to a particular method (e.g., superior outcomes compared to alternative methods).</w:t>
      </w:r>
      <w:r w:rsidRPr="00F57734">
        <w:rPr>
          <w:rFonts w:asciiTheme="minorHAnsi" w:hAnsiTheme="minorHAnsi" w:cstheme="minorHAnsi"/>
          <w:i/>
        </w:rPr>
        <w:t xml:space="preserve"> </w:t>
      </w:r>
    </w:p>
    <w:p w14:paraId="72191026" w14:textId="00D14916" w:rsidR="006012B3" w:rsidRDefault="006012B3" w:rsidP="006012B3">
      <w:pPr>
        <w:autoSpaceDE w:val="0"/>
        <w:autoSpaceDN w:val="0"/>
        <w:adjustRightInd w:val="0"/>
        <w:spacing w:line="23" w:lineRule="atLeast"/>
        <w:rPr>
          <w:i/>
          <w:iCs/>
        </w:rPr>
      </w:pPr>
      <w:r w:rsidRPr="4C5E7932">
        <w:rPr>
          <w:rFonts w:asciiTheme="minorHAnsi" w:hAnsiTheme="minorHAnsi" w:cstheme="minorBidi"/>
          <w:i/>
          <w:iCs/>
        </w:rPr>
        <w:t xml:space="preserve">PASC advised that if proceeding with a bundled item, the item descriptor should </w:t>
      </w:r>
      <w:r>
        <w:rPr>
          <w:rFonts w:asciiTheme="minorHAnsi" w:hAnsiTheme="minorHAnsi" w:cstheme="minorBidi"/>
          <w:i/>
          <w:iCs/>
        </w:rPr>
        <w:t>more clearly specify</w:t>
      </w:r>
      <w:r w:rsidRPr="4C5E7932">
        <w:rPr>
          <w:rFonts w:asciiTheme="minorHAnsi" w:hAnsiTheme="minorHAnsi" w:cstheme="minorBidi"/>
          <w:i/>
          <w:iCs/>
        </w:rPr>
        <w:t xml:space="preserve"> who can undertake each component of the proposed bundled item (</w:t>
      </w:r>
      <w:r>
        <w:rPr>
          <w:rFonts w:asciiTheme="minorHAnsi" w:hAnsiTheme="minorHAnsi" w:cstheme="minorBidi"/>
          <w:i/>
          <w:iCs/>
        </w:rPr>
        <w:t>e.g</w:t>
      </w:r>
      <w:r w:rsidRPr="4C5E7932">
        <w:rPr>
          <w:rFonts w:asciiTheme="minorHAnsi" w:hAnsiTheme="minorHAnsi" w:cstheme="minorBidi"/>
          <w:i/>
          <w:iCs/>
        </w:rPr>
        <w:t xml:space="preserve">., </w:t>
      </w:r>
      <w:r w:rsidRPr="4C5E7932">
        <w:rPr>
          <w:i/>
          <w:iCs/>
        </w:rPr>
        <w:t>practice staff may perform the scan, but cannot carry out</w:t>
      </w:r>
      <w:r w:rsidRPr="4C5E7932" w:rsidDel="0021348E">
        <w:rPr>
          <w:i/>
          <w:iCs/>
        </w:rPr>
        <w:t xml:space="preserve"> </w:t>
      </w:r>
      <w:r>
        <w:rPr>
          <w:i/>
          <w:iCs/>
        </w:rPr>
        <w:t xml:space="preserve">consultation </w:t>
      </w:r>
      <w:r w:rsidRPr="4C5E7932">
        <w:rPr>
          <w:i/>
          <w:iCs/>
        </w:rPr>
        <w:t>points (a)-(d) on behalf of the medical practitioner).</w:t>
      </w:r>
    </w:p>
    <w:p w14:paraId="50274FB0" w14:textId="6EBB5743" w:rsidR="00355BED" w:rsidRPr="00F12C22" w:rsidRDefault="00355BED" w:rsidP="008B40C7">
      <w:r w:rsidRPr="00F12C22">
        <w:t xml:space="preserve">The applicant clarified that the proposed </w:t>
      </w:r>
      <w:r w:rsidR="00AD74F3">
        <w:t>service is</w:t>
      </w:r>
      <w:r w:rsidRPr="00F12C22">
        <w:t xml:space="preserve"> </w:t>
      </w:r>
      <w:r w:rsidR="00AA2DEC">
        <w:t>intended</w:t>
      </w:r>
      <w:r w:rsidR="00AA2DEC" w:rsidRPr="00F12C22">
        <w:t xml:space="preserve"> </w:t>
      </w:r>
      <w:r w:rsidRPr="00F12C22">
        <w:t xml:space="preserve">solely </w:t>
      </w:r>
      <w:r w:rsidR="00AA2DEC">
        <w:t>for</w:t>
      </w:r>
      <w:r w:rsidRPr="00F12C22">
        <w:t xml:space="preserve"> initial risk stratification and identification of </w:t>
      </w:r>
      <w:r w:rsidR="000A4A3F" w:rsidRPr="00F12C22">
        <w:t>AF</w:t>
      </w:r>
      <w:r w:rsidRPr="00F12C22">
        <w:t xml:space="preserve"> for clinical decision making, rather than ongoing </w:t>
      </w:r>
      <w:r w:rsidR="00D64C28">
        <w:t xml:space="preserve">monitoring of </w:t>
      </w:r>
      <w:r w:rsidR="004B0EF9">
        <w:t>established</w:t>
      </w:r>
      <w:r w:rsidR="00BD054F">
        <w:t xml:space="preserve"> </w:t>
      </w:r>
      <w:r w:rsidRPr="00F12C22">
        <w:t>fibrosis.</w:t>
      </w:r>
    </w:p>
    <w:p w14:paraId="255743A3" w14:textId="11BCF7FA" w:rsidR="00076A06" w:rsidRPr="00F12C22" w:rsidRDefault="004F5B0F" w:rsidP="000A42E8">
      <w:r>
        <w:t xml:space="preserve">In addition, </w:t>
      </w:r>
      <w:r w:rsidR="00076A06" w:rsidRPr="00F12C22">
        <w:t xml:space="preserve">patients who undergo </w:t>
      </w:r>
      <w:r w:rsidR="00823CCA" w:rsidRPr="00F12C22">
        <w:t>VCTE™</w:t>
      </w:r>
      <w:r w:rsidR="00076A06" w:rsidRPr="00F12C22">
        <w:t xml:space="preserve"> in primary care generally </w:t>
      </w:r>
      <w:r w:rsidR="00530A03">
        <w:t>would</w:t>
      </w:r>
      <w:r w:rsidR="00076A06" w:rsidRPr="00F12C22">
        <w:t xml:space="preserve"> not require an immediate repeat scan upon referral to specialist care (this would be relevant to those with MAFLD, a FIB-4 score 1.3 to 2.7 and LSM </w:t>
      </w:r>
      <w:r w:rsidR="00076A06" w:rsidRPr="00F12C22">
        <w:rPr>
          <w:rFonts w:cs="Calibri"/>
        </w:rPr>
        <w:t>≥</w:t>
      </w:r>
      <w:r w:rsidR="00076A06" w:rsidRPr="00F12C22">
        <w:t>8 kPa</w:t>
      </w:r>
      <w:r w:rsidR="00535CAA" w:rsidRPr="00F12C22">
        <w:t xml:space="preserve"> when VCTE™ is conducted in primary care</w:t>
      </w:r>
      <w:r w:rsidR="00076A06" w:rsidRPr="00F12C22">
        <w:t xml:space="preserve">). </w:t>
      </w:r>
      <w:r w:rsidR="00E30EB4">
        <w:t>T</w:t>
      </w:r>
      <w:r w:rsidR="00E30EB4" w:rsidRPr="00F12C22">
        <w:t>he purpose of VCTE™ in primary care is to serve as an initial risk stratification tool, identifying individuals at risk of AF who may require further specialist evaluation and management.</w:t>
      </w:r>
      <w:r w:rsidR="00E30EB4">
        <w:t xml:space="preserve"> </w:t>
      </w:r>
      <w:r w:rsidR="00076A06" w:rsidRPr="00F12C22">
        <w:t xml:space="preserve">The applicant stated the initial </w:t>
      </w:r>
      <w:r w:rsidR="00823CCA" w:rsidRPr="00F12C22">
        <w:t>VCTE™</w:t>
      </w:r>
      <w:r w:rsidR="00076A06" w:rsidRPr="00F12C22">
        <w:t xml:space="preserve"> results </w:t>
      </w:r>
      <w:r w:rsidR="007029D9">
        <w:t xml:space="preserve">would </w:t>
      </w:r>
      <w:r w:rsidR="00076A06" w:rsidRPr="00F12C22">
        <w:t>remain clinically valid for interpretation by hepatologists or other specialists</w:t>
      </w:r>
      <w:r w:rsidR="00076A06" w:rsidRPr="00F12C22" w:rsidDel="00E30EB4">
        <w:t>.</w:t>
      </w:r>
    </w:p>
    <w:p w14:paraId="33033676" w14:textId="0B705E79" w:rsidR="00E75716" w:rsidRPr="004A4D2F" w:rsidRDefault="00E75716" w:rsidP="00E75716">
      <w:pPr>
        <w:autoSpaceDE w:val="0"/>
        <w:autoSpaceDN w:val="0"/>
        <w:adjustRightInd w:val="0"/>
        <w:spacing w:line="23" w:lineRule="atLeast"/>
        <w:rPr>
          <w:rFonts w:asciiTheme="minorHAnsi" w:hAnsiTheme="minorHAnsi" w:cstheme="minorHAnsi"/>
          <w:i/>
          <w:iCs/>
        </w:rPr>
      </w:pPr>
      <w:r>
        <w:rPr>
          <w:i/>
          <w:iCs/>
        </w:rPr>
        <w:t xml:space="preserve">PASC considered that the wording of the proposed </w:t>
      </w:r>
      <w:r>
        <w:rPr>
          <w:rFonts w:asciiTheme="minorHAnsi" w:hAnsiTheme="minorHAnsi" w:cstheme="minorHAnsi"/>
          <w:i/>
          <w:iCs/>
        </w:rPr>
        <w:t>test and consultation bundled item descriptor may not adequately restrict its use to the initial identification of fibrosis, nor sufficiently prevent its use for monitoring or immediate repeat scans by a specialist following referral from primary care.</w:t>
      </w:r>
    </w:p>
    <w:p w14:paraId="1D4D1819" w14:textId="70E51222" w:rsidR="00E75716" w:rsidRDefault="00E75716" w:rsidP="00E7571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lastRenderedPageBreak/>
        <w:t>PASC questioned whether 1 scan every 3 years was appropriate for initial diagnosis of AF but noted that it was consistent with recommendations in the GESA guidelines.</w:t>
      </w:r>
    </w:p>
    <w:p w14:paraId="2E1C4638" w14:textId="1A1F7ABD" w:rsidR="00393A64" w:rsidRDefault="00336854" w:rsidP="000A42E8">
      <w:r w:rsidRPr="00F12C22">
        <w:t xml:space="preserve">The </w:t>
      </w:r>
      <w:r w:rsidR="003C4FA3">
        <w:t xml:space="preserve">proposed </w:t>
      </w:r>
      <w:r w:rsidRPr="00F12C22">
        <w:t xml:space="preserve">fees are based on </w:t>
      </w:r>
      <w:r w:rsidR="003A11F9">
        <w:t xml:space="preserve">combining </w:t>
      </w:r>
      <w:r w:rsidRPr="00F12C22">
        <w:t>nurse practitioner</w:t>
      </w:r>
      <w:r w:rsidR="00B51D9B">
        <w:t xml:space="preserve"> attendance item 82210</w:t>
      </w:r>
      <w:r w:rsidRPr="00F12C22">
        <w:t xml:space="preserve"> ($58.85) </w:t>
      </w:r>
      <w:r w:rsidR="002F46E6">
        <w:t>(</w:t>
      </w:r>
      <w:r w:rsidR="0083198A">
        <w:t>compensat</w:t>
      </w:r>
      <w:r w:rsidR="002F46E6">
        <w:t>ing</w:t>
      </w:r>
      <w:r w:rsidRPr="00F12C22">
        <w:t xml:space="preserve"> </w:t>
      </w:r>
      <w:r w:rsidR="003A11F9">
        <w:t xml:space="preserve">the </w:t>
      </w:r>
      <w:r w:rsidR="00823CCA" w:rsidRPr="00F12C22">
        <w:t>VCTE™</w:t>
      </w:r>
      <w:r w:rsidRPr="00F12C22">
        <w:t xml:space="preserve"> </w:t>
      </w:r>
      <w:r w:rsidR="00AC0806">
        <w:t>component</w:t>
      </w:r>
      <w:r w:rsidR="002F46E6">
        <w:t>)</w:t>
      </w:r>
      <w:r w:rsidR="003A11F9">
        <w:t xml:space="preserve"> </w:t>
      </w:r>
      <w:r w:rsidR="002F46E6">
        <w:t xml:space="preserve">with </w:t>
      </w:r>
      <w:r w:rsidR="00C0711E">
        <w:t xml:space="preserve">a </w:t>
      </w:r>
      <w:r w:rsidRPr="00F12C22">
        <w:t>GP ($42.85, Item 23 level B) or specialist ($98.95, Item 104)</w:t>
      </w:r>
      <w:r w:rsidR="00E341F4">
        <w:t xml:space="preserve"> attendance item</w:t>
      </w:r>
      <w:r w:rsidRPr="00F12C22">
        <w:t>.</w:t>
      </w:r>
      <w:r w:rsidR="0070736B">
        <w:t xml:space="preserve"> </w:t>
      </w:r>
      <w:r w:rsidR="00FA113F" w:rsidRPr="00F12C22">
        <w:t xml:space="preserve">The specialist fee was </w:t>
      </w:r>
      <w:r w:rsidR="00FA113F">
        <w:t xml:space="preserve">then </w:t>
      </w:r>
      <w:r w:rsidR="00FA113F" w:rsidRPr="00F12C22">
        <w:t>adjusted downward (</w:t>
      </w:r>
      <w:r w:rsidR="00FA113F">
        <w:t xml:space="preserve">from </w:t>
      </w:r>
      <w:r w:rsidR="00FA113F" w:rsidRPr="00F12C22">
        <w:t>$157.80</w:t>
      </w:r>
      <w:r w:rsidR="00FA113F">
        <w:t xml:space="preserve"> to </w:t>
      </w:r>
      <w:r w:rsidR="0084518E">
        <w:t>$141.75</w:t>
      </w:r>
      <w:r w:rsidR="00FA113F" w:rsidRPr="00F12C22">
        <w:t xml:space="preserve">) based on </w:t>
      </w:r>
      <w:r w:rsidR="00C4428C">
        <w:t xml:space="preserve">earlier </w:t>
      </w:r>
      <w:r w:rsidR="00FA113F" w:rsidRPr="00F12C22">
        <w:t xml:space="preserve">feedback </w:t>
      </w:r>
      <w:r w:rsidR="00FA113F">
        <w:t xml:space="preserve">from the </w:t>
      </w:r>
      <w:r w:rsidR="008C59E9">
        <w:t>d</w:t>
      </w:r>
      <w:r w:rsidR="00FA113F">
        <w:t>epartment</w:t>
      </w:r>
      <w:r w:rsidR="00FA113F" w:rsidRPr="00F12C22">
        <w:t>.</w:t>
      </w:r>
      <w:r w:rsidR="0084518E">
        <w:t xml:space="preserve"> </w:t>
      </w:r>
      <w:r w:rsidR="00AD5D00">
        <w:t>T</w:t>
      </w:r>
      <w:r w:rsidR="0070736B">
        <w:t>he</w:t>
      </w:r>
      <w:r w:rsidR="00D02ABF">
        <w:t xml:space="preserve"> </w:t>
      </w:r>
      <w:r w:rsidR="008C59E9">
        <w:t>d</w:t>
      </w:r>
      <w:r w:rsidR="0070736B">
        <w:t>epartment note</w:t>
      </w:r>
      <w:r w:rsidR="00D02ABF">
        <w:t>d</w:t>
      </w:r>
      <w:r w:rsidR="0070736B">
        <w:t xml:space="preserve"> that for specialist attendance</w:t>
      </w:r>
      <w:r w:rsidR="00C4428C">
        <w:t>s</w:t>
      </w:r>
      <w:r w:rsidR="0070736B">
        <w:t>, items 110 or 116 may be more relevant</w:t>
      </w:r>
      <w:r w:rsidR="00184DA6">
        <w:t xml:space="preserve"> as </w:t>
      </w:r>
      <w:r w:rsidR="00184DA6" w:rsidRPr="00184DA6">
        <w:t>gastroenterologists and hepatologists are recognised by Medicare as consultant physicians</w:t>
      </w:r>
      <w:r w:rsidR="00393A64">
        <w:t>. This</w:t>
      </w:r>
      <w:r w:rsidR="0070736B">
        <w:t xml:space="preserve"> </w:t>
      </w:r>
      <w:r w:rsidR="000D67F3">
        <w:t xml:space="preserve">may further increase the fee </w:t>
      </w:r>
      <w:r w:rsidR="001C6588">
        <w:t>for</w:t>
      </w:r>
      <w:r w:rsidR="000D67F3">
        <w:t xml:space="preserve"> the proposed specialist item.</w:t>
      </w:r>
    </w:p>
    <w:p w14:paraId="3AEDEC21" w14:textId="5F51A55E" w:rsidR="00971477" w:rsidRPr="00F12C22" w:rsidRDefault="00971477" w:rsidP="00971477">
      <w:pPr>
        <w:spacing w:after="0"/>
        <w:ind w:left="284"/>
        <w:rPr>
          <w:b/>
          <w:bCs/>
          <w:sz w:val="20"/>
          <w:szCs w:val="20"/>
        </w:rPr>
      </w:pPr>
      <w:r w:rsidRPr="00F12C22">
        <w:rPr>
          <w:b/>
          <w:bCs/>
          <w:sz w:val="20"/>
          <w:szCs w:val="20"/>
        </w:rPr>
        <w:t>Item 82210</w:t>
      </w:r>
    </w:p>
    <w:p w14:paraId="1BF3195A" w14:textId="754A355B" w:rsidR="00971477" w:rsidRPr="00F12C22" w:rsidRDefault="00971477" w:rsidP="00971477">
      <w:pPr>
        <w:spacing w:after="0"/>
        <w:ind w:left="284"/>
        <w:rPr>
          <w:sz w:val="20"/>
          <w:szCs w:val="20"/>
        </w:rPr>
      </w:pPr>
      <w:r w:rsidRPr="00F12C22">
        <w:rPr>
          <w:sz w:val="20"/>
          <w:szCs w:val="20"/>
        </w:rPr>
        <w:t>Professional attendance by a participating nurse practitioner lasting at least 20 minutes and including any of the following:</w:t>
      </w:r>
    </w:p>
    <w:p w14:paraId="582054FB" w14:textId="77777777" w:rsidR="00971477" w:rsidRPr="00F12C22" w:rsidRDefault="00971477" w:rsidP="00971477">
      <w:pPr>
        <w:spacing w:after="0"/>
        <w:ind w:left="284"/>
        <w:rPr>
          <w:sz w:val="20"/>
          <w:szCs w:val="20"/>
        </w:rPr>
      </w:pPr>
      <w:r w:rsidRPr="00F12C22">
        <w:rPr>
          <w:sz w:val="20"/>
          <w:szCs w:val="20"/>
        </w:rPr>
        <w:t>a)    taking a detailed history;</w:t>
      </w:r>
    </w:p>
    <w:p w14:paraId="6B68FF5E" w14:textId="77777777" w:rsidR="00971477" w:rsidRPr="00F12C22" w:rsidRDefault="00971477" w:rsidP="00971477">
      <w:pPr>
        <w:spacing w:after="0"/>
        <w:ind w:left="284"/>
        <w:rPr>
          <w:sz w:val="20"/>
          <w:szCs w:val="20"/>
        </w:rPr>
      </w:pPr>
      <w:r w:rsidRPr="00F12C22">
        <w:rPr>
          <w:sz w:val="20"/>
          <w:szCs w:val="20"/>
        </w:rPr>
        <w:t>b)    undertaking clinical examination;</w:t>
      </w:r>
    </w:p>
    <w:p w14:paraId="36199F5A" w14:textId="77777777" w:rsidR="00971477" w:rsidRPr="00F12C22" w:rsidRDefault="00971477" w:rsidP="00971477">
      <w:pPr>
        <w:spacing w:after="0"/>
        <w:ind w:left="284"/>
        <w:rPr>
          <w:sz w:val="20"/>
          <w:szCs w:val="20"/>
        </w:rPr>
      </w:pPr>
      <w:r w:rsidRPr="00F12C22">
        <w:rPr>
          <w:sz w:val="20"/>
          <w:szCs w:val="20"/>
        </w:rPr>
        <w:t>c)    arranging any necessary investigation;</w:t>
      </w:r>
    </w:p>
    <w:p w14:paraId="1003103F" w14:textId="77777777" w:rsidR="00971477" w:rsidRPr="00F12C22" w:rsidRDefault="00971477" w:rsidP="00971477">
      <w:pPr>
        <w:spacing w:after="0"/>
        <w:ind w:left="284"/>
        <w:rPr>
          <w:sz w:val="20"/>
          <w:szCs w:val="20"/>
        </w:rPr>
      </w:pPr>
      <w:r w:rsidRPr="00F12C22">
        <w:rPr>
          <w:sz w:val="20"/>
          <w:szCs w:val="20"/>
        </w:rPr>
        <w:t>d)    implementing a management plan;</w:t>
      </w:r>
    </w:p>
    <w:p w14:paraId="6092FE7A" w14:textId="77777777" w:rsidR="00971477" w:rsidRPr="00F12C22" w:rsidRDefault="00971477" w:rsidP="00971477">
      <w:pPr>
        <w:spacing w:after="0"/>
        <w:ind w:left="284"/>
        <w:rPr>
          <w:sz w:val="20"/>
          <w:szCs w:val="20"/>
        </w:rPr>
      </w:pPr>
      <w:r w:rsidRPr="00F12C22">
        <w:rPr>
          <w:sz w:val="20"/>
          <w:szCs w:val="20"/>
        </w:rPr>
        <w:t>e)    providing appropriate preventive health care;</w:t>
      </w:r>
    </w:p>
    <w:p w14:paraId="549708EC" w14:textId="02397401" w:rsidR="00971477" w:rsidRPr="00F12C22" w:rsidRDefault="00971477" w:rsidP="00971477">
      <w:pPr>
        <w:ind w:left="284"/>
        <w:rPr>
          <w:sz w:val="20"/>
          <w:szCs w:val="20"/>
        </w:rPr>
      </w:pPr>
      <w:r w:rsidRPr="00F12C22">
        <w:rPr>
          <w:sz w:val="20"/>
          <w:szCs w:val="20"/>
        </w:rPr>
        <w:t>for 1 or more health related issues, with appropriate documentation</w:t>
      </w:r>
    </w:p>
    <w:p w14:paraId="4932C3D1" w14:textId="4E5E455E" w:rsidR="00B54AED" w:rsidRDefault="00E1780D" w:rsidP="006C4B91">
      <w:r w:rsidRPr="00F12C22">
        <w:t xml:space="preserve">The applicant clarified that Item 82210 was used to determine the VCTE™ scan </w:t>
      </w:r>
      <w:r w:rsidR="000119E8">
        <w:t xml:space="preserve">fee </w:t>
      </w:r>
      <w:r w:rsidRPr="00F12C22">
        <w:t xml:space="preserve">as VCTE™ </w:t>
      </w:r>
      <w:r>
        <w:t>could be performed by a</w:t>
      </w:r>
      <w:r w:rsidRPr="00F12C22">
        <w:t xml:space="preserve"> nurse practitioner on behalf of the billing practitioner</w:t>
      </w:r>
      <w:r>
        <w:t>.</w:t>
      </w:r>
      <w:r w:rsidR="000119E8">
        <w:t xml:space="preserve"> However</w:t>
      </w:r>
      <w:r w:rsidR="00891F08" w:rsidRPr="00F12C22" w:rsidDel="007439C5">
        <w:t xml:space="preserve">, </w:t>
      </w:r>
      <w:r w:rsidR="00891F08" w:rsidRPr="00F12C22">
        <w:t>VCTE™ takes less than 20 minutes, suggesting that Item 82205 – Professional attendance by a participating nurse practitioner lasting at least 6 minutes and less than 20 minutes and including all of the above elements, with a fee of $31.05 may</w:t>
      </w:r>
      <w:r w:rsidR="00891F08" w:rsidRPr="00F12C22" w:rsidDel="00C26948">
        <w:t xml:space="preserve"> </w:t>
      </w:r>
      <w:r w:rsidR="00891F08" w:rsidRPr="00F12C22">
        <w:t>be</w:t>
      </w:r>
      <w:r w:rsidR="00C26948">
        <w:t xml:space="preserve"> </w:t>
      </w:r>
      <w:r w:rsidR="00822EE7">
        <w:t xml:space="preserve">a </w:t>
      </w:r>
      <w:r w:rsidR="00C26948">
        <w:t>more</w:t>
      </w:r>
      <w:r w:rsidR="005E2523">
        <w:t xml:space="preserve"> a</w:t>
      </w:r>
      <w:r w:rsidR="00822EE7">
        <w:t>ppropriate</w:t>
      </w:r>
      <w:r w:rsidR="005E2523">
        <w:t xml:space="preserve"> starting point</w:t>
      </w:r>
      <w:r w:rsidR="00891F08" w:rsidRPr="00F12C22">
        <w:t xml:space="preserve">. </w:t>
      </w:r>
      <w:r w:rsidR="0021231A">
        <w:t>In addition, t</w:t>
      </w:r>
      <w:r w:rsidR="00891F08" w:rsidRPr="00F12C22">
        <w:t xml:space="preserve">he applicant </w:t>
      </w:r>
      <w:r w:rsidR="00334317">
        <w:t>stated</w:t>
      </w:r>
      <w:r w:rsidR="00891F08" w:rsidRPr="00F12C22">
        <w:t xml:space="preserve"> that the scan could be performed by less qualified staff (practice nurses or technicians)</w:t>
      </w:r>
      <w:r w:rsidR="000E3BB4">
        <w:t xml:space="preserve">, and </w:t>
      </w:r>
      <w:r w:rsidR="00741690">
        <w:t>both</w:t>
      </w:r>
      <w:r w:rsidR="000E3BB4">
        <w:t xml:space="preserve"> </w:t>
      </w:r>
      <w:r w:rsidR="00D63073">
        <w:t xml:space="preserve">the </w:t>
      </w:r>
      <w:r w:rsidR="000E3BB4">
        <w:t xml:space="preserve">nurse practitioner items </w:t>
      </w:r>
      <w:r w:rsidR="005C6497">
        <w:t>include</w:t>
      </w:r>
      <w:r w:rsidR="00891F08" w:rsidRPr="00F12C22">
        <w:t xml:space="preserve"> multiple </w:t>
      </w:r>
      <w:r w:rsidR="444D8226">
        <w:t>consultation</w:t>
      </w:r>
      <w:r w:rsidR="00891F08" w:rsidRPr="00F12C22">
        <w:t xml:space="preserve"> elements that are not required when doing the scan and duplicate elements of the medical practitioner’s consultation with the patient.</w:t>
      </w:r>
    </w:p>
    <w:p w14:paraId="68D52BC7" w14:textId="311DD9B6" w:rsidR="00891F08" w:rsidRPr="00F12C22" w:rsidRDefault="003747B9" w:rsidP="006C4B91">
      <w:r>
        <w:t>I</w:t>
      </w:r>
      <w:r w:rsidR="006C4B91" w:rsidRPr="00F12C22">
        <w:t>n MSAC application 1366</w:t>
      </w:r>
      <w:r w:rsidR="004971C0">
        <w:t>,</w:t>
      </w:r>
      <w:r w:rsidR="006C4B91" w:rsidRPr="00F12C22">
        <w:t xml:space="preserve"> the </w:t>
      </w:r>
      <w:r w:rsidR="00D278F3">
        <w:t>proposed fee</w:t>
      </w:r>
      <w:r w:rsidR="006C4B91" w:rsidRPr="00F12C22">
        <w:t xml:space="preserve"> </w:t>
      </w:r>
      <w:r w:rsidR="00AA5874">
        <w:t xml:space="preserve">for transient elastography (TE) </w:t>
      </w:r>
      <w:r w:rsidR="00AA5874" w:rsidRPr="00F12C22">
        <w:t>was claimed to be in line with other point-of-care testing services at $55.65</w:t>
      </w:r>
      <w:r w:rsidR="00AA5874">
        <w:t xml:space="preserve">, and </w:t>
      </w:r>
      <w:r w:rsidR="006C4B91" w:rsidRPr="00F12C22">
        <w:t>could be performed by ‘a suitably trained health professional’ (MSAC 1366 PSD, p5)</w:t>
      </w:r>
      <w:r w:rsidR="00AA5874">
        <w:t>, i.e. was similar to the proposed fee and justification in t</w:t>
      </w:r>
      <w:r w:rsidR="00FF1DA7">
        <w:t>he current application</w:t>
      </w:r>
      <w:r w:rsidR="006C4B91" w:rsidRPr="00F12C22">
        <w:t xml:space="preserve">. </w:t>
      </w:r>
      <w:r w:rsidR="00FF1DA7">
        <w:t>However,</w:t>
      </w:r>
      <w:r w:rsidR="006C4B91" w:rsidRPr="00F12C22">
        <w:t xml:space="preserve"> MSAC considered that the proposed fee for was high</w:t>
      </w:r>
      <w:r w:rsidR="00FF1DA7">
        <w:t xml:space="preserve"> and that, while</w:t>
      </w:r>
      <w:r w:rsidR="006C4B91" w:rsidRPr="00F12C22">
        <w:t xml:space="preserve"> the fee </w:t>
      </w:r>
      <w:r w:rsidR="00FB63FB">
        <w:t xml:space="preserve">of </w:t>
      </w:r>
      <w:r w:rsidR="008338B9">
        <w:t xml:space="preserve">$55.56 </w:t>
      </w:r>
      <w:r w:rsidR="006C4B91" w:rsidRPr="00F12C22">
        <w:t>was linked to the cost of MBS item 55014 for abdominal ultrasound, MSAC felt that this was inappropriate given that the delivery of a TE service is much less complex than of an abdominal ultrasound service and does not require a skilled operator (MSAC 1366 PSD, p4).</w:t>
      </w:r>
      <w:r w:rsidR="00B25202">
        <w:t xml:space="preserve"> </w:t>
      </w:r>
      <w:r w:rsidR="00B25202" w:rsidRPr="00B25202">
        <w:t xml:space="preserve">Note that item 55014 was removed from the MBS in 2020. The current MBS item for abdominal ultrasound </w:t>
      </w:r>
      <w:r w:rsidR="00B25202">
        <w:t xml:space="preserve">involving </w:t>
      </w:r>
      <w:r w:rsidR="00B25202" w:rsidRPr="00B25202">
        <w:t>morphological assessment is 55036, with a fee of $124.70.</w:t>
      </w:r>
    </w:p>
    <w:p w14:paraId="07F8A969" w14:textId="52C5BF9F" w:rsidR="003C35B5" w:rsidRDefault="003C35B5" w:rsidP="003C35B5">
      <w:pPr>
        <w:rPr>
          <w:rFonts w:asciiTheme="minorHAnsi" w:hAnsiTheme="minorHAnsi" w:cstheme="minorHAnsi"/>
          <w:i/>
          <w:iCs/>
        </w:rPr>
      </w:pPr>
      <w:r>
        <w:rPr>
          <w:rFonts w:asciiTheme="minorHAnsi" w:hAnsiTheme="minorHAnsi" w:cstheme="minorHAnsi"/>
          <w:i/>
          <w:iCs/>
        </w:rPr>
        <w:t>PASC noted the proposed fees, and particularly that the scan component was based on Item 82210. PASC considered that the scan fee may be more appropriately aligned with Item 82205</w:t>
      </w:r>
      <w:r w:rsidRPr="00FF1DA7">
        <w:rPr>
          <w:rFonts w:asciiTheme="minorHAnsi" w:hAnsiTheme="minorHAnsi" w:cstheme="minorHAnsi"/>
          <w:i/>
          <w:iCs/>
        </w:rPr>
        <w:t>,</w:t>
      </w:r>
      <w:r>
        <w:rPr>
          <w:rFonts w:asciiTheme="minorHAnsi" w:hAnsiTheme="minorHAnsi" w:cstheme="minorHAnsi"/>
          <w:i/>
          <w:iCs/>
        </w:rPr>
        <w:t xml:space="preserve"> given </w:t>
      </w:r>
      <w:r w:rsidRPr="00FF1DA7">
        <w:rPr>
          <w:rFonts w:asciiTheme="minorHAnsi" w:hAnsiTheme="minorHAnsi" w:cstheme="minorHAnsi"/>
          <w:i/>
          <w:iCs/>
        </w:rPr>
        <w:t>that</w:t>
      </w:r>
      <w:r>
        <w:rPr>
          <w:rFonts w:asciiTheme="minorHAnsi" w:hAnsiTheme="minorHAnsi" w:cstheme="minorHAnsi"/>
          <w:i/>
          <w:iCs/>
        </w:rPr>
        <w:t xml:space="preserve"> </w:t>
      </w:r>
      <w:r w:rsidRPr="003B5ED1">
        <w:rPr>
          <w:rFonts w:asciiTheme="minorHAnsi" w:hAnsiTheme="minorHAnsi" w:cstheme="minorHAnsi"/>
          <w:i/>
          <w:iCs/>
        </w:rPr>
        <w:t>VCTE™</w:t>
      </w:r>
      <w:r>
        <w:rPr>
          <w:rFonts w:asciiTheme="minorHAnsi" w:hAnsiTheme="minorHAnsi" w:cstheme="minorHAnsi"/>
          <w:i/>
          <w:iCs/>
        </w:rPr>
        <w:t xml:space="preserve"> </w:t>
      </w:r>
      <w:r w:rsidRPr="00FF1DA7">
        <w:rPr>
          <w:rFonts w:asciiTheme="minorHAnsi" w:hAnsiTheme="minorHAnsi" w:cstheme="minorHAnsi"/>
          <w:i/>
          <w:iCs/>
        </w:rPr>
        <w:t>takes</w:t>
      </w:r>
      <w:r>
        <w:rPr>
          <w:rFonts w:asciiTheme="minorHAnsi" w:hAnsiTheme="minorHAnsi" w:cstheme="minorHAnsi"/>
          <w:i/>
          <w:iCs/>
        </w:rPr>
        <w:t xml:space="preserve"> less than 20 minutes. PASC considered that, as operators less qualified than a nurse practitioner could undertake the scan</w:t>
      </w:r>
      <w:r w:rsidRPr="000D4178">
        <w:rPr>
          <w:i/>
          <w:iCs/>
        </w:rPr>
        <w:t xml:space="preserve">, </w:t>
      </w:r>
      <w:r>
        <w:rPr>
          <w:i/>
          <w:iCs/>
        </w:rPr>
        <w:t>a</w:t>
      </w:r>
      <w:r>
        <w:rPr>
          <w:rFonts w:asciiTheme="minorHAnsi" w:hAnsiTheme="minorHAnsi" w:cstheme="minorHAnsi"/>
          <w:i/>
          <w:iCs/>
        </w:rPr>
        <w:t xml:space="preserve"> fee lower than that based on Item 82205 may </w:t>
      </w:r>
      <w:r>
        <w:rPr>
          <w:i/>
          <w:iCs/>
        </w:rPr>
        <w:t xml:space="preserve">also </w:t>
      </w:r>
      <w:r>
        <w:rPr>
          <w:rFonts w:asciiTheme="minorHAnsi" w:hAnsiTheme="minorHAnsi" w:cstheme="minorHAnsi"/>
          <w:i/>
          <w:iCs/>
        </w:rPr>
        <w:t>be reasonable.</w:t>
      </w:r>
    </w:p>
    <w:p w14:paraId="7358A2AB" w14:textId="39B1A8B4" w:rsidR="000A42E8" w:rsidRPr="00F12C22" w:rsidRDefault="00601602" w:rsidP="000A42E8">
      <w:r>
        <w:t>The applicant stated that the</w:t>
      </w:r>
      <w:r w:rsidR="006B5B04">
        <w:t xml:space="preserve"> higher MBS fee for the proposed specialist item</w:t>
      </w:r>
      <w:r>
        <w:t xml:space="preserve"> was justified by </w:t>
      </w:r>
      <w:r w:rsidRPr="00F12C22">
        <w:t>the greater expertise, clinical decision-making and resource intensity required in specialist care</w:t>
      </w:r>
      <w:r>
        <w:t>.</w:t>
      </w:r>
      <w:r w:rsidR="00336854" w:rsidRPr="00F12C22">
        <w:t xml:space="preserve"> The applicant </w:t>
      </w:r>
      <w:r w:rsidR="000A42E8" w:rsidRPr="00F12C22">
        <w:t>stated that</w:t>
      </w:r>
      <w:r>
        <w:t>, i</w:t>
      </w:r>
      <w:r w:rsidR="000A42E8" w:rsidRPr="00F12C22">
        <w:t xml:space="preserve">n primary care, patients typically have less complex pathophysiology, requiring more straightforward </w:t>
      </w:r>
      <w:r w:rsidR="000A42E8" w:rsidRPr="00F12C22">
        <w:lastRenderedPageBreak/>
        <w:t xml:space="preserve">management pathways, such as lifestyle interventions, diabetes control, targeted risk factor management, or referral to a specialist (Gofton &amp; George 2021). In specialist settings, patients often present with more comorbidities, advanced liver disease, and complex treatment needs. This may involve fibrosis and cirrhosis management, off-label pharmacological treatments and more intensive monitoring (GESA 2024). </w:t>
      </w:r>
    </w:p>
    <w:p w14:paraId="7F96A8D4" w14:textId="26440706" w:rsidR="00B63DDA" w:rsidRPr="005B53F0" w:rsidRDefault="00B63DDA" w:rsidP="00B63DDA">
      <w:pPr>
        <w:autoSpaceDE w:val="0"/>
        <w:autoSpaceDN w:val="0"/>
        <w:adjustRightInd w:val="0"/>
        <w:spacing w:line="23" w:lineRule="atLeast"/>
        <w:rPr>
          <w:rFonts w:asciiTheme="minorHAnsi" w:hAnsiTheme="minorHAnsi" w:cstheme="minorHAnsi"/>
          <w:i/>
        </w:rPr>
      </w:pPr>
      <w:r w:rsidRPr="005B53F0">
        <w:rPr>
          <w:rFonts w:asciiTheme="minorHAnsi" w:hAnsiTheme="minorHAnsi" w:cstheme="minorHAnsi"/>
          <w:i/>
        </w:rPr>
        <w:t>PASC noted</w:t>
      </w:r>
      <w:r>
        <w:rPr>
          <w:rFonts w:asciiTheme="minorHAnsi" w:hAnsiTheme="minorHAnsi" w:cstheme="minorHAnsi"/>
          <w:i/>
        </w:rPr>
        <w:t xml:space="preserve"> that</w:t>
      </w:r>
      <w:r w:rsidRPr="005B53F0">
        <w:rPr>
          <w:rFonts w:asciiTheme="minorHAnsi" w:hAnsiTheme="minorHAnsi" w:cstheme="minorHAnsi"/>
          <w:i/>
        </w:rPr>
        <w:t xml:space="preserve"> the applicant’s rationale for different fees for the proposed items when conducted by GPs versus specialists was based on complexity, expertise and patient management</w:t>
      </w:r>
      <w:r w:rsidRPr="005B53F0">
        <w:rPr>
          <w:rFonts w:asciiTheme="minorHAnsi" w:hAnsiTheme="minorHAnsi" w:cstheme="minorHAnsi"/>
          <w:i/>
          <w:iCs/>
        </w:rPr>
        <w:t>.</w:t>
      </w:r>
      <w:r w:rsidRPr="005B53F0">
        <w:rPr>
          <w:rFonts w:asciiTheme="minorHAnsi" w:hAnsiTheme="minorHAnsi" w:cstheme="minorHAnsi"/>
          <w:i/>
        </w:rPr>
        <w:t xml:space="preserve"> PASC </w:t>
      </w:r>
      <w:r>
        <w:rPr>
          <w:rFonts w:asciiTheme="minorHAnsi" w:hAnsiTheme="minorHAnsi" w:cstheme="minorHAnsi"/>
          <w:i/>
        </w:rPr>
        <w:t xml:space="preserve">also </w:t>
      </w:r>
      <w:r w:rsidRPr="005B53F0">
        <w:rPr>
          <w:rFonts w:asciiTheme="minorHAnsi" w:hAnsiTheme="minorHAnsi" w:cstheme="minorHAnsi"/>
          <w:i/>
        </w:rPr>
        <w:t xml:space="preserve">noted that consultation feedback </w:t>
      </w:r>
      <w:r>
        <w:rPr>
          <w:rFonts w:asciiTheme="minorHAnsi" w:hAnsiTheme="minorHAnsi" w:cstheme="minorHAnsi"/>
          <w:i/>
        </w:rPr>
        <w:t xml:space="preserve">raised concerns </w:t>
      </w:r>
      <w:r w:rsidRPr="005B53F0">
        <w:rPr>
          <w:rFonts w:asciiTheme="minorHAnsi" w:hAnsiTheme="minorHAnsi" w:cstheme="minorHAnsi"/>
          <w:i/>
        </w:rPr>
        <w:t xml:space="preserve">about differential fees when the proposed item descriptors require the same service be delivered. PASC questioned whether the </w:t>
      </w:r>
      <w:r w:rsidRPr="005B53F0">
        <w:rPr>
          <w:rFonts w:asciiTheme="minorHAnsi" w:hAnsiTheme="minorHAnsi" w:cstheme="minorHAnsi"/>
          <w:i/>
          <w:iCs/>
        </w:rPr>
        <w:t>fee</w:t>
      </w:r>
      <w:r w:rsidRPr="005B53F0">
        <w:rPr>
          <w:rFonts w:asciiTheme="minorHAnsi" w:hAnsiTheme="minorHAnsi" w:cstheme="minorHAnsi"/>
          <w:i/>
        </w:rPr>
        <w:t xml:space="preserve"> difference was sufficiently justified.</w:t>
      </w:r>
      <w:r>
        <w:rPr>
          <w:rFonts w:asciiTheme="minorHAnsi" w:hAnsiTheme="minorHAnsi" w:cstheme="minorHAnsi"/>
          <w:i/>
        </w:rPr>
        <w:t xml:space="preserve"> PASC considered that this would be resolved if the item were limited to the scan only. In that case, the item would be used in both primary and specialist care, and a single fee would apply to the scan, regardless of the care pathway. For the consultation element of the proposed service, existing consultation items would be used, which are specific to the care pathway, and have appropriate associated fees. The differences in complexity and expertise would therefore be accounted for, as is already the case for consultations. </w:t>
      </w:r>
    </w:p>
    <w:p w14:paraId="69E995D8" w14:textId="62DE0414" w:rsidR="00326E37" w:rsidRPr="00F12C22" w:rsidRDefault="001A0F32" w:rsidP="00955933">
      <w:pPr>
        <w:rPr>
          <w:b/>
        </w:rPr>
      </w:pPr>
      <w:r w:rsidRPr="00F12C22">
        <w:t>A</w:t>
      </w:r>
      <w:r w:rsidR="0059097A" w:rsidRPr="00F12C22">
        <w:t>t the pre-PASC meeting there was a</w:t>
      </w:r>
      <w:r w:rsidRPr="00F12C22">
        <w:t xml:space="preserve"> discussion about</w:t>
      </w:r>
      <w:r w:rsidR="008E4E35" w:rsidRPr="00F12C22">
        <w:t xml:space="preserve"> splitting the proposed MBS </w:t>
      </w:r>
      <w:r w:rsidR="00326E37" w:rsidRPr="00F12C22">
        <w:t>item</w:t>
      </w:r>
      <w:r w:rsidR="00D4404E">
        <w:t>s</w:t>
      </w:r>
      <w:r w:rsidR="008E4E35" w:rsidRPr="00F12C22">
        <w:t xml:space="preserve"> into</w:t>
      </w:r>
      <w:r w:rsidR="007D1376" w:rsidRPr="00F12C22">
        <w:t>:</w:t>
      </w:r>
      <w:r w:rsidR="008E4E35" w:rsidRPr="00F12C22">
        <w:t xml:space="preserve"> </w:t>
      </w:r>
    </w:p>
    <w:p w14:paraId="7B90C7DD" w14:textId="57C57CAF" w:rsidR="00326E37" w:rsidRPr="00F12C22" w:rsidRDefault="00326E37" w:rsidP="00955933">
      <w:pPr>
        <w:rPr>
          <w:b/>
        </w:rPr>
      </w:pPr>
      <w:r w:rsidRPr="00F12C22">
        <w:t>(1)</w:t>
      </w:r>
      <w:r w:rsidRPr="00F12C22">
        <w:tab/>
      </w:r>
      <w:r w:rsidR="00823CCA" w:rsidRPr="00F12C22">
        <w:t>VCTE™</w:t>
      </w:r>
      <w:r w:rsidRPr="00F12C22">
        <w:t xml:space="preserve"> scan</w:t>
      </w:r>
      <w:r w:rsidRPr="00F12C22" w:rsidDel="00D4404E">
        <w:t xml:space="preserve"> </w:t>
      </w:r>
      <w:r w:rsidR="00DF643D" w:rsidRPr="00F12C22">
        <w:t xml:space="preserve">(for diagnostic </w:t>
      </w:r>
      <w:r w:rsidR="00C55958" w:rsidRPr="00F12C22">
        <w:t>investigation)</w:t>
      </w:r>
      <w:r w:rsidR="00D4404E">
        <w:t>; and</w:t>
      </w:r>
    </w:p>
    <w:p w14:paraId="3A4693EE" w14:textId="4E4D2170" w:rsidR="00CA525F" w:rsidRPr="00F12C22" w:rsidRDefault="00326E37" w:rsidP="00955933">
      <w:pPr>
        <w:rPr>
          <w:b/>
        </w:rPr>
      </w:pPr>
      <w:r w:rsidRPr="00F12C22">
        <w:t>(2)</w:t>
      </w:r>
      <w:r w:rsidRPr="00F12C22">
        <w:tab/>
        <w:t>A</w:t>
      </w:r>
      <w:r w:rsidR="00B908BD">
        <w:t xml:space="preserve"> consultation covering a</w:t>
      </w:r>
      <w:r w:rsidRPr="00F12C22">
        <w:t>ssessment of results, management plans, referrals</w:t>
      </w:r>
      <w:r w:rsidR="001F560D" w:rsidRPr="00F12C22">
        <w:t>.</w:t>
      </w:r>
    </w:p>
    <w:p w14:paraId="089FEA73" w14:textId="000893B1" w:rsidR="00BF1F0C" w:rsidRPr="00F12C22" w:rsidRDefault="00BF1F0C" w:rsidP="00955933">
      <w:r w:rsidRPr="00F12C22">
        <w:t xml:space="preserve">The applicant considered that splitting the items would create unnecessary fragmentation and undermine </w:t>
      </w:r>
      <w:r w:rsidR="00823CCA" w:rsidRPr="00F12C22">
        <w:t>VCTE™</w:t>
      </w:r>
      <w:r w:rsidRPr="00F12C22">
        <w:t xml:space="preserve">’s key advantage as a point of care tool. The applicant further stated ‘Unlike traditional diagnostics such as ultrasound, which require separate reporting and follow-up, </w:t>
      </w:r>
      <w:r w:rsidR="00823CCA" w:rsidRPr="00F12C22">
        <w:t>VCTE™</w:t>
      </w:r>
      <w:r w:rsidRPr="00F12C22">
        <w:t xml:space="preserve"> provides immediate results, enabling clinicians to interpret findings, discuss management options and initiate referrals within the same consultation. Introducing separate item numbers would disrupt workflow, reduce efficiency and be particularly counterproductive in primary care, where timely decision-making is essential for effective patient management’. It should be noted that separating the item into its component parts would not </w:t>
      </w:r>
      <w:r w:rsidR="00F05CD0">
        <w:t>prevent</w:t>
      </w:r>
      <w:r w:rsidR="00F05CD0" w:rsidRPr="00F12C22">
        <w:t xml:space="preserve"> </w:t>
      </w:r>
      <w:r w:rsidRPr="00F12C22">
        <w:t xml:space="preserve">the use of </w:t>
      </w:r>
      <w:r w:rsidR="00823CCA" w:rsidRPr="00F12C22">
        <w:t>VCTE™</w:t>
      </w:r>
      <w:r w:rsidRPr="00F12C22">
        <w:t xml:space="preserve"> as a point of care tool </w:t>
      </w:r>
      <w:r w:rsidR="00535CAA" w:rsidRPr="00F12C22">
        <w:t>as</w:t>
      </w:r>
      <w:r w:rsidRPr="00F12C22">
        <w:t xml:space="preserve"> the scan and consultation </w:t>
      </w:r>
      <w:r w:rsidR="00535CAA" w:rsidRPr="00F12C22">
        <w:t xml:space="preserve">could still be </w:t>
      </w:r>
      <w:r w:rsidRPr="00F12C22">
        <w:t>performed at the same time.</w:t>
      </w:r>
    </w:p>
    <w:p w14:paraId="78C55905" w14:textId="537627F4" w:rsidR="00832C88" w:rsidRPr="00F12C22" w:rsidRDefault="00BF1F0C" w:rsidP="00955933">
      <w:r w:rsidRPr="00F12C22">
        <w:t xml:space="preserve">An advantage of splitting the items is </w:t>
      </w:r>
      <w:r w:rsidR="0048144A">
        <w:t>that where</w:t>
      </w:r>
      <w:r w:rsidR="00393B1F" w:rsidRPr="00F12C22">
        <w:t xml:space="preserve"> two </w:t>
      </w:r>
      <w:r w:rsidR="31928457">
        <w:t>health</w:t>
      </w:r>
      <w:r w:rsidR="00393B1F" w:rsidRPr="00F12C22">
        <w:t xml:space="preserve"> </w:t>
      </w:r>
      <w:r w:rsidR="00CE2A44">
        <w:t xml:space="preserve">care </w:t>
      </w:r>
      <w:r w:rsidR="00393B1F" w:rsidRPr="00F12C22">
        <w:t xml:space="preserve">practitioners </w:t>
      </w:r>
      <w:r w:rsidR="009A5A5D" w:rsidRPr="00F12C22">
        <w:t>perform</w:t>
      </w:r>
      <w:r w:rsidR="00393B1F" w:rsidRPr="00F12C22">
        <w:t xml:space="preserve"> the service</w:t>
      </w:r>
      <w:r w:rsidR="006E0B59" w:rsidRPr="00F12C22">
        <w:t xml:space="preserve">, </w:t>
      </w:r>
      <w:r w:rsidR="00355BED" w:rsidRPr="00F12C22">
        <w:t>the</w:t>
      </w:r>
      <w:r w:rsidR="0048144A">
        <w:t>y</w:t>
      </w:r>
      <w:r w:rsidR="00355BED" w:rsidRPr="00F12C22">
        <w:t xml:space="preserve"> could claim for the delivery of their respective</w:t>
      </w:r>
      <w:r w:rsidR="00CA593B">
        <w:t xml:space="preserve"> services</w:t>
      </w:r>
      <w:r w:rsidR="00C500CB" w:rsidRPr="00F12C22">
        <w:t>.</w:t>
      </w:r>
      <w:r w:rsidR="009D0323" w:rsidRPr="00F12C22">
        <w:t xml:space="preserve"> </w:t>
      </w:r>
      <w:r w:rsidR="00832C88" w:rsidRPr="00F12C22">
        <w:t xml:space="preserve">This may be particularly relevant </w:t>
      </w:r>
      <w:r w:rsidRPr="00F12C22">
        <w:t xml:space="preserve">if </w:t>
      </w:r>
      <w:r w:rsidR="00355BED" w:rsidRPr="00F12C22">
        <w:t xml:space="preserve">large </w:t>
      </w:r>
      <w:r w:rsidRPr="00F12C22">
        <w:t>GP clinics become ‘</w:t>
      </w:r>
      <w:r w:rsidR="00823CCA" w:rsidRPr="00F12C22">
        <w:t>VCTE™</w:t>
      </w:r>
      <w:r w:rsidR="00355BED" w:rsidRPr="00F12C22">
        <w:t xml:space="preserve"> </w:t>
      </w:r>
      <w:r w:rsidRPr="00F12C22">
        <w:t xml:space="preserve">hubs’ </w:t>
      </w:r>
      <w:r w:rsidR="00355BED" w:rsidRPr="00F12C22">
        <w:t>(see ‘Intervention’ section) as</w:t>
      </w:r>
      <w:r w:rsidRPr="00F12C22">
        <w:t xml:space="preserve"> a patient </w:t>
      </w:r>
      <w:r w:rsidR="00F31EF8">
        <w:t>c</w:t>
      </w:r>
      <w:r w:rsidR="00F31EF8" w:rsidRPr="00F12C22">
        <w:t xml:space="preserve">ould </w:t>
      </w:r>
      <w:r w:rsidRPr="00F12C22">
        <w:t xml:space="preserve">undergo </w:t>
      </w:r>
      <w:r w:rsidR="00823CCA" w:rsidRPr="00F12C22">
        <w:t>VCTE™</w:t>
      </w:r>
      <w:r w:rsidRPr="00F12C22">
        <w:t xml:space="preserve"> at the hub</w:t>
      </w:r>
      <w:r w:rsidR="00355BED" w:rsidRPr="00F12C22">
        <w:t xml:space="preserve"> (attracting the fee for the scan)</w:t>
      </w:r>
      <w:r w:rsidRPr="00F12C22">
        <w:t xml:space="preserve">, </w:t>
      </w:r>
      <w:r w:rsidR="00355BED" w:rsidRPr="00F12C22">
        <w:t>with</w:t>
      </w:r>
      <w:r w:rsidRPr="00F12C22">
        <w:t xml:space="preserve"> consultation, management, advice and </w:t>
      </w:r>
      <w:r w:rsidR="00355BED" w:rsidRPr="00F12C22">
        <w:t xml:space="preserve">any relevant </w:t>
      </w:r>
      <w:r w:rsidRPr="00F12C22">
        <w:t>referral</w:t>
      </w:r>
      <w:r w:rsidR="00355BED" w:rsidRPr="00F12C22">
        <w:t>s</w:t>
      </w:r>
      <w:r w:rsidRPr="00F12C22">
        <w:t xml:space="preserve"> </w:t>
      </w:r>
      <w:r w:rsidR="00D966C3">
        <w:t>provid</w:t>
      </w:r>
      <w:r w:rsidR="00D966C3" w:rsidRPr="00F12C22">
        <w:t xml:space="preserve">ed </w:t>
      </w:r>
      <w:r w:rsidRPr="00F12C22">
        <w:t>by the patient’s ‘regular</w:t>
      </w:r>
      <w:r w:rsidR="00355BED" w:rsidRPr="00F12C22">
        <w:t>’</w:t>
      </w:r>
      <w:r w:rsidRPr="00F12C22">
        <w:t xml:space="preserve"> GP</w:t>
      </w:r>
      <w:r w:rsidR="00355BED" w:rsidRPr="00F12C22">
        <w:t xml:space="preserve"> (attracting the fee for a consultation)</w:t>
      </w:r>
      <w:r w:rsidRPr="00F12C22">
        <w:t>.</w:t>
      </w:r>
      <w:r w:rsidR="001F560D" w:rsidRPr="00F12C22">
        <w:t xml:space="preserve"> </w:t>
      </w:r>
      <w:r w:rsidR="001956D5">
        <w:t xml:space="preserve">It would also avoid complications </w:t>
      </w:r>
      <w:r w:rsidR="001422A8">
        <w:t xml:space="preserve">where a provider is unable to meet the </w:t>
      </w:r>
      <w:r w:rsidR="0072474B">
        <w:t xml:space="preserve">full </w:t>
      </w:r>
      <w:r w:rsidR="001422A8">
        <w:t xml:space="preserve">descriptor of the bundled </w:t>
      </w:r>
      <w:r w:rsidR="006124B0">
        <w:t xml:space="preserve">service and thus </w:t>
      </w:r>
      <w:r w:rsidR="005066A6">
        <w:t>ineligible to</w:t>
      </w:r>
      <w:r w:rsidR="006124B0">
        <w:t xml:space="preserve"> </w:t>
      </w:r>
      <w:r w:rsidR="00B44446">
        <w:t xml:space="preserve">bill for the scan. For example, a </w:t>
      </w:r>
      <w:r w:rsidR="001F560D" w:rsidRPr="00F12C22">
        <w:t xml:space="preserve">patient who </w:t>
      </w:r>
      <w:r w:rsidR="00A44AE6">
        <w:t>receives</w:t>
      </w:r>
      <w:r w:rsidR="00A44AE6" w:rsidRPr="00F12C22">
        <w:t xml:space="preserve"> </w:t>
      </w:r>
      <w:r w:rsidR="001F560D" w:rsidRPr="00F12C22">
        <w:t>VCTE™ in primary care and ha</w:t>
      </w:r>
      <w:r w:rsidR="00A44AE6">
        <w:t>s</w:t>
      </w:r>
      <w:r w:rsidR="001F560D" w:rsidRPr="00F12C22">
        <w:t xml:space="preserve"> a LSM </w:t>
      </w:r>
      <w:r w:rsidR="001F560D" w:rsidRPr="00F12C22">
        <w:rPr>
          <w:rFonts w:cs="Calibri"/>
        </w:rPr>
        <w:t>≥</w:t>
      </w:r>
      <w:r w:rsidR="001F560D" w:rsidRPr="00F12C22">
        <w:t>8</w:t>
      </w:r>
      <w:r w:rsidR="00710FDE">
        <w:t>.0</w:t>
      </w:r>
      <w:r w:rsidR="001F560D" w:rsidRPr="00F12C22">
        <w:t xml:space="preserve"> kPa</w:t>
      </w:r>
      <w:r w:rsidR="002E7F12">
        <w:t xml:space="preserve"> </w:t>
      </w:r>
      <w:r w:rsidR="00A44AE6">
        <w:t>is</w:t>
      </w:r>
      <w:r w:rsidR="00A44AE6" w:rsidRPr="00F12C22">
        <w:t xml:space="preserve"> </w:t>
      </w:r>
      <w:r w:rsidR="001F560D" w:rsidRPr="00F12C22">
        <w:t xml:space="preserve">likely </w:t>
      </w:r>
      <w:r w:rsidR="00FD332C" w:rsidRPr="00F12C22">
        <w:t xml:space="preserve">to </w:t>
      </w:r>
      <w:r w:rsidR="00A44AE6">
        <w:t xml:space="preserve">be referred to </w:t>
      </w:r>
      <w:r w:rsidR="002E7F12">
        <w:t>a</w:t>
      </w:r>
      <w:r w:rsidR="001F560D" w:rsidRPr="00F12C22">
        <w:t xml:space="preserve"> specialist </w:t>
      </w:r>
      <w:r w:rsidR="00012723">
        <w:t xml:space="preserve">for advice and </w:t>
      </w:r>
      <w:r w:rsidR="00402299" w:rsidRPr="00F12C22">
        <w:t>implement</w:t>
      </w:r>
      <w:r w:rsidR="00012723">
        <w:t>ation of</w:t>
      </w:r>
      <w:r w:rsidR="00402299" w:rsidRPr="00F12C22">
        <w:t xml:space="preserve"> a management plan</w:t>
      </w:r>
      <w:r w:rsidR="00012723">
        <w:t>,</w:t>
      </w:r>
      <w:r w:rsidR="00402299" w:rsidRPr="00F12C22">
        <w:t xml:space="preserve"> </w:t>
      </w:r>
      <w:r w:rsidR="001F560D" w:rsidRPr="00F12C22">
        <w:t>rather</w:t>
      </w:r>
      <w:r w:rsidR="00012723">
        <w:t xml:space="preserve"> receiving these from</w:t>
      </w:r>
      <w:r w:rsidR="001F560D" w:rsidRPr="00F12C22" w:rsidDel="00012723">
        <w:t xml:space="preserve"> </w:t>
      </w:r>
      <w:r w:rsidR="001F560D" w:rsidRPr="00F12C22">
        <w:t>the GP</w:t>
      </w:r>
      <w:r w:rsidR="00402299" w:rsidRPr="00F12C22">
        <w:t>.</w:t>
      </w:r>
    </w:p>
    <w:p w14:paraId="2CDAD020" w14:textId="25C49139" w:rsidR="28C10448" w:rsidRPr="00F12C22" w:rsidRDefault="28C10448">
      <w:r w:rsidRPr="00F12C22">
        <w:t>The other advantage in splitting</w:t>
      </w:r>
      <w:r w:rsidR="001E61F4">
        <w:t xml:space="preserve"> the</w:t>
      </w:r>
      <w:r w:rsidRPr="00F12C22">
        <w:t xml:space="preserve"> items is th</w:t>
      </w:r>
      <w:r w:rsidR="0AFA585E" w:rsidRPr="00F12C22">
        <w:t xml:space="preserve">at it addresses </w:t>
      </w:r>
      <w:r w:rsidRPr="00F12C22">
        <w:t>the potential, especially in the primary care space</w:t>
      </w:r>
      <w:r w:rsidR="5126029D" w:rsidRPr="00F12C22">
        <w:t xml:space="preserve">, </w:t>
      </w:r>
      <w:r w:rsidR="008C624C">
        <w:t>for</w:t>
      </w:r>
      <w:r w:rsidRPr="00F12C22">
        <w:t xml:space="preserve"> financial disadvantage to</w:t>
      </w:r>
      <w:r w:rsidR="4DFE587E" w:rsidRPr="00F12C22" w:rsidDel="008C624C">
        <w:t xml:space="preserve"> the</w:t>
      </w:r>
      <w:r w:rsidRPr="00F12C22" w:rsidDel="008C624C">
        <w:t xml:space="preserve"> </w:t>
      </w:r>
      <w:r w:rsidRPr="00F12C22">
        <w:t xml:space="preserve">patient. Currently both </w:t>
      </w:r>
      <w:r w:rsidR="00782FCA" w:rsidRPr="00F12C22">
        <w:t>VCTE™</w:t>
      </w:r>
      <w:r w:rsidRPr="00F12C22">
        <w:t xml:space="preserve"> and </w:t>
      </w:r>
      <w:r w:rsidR="3320BE0F" w:rsidRPr="00F12C22">
        <w:t>consultation</w:t>
      </w:r>
      <w:r w:rsidRPr="00F12C22">
        <w:t xml:space="preserve"> services could be provided by a primary care clinician under longer </w:t>
      </w:r>
      <w:r w:rsidR="68B22F8A" w:rsidRPr="00F12C22">
        <w:t xml:space="preserve">consultation items than item </w:t>
      </w:r>
      <w:r w:rsidR="006267C2">
        <w:t>0</w:t>
      </w:r>
      <w:r w:rsidR="68B22F8A" w:rsidRPr="00F12C22">
        <w:t xml:space="preserve">23 proposed as the fee basis in this application. </w:t>
      </w:r>
      <w:r w:rsidR="302A3F2E" w:rsidRPr="00F12C22">
        <w:t>Clinicians</w:t>
      </w:r>
      <w:r w:rsidR="68B22F8A" w:rsidRPr="00F12C22">
        <w:t xml:space="preserve"> currently providing the service </w:t>
      </w:r>
      <w:r w:rsidR="491503CE" w:rsidRPr="00F12C22">
        <w:t>using</w:t>
      </w:r>
      <w:r w:rsidR="68B22F8A" w:rsidRPr="00F12C22">
        <w:t xml:space="preserve"> items such as </w:t>
      </w:r>
      <w:r w:rsidR="006267C2">
        <w:t>0</w:t>
      </w:r>
      <w:r w:rsidR="68B22F8A" w:rsidRPr="00F12C22">
        <w:t xml:space="preserve">36, </w:t>
      </w:r>
      <w:r w:rsidR="006267C2">
        <w:t>0</w:t>
      </w:r>
      <w:r w:rsidR="68B22F8A" w:rsidRPr="00F12C22">
        <w:t xml:space="preserve">44 or 123 </w:t>
      </w:r>
      <w:r w:rsidR="4F19A8E9" w:rsidRPr="00F12C22">
        <w:t xml:space="preserve">will no longer be able to provide such services to MAFLD patients using these items should the current </w:t>
      </w:r>
      <w:r w:rsidR="2B5C420C" w:rsidRPr="00F12C22">
        <w:t>application</w:t>
      </w:r>
      <w:r w:rsidR="4F19A8E9" w:rsidRPr="00F12C22">
        <w:t xml:space="preserve"> be supported. This may financially disincentiv</w:t>
      </w:r>
      <w:r w:rsidR="003E2F14" w:rsidRPr="00F12C22">
        <w:t>is</w:t>
      </w:r>
      <w:r w:rsidR="4F19A8E9" w:rsidRPr="00F12C22">
        <w:t xml:space="preserve">e these </w:t>
      </w:r>
      <w:r w:rsidR="2ED92445" w:rsidRPr="00F12C22">
        <w:t>practitioners</w:t>
      </w:r>
      <w:r w:rsidR="4F19A8E9" w:rsidRPr="00F12C22">
        <w:t xml:space="preserve"> from continuing to provide such a service or </w:t>
      </w:r>
      <w:r w:rsidR="30432D4E" w:rsidRPr="00F12C22">
        <w:t>alternatively</w:t>
      </w:r>
      <w:r w:rsidR="4F19A8E9" w:rsidRPr="00F12C22">
        <w:t xml:space="preserve"> result in patients </w:t>
      </w:r>
      <w:r w:rsidR="388AD12A" w:rsidRPr="00F12C22">
        <w:t xml:space="preserve">bearing the cost </w:t>
      </w:r>
      <w:r w:rsidR="1D762B2E" w:rsidRPr="00F12C22">
        <w:t>differential</w:t>
      </w:r>
      <w:r w:rsidR="388AD12A" w:rsidRPr="00F12C22">
        <w:t xml:space="preserve"> between the proposed item and what can currently be accessed.</w:t>
      </w:r>
      <w:r w:rsidR="0A23281E" w:rsidRPr="00F12C22">
        <w:t xml:space="preserve"> Patients with alternative diagnoses such as hepatitis, who require </w:t>
      </w:r>
      <w:r w:rsidR="00782FCA" w:rsidRPr="00F12C22">
        <w:lastRenderedPageBreak/>
        <w:t>VCTE™</w:t>
      </w:r>
      <w:r w:rsidR="0A23281E" w:rsidRPr="00F12C22">
        <w:t xml:space="preserve"> as part of the</w:t>
      </w:r>
      <w:r w:rsidR="00782FCA" w:rsidRPr="00F12C22">
        <w:t>ir</w:t>
      </w:r>
      <w:r w:rsidR="0A23281E" w:rsidRPr="00F12C22">
        <w:t xml:space="preserve"> management would cont</w:t>
      </w:r>
      <w:r w:rsidR="42F25F32" w:rsidRPr="00F12C22">
        <w:t xml:space="preserve">inue to be able to access </w:t>
      </w:r>
      <w:r w:rsidR="00782FCA" w:rsidRPr="00F12C22">
        <w:t>VCTE™</w:t>
      </w:r>
      <w:r w:rsidR="42F25F32" w:rsidRPr="00F12C22">
        <w:t xml:space="preserve"> through longer consultation items in the primary care setting.</w:t>
      </w:r>
    </w:p>
    <w:p w14:paraId="5FB51583" w14:textId="0B143CF9" w:rsidR="00CD59E4" w:rsidRPr="00F12C22" w:rsidRDefault="00195719" w:rsidP="00CD59E4">
      <w:pPr>
        <w:rPr>
          <w:bCs/>
        </w:rPr>
      </w:pPr>
      <w:r>
        <w:rPr>
          <w:bCs/>
        </w:rPr>
        <w:t>A</w:t>
      </w:r>
      <w:r w:rsidR="00CD59E4" w:rsidRPr="00F12C22">
        <w:rPr>
          <w:bCs/>
        </w:rPr>
        <w:t xml:space="preserve">ll primary care and </w:t>
      </w:r>
      <w:r w:rsidR="003369A9">
        <w:rPr>
          <w:bCs/>
        </w:rPr>
        <w:t>consultant physician</w:t>
      </w:r>
      <w:r w:rsidR="00CD59E4" w:rsidRPr="00F12C22" w:rsidDel="003369A9">
        <w:rPr>
          <w:bCs/>
        </w:rPr>
        <w:t xml:space="preserve"> </w:t>
      </w:r>
      <w:r w:rsidR="00CD59E4" w:rsidRPr="00F12C22">
        <w:rPr>
          <w:bCs/>
        </w:rPr>
        <w:t xml:space="preserve">attendance items could be used, </w:t>
      </w:r>
      <w:r w:rsidR="00E6779D">
        <w:rPr>
          <w:bCs/>
        </w:rPr>
        <w:t>in addition to</w:t>
      </w:r>
      <w:r w:rsidR="00CD59E4" w:rsidRPr="00F12C22">
        <w:rPr>
          <w:bCs/>
        </w:rPr>
        <w:t xml:space="preserve"> the 'health assessment' items </w:t>
      </w:r>
      <w:r w:rsidR="00E6779D">
        <w:rPr>
          <w:bCs/>
        </w:rPr>
        <w:t>nominated in</w:t>
      </w:r>
      <w:r w:rsidR="00E6779D" w:rsidRPr="00F12C22">
        <w:rPr>
          <w:bCs/>
        </w:rPr>
        <w:t xml:space="preserve"> </w:t>
      </w:r>
      <w:r w:rsidR="00CD59E4" w:rsidRPr="00F12C22">
        <w:rPr>
          <w:bCs/>
        </w:rPr>
        <w:t xml:space="preserve">the application. In primary care, this includes the longer consultation items </w:t>
      </w:r>
      <w:r w:rsidR="00294E43">
        <w:rPr>
          <w:bCs/>
        </w:rPr>
        <w:t>(</w:t>
      </w:r>
      <w:r w:rsidR="00E437FD">
        <w:rPr>
          <w:bCs/>
        </w:rPr>
        <w:t>0</w:t>
      </w:r>
      <w:r w:rsidR="00CD59E4" w:rsidRPr="00F12C22">
        <w:rPr>
          <w:bCs/>
        </w:rPr>
        <w:t xml:space="preserve">36, </w:t>
      </w:r>
      <w:r w:rsidR="00E437FD">
        <w:rPr>
          <w:bCs/>
        </w:rPr>
        <w:t>0</w:t>
      </w:r>
      <w:r w:rsidR="00CD59E4" w:rsidRPr="00F12C22">
        <w:rPr>
          <w:bCs/>
        </w:rPr>
        <w:t>44 and 123</w:t>
      </w:r>
      <w:r w:rsidR="00294E43">
        <w:rPr>
          <w:bCs/>
        </w:rPr>
        <w:t>)</w:t>
      </w:r>
      <w:r w:rsidR="00CD59E4" w:rsidRPr="00F12C22">
        <w:rPr>
          <w:bCs/>
        </w:rPr>
        <w:t xml:space="preserve"> and the chronic disease care plan items.</w:t>
      </w:r>
      <w:r w:rsidR="00294E43">
        <w:rPr>
          <w:bCs/>
        </w:rPr>
        <w:t xml:space="preserve"> </w:t>
      </w:r>
      <w:r w:rsidR="00CD59E4" w:rsidRPr="00F12C22">
        <w:rPr>
          <w:bCs/>
        </w:rPr>
        <w:t xml:space="preserve">In specialist care it </w:t>
      </w:r>
      <w:r w:rsidR="00D103CF">
        <w:rPr>
          <w:bCs/>
        </w:rPr>
        <w:t>includes</w:t>
      </w:r>
      <w:r w:rsidR="00CD59E4" w:rsidRPr="00F12C22">
        <w:rPr>
          <w:bCs/>
        </w:rPr>
        <w:t xml:space="preserve"> standard attendance items </w:t>
      </w:r>
      <w:r w:rsidR="00912244">
        <w:rPr>
          <w:bCs/>
        </w:rPr>
        <w:t>and</w:t>
      </w:r>
      <w:r w:rsidR="00CD59E4" w:rsidRPr="00F12C22">
        <w:rPr>
          <w:bCs/>
        </w:rPr>
        <w:t xml:space="preserve"> A4 items </w:t>
      </w:r>
      <w:r w:rsidR="00F64171">
        <w:rPr>
          <w:bCs/>
        </w:rPr>
        <w:t>such as</w:t>
      </w:r>
      <w:r w:rsidR="00CD59E4" w:rsidRPr="00F12C22">
        <w:rPr>
          <w:bCs/>
        </w:rPr>
        <w:t xml:space="preserve"> 132</w:t>
      </w:r>
      <w:r w:rsidR="00F64171">
        <w:rPr>
          <w:bCs/>
        </w:rPr>
        <w:t xml:space="preserve"> and </w:t>
      </w:r>
      <w:r w:rsidR="00CD59E4" w:rsidRPr="00F12C22">
        <w:rPr>
          <w:bCs/>
        </w:rPr>
        <w:t>133</w:t>
      </w:r>
      <w:r w:rsidR="00912244">
        <w:rPr>
          <w:bCs/>
        </w:rPr>
        <w:t>,</w:t>
      </w:r>
      <w:r w:rsidR="00CD59E4" w:rsidRPr="00F12C22">
        <w:rPr>
          <w:bCs/>
        </w:rPr>
        <w:t xml:space="preserve"> </w:t>
      </w:r>
      <w:r w:rsidR="69F3847B">
        <w:t>where applicable.</w:t>
      </w:r>
    </w:p>
    <w:p w14:paraId="003AAF83" w14:textId="40DA618A" w:rsidR="00C77045" w:rsidRPr="00F12C22" w:rsidRDefault="00D23A25" w:rsidP="00955933">
      <w:r w:rsidRPr="00F12C22">
        <w:t xml:space="preserve">Assuming that separating the proposed MBS item into its components is accepted, </w:t>
      </w:r>
      <w:r w:rsidR="00A6103B">
        <w:t xml:space="preserve">a single VCTE™ item </w:t>
      </w:r>
      <w:r w:rsidR="00860CC8">
        <w:t xml:space="preserve">could be proposed and </w:t>
      </w:r>
      <w:r w:rsidR="00A6103B">
        <w:t xml:space="preserve">used by </w:t>
      </w:r>
      <w:r w:rsidR="00860CC8">
        <w:t>any appropriate service provider. The above existing attendance items could be used for the consultation component of the service.</w:t>
      </w:r>
    </w:p>
    <w:p w14:paraId="6BC3DB81" w14:textId="77777777" w:rsidR="00B63DDA" w:rsidRDefault="00B63DDA" w:rsidP="00B63DDA">
      <w:pPr>
        <w:autoSpaceDE w:val="0"/>
        <w:autoSpaceDN w:val="0"/>
        <w:adjustRightInd w:val="0"/>
        <w:spacing w:line="23" w:lineRule="atLeast"/>
        <w:rPr>
          <w:rFonts w:asciiTheme="minorHAnsi" w:hAnsiTheme="minorHAnsi" w:cstheme="minorHAnsi"/>
          <w:i/>
          <w:iCs/>
        </w:rPr>
      </w:pPr>
      <w:r w:rsidRPr="00F57734">
        <w:rPr>
          <w:rFonts w:asciiTheme="minorHAnsi" w:hAnsiTheme="minorHAnsi" w:cstheme="minorHAnsi"/>
          <w:i/>
        </w:rPr>
        <w:t xml:space="preserve">PASC </w:t>
      </w:r>
      <w:r>
        <w:rPr>
          <w:rFonts w:asciiTheme="minorHAnsi" w:hAnsiTheme="minorHAnsi" w:cstheme="minorHAnsi"/>
          <w:i/>
        </w:rPr>
        <w:t>advised that it would be more appropriate to</w:t>
      </w:r>
      <w:r w:rsidRPr="00F57734">
        <w:rPr>
          <w:rFonts w:asciiTheme="minorHAnsi" w:hAnsiTheme="minorHAnsi" w:cstheme="minorHAnsi"/>
          <w:i/>
        </w:rPr>
        <w:t xml:space="preserve"> </w:t>
      </w:r>
      <w:r>
        <w:rPr>
          <w:rFonts w:asciiTheme="minorHAnsi" w:hAnsiTheme="minorHAnsi" w:cstheme="minorHAnsi"/>
          <w:i/>
          <w:iCs/>
        </w:rPr>
        <w:t>have a single new item for the scan only, with</w:t>
      </w:r>
      <w:r w:rsidRPr="00F57734">
        <w:rPr>
          <w:rFonts w:asciiTheme="minorHAnsi" w:hAnsiTheme="minorHAnsi" w:cstheme="minorHAnsi"/>
          <w:i/>
        </w:rPr>
        <w:t xml:space="preserve"> existing consultation items used</w:t>
      </w:r>
      <w:r w:rsidRPr="00F57734">
        <w:rPr>
          <w:rFonts w:asciiTheme="minorHAnsi" w:hAnsiTheme="minorHAnsi" w:cstheme="minorHAnsi"/>
          <w:i/>
          <w:iCs/>
        </w:rPr>
        <w:t xml:space="preserve"> </w:t>
      </w:r>
      <w:r>
        <w:rPr>
          <w:rFonts w:asciiTheme="minorHAnsi" w:hAnsiTheme="minorHAnsi" w:cstheme="minorHAnsi"/>
          <w:i/>
          <w:iCs/>
        </w:rPr>
        <w:t>for the consultation component</w:t>
      </w:r>
      <w:r w:rsidRPr="00F57734">
        <w:rPr>
          <w:rFonts w:asciiTheme="minorHAnsi" w:hAnsiTheme="minorHAnsi" w:cstheme="minorHAnsi"/>
          <w:i/>
          <w:iCs/>
        </w:rPr>
        <w:t>. This</w:t>
      </w:r>
      <w:r w:rsidRPr="00F57734">
        <w:rPr>
          <w:rFonts w:asciiTheme="minorHAnsi" w:hAnsiTheme="minorHAnsi" w:cstheme="minorHAnsi"/>
          <w:i/>
        </w:rPr>
        <w:t xml:space="preserve"> would simplify the application and only one PICO set</w:t>
      </w:r>
      <w:r w:rsidRPr="00F57734">
        <w:rPr>
          <w:rFonts w:asciiTheme="minorHAnsi" w:hAnsiTheme="minorHAnsi" w:cstheme="minorHAnsi"/>
          <w:i/>
          <w:iCs/>
        </w:rPr>
        <w:t xml:space="preserve"> would be needed.</w:t>
      </w:r>
      <w:r w:rsidRPr="00F57734">
        <w:rPr>
          <w:rFonts w:asciiTheme="minorHAnsi" w:hAnsiTheme="minorHAnsi" w:cstheme="minorHAnsi"/>
          <w:i/>
        </w:rPr>
        <w:t xml:space="preserve"> PASC reiterated a preference to avoid condition-specific consultation items. </w:t>
      </w:r>
      <w:r>
        <w:rPr>
          <w:rFonts w:asciiTheme="minorHAnsi" w:hAnsiTheme="minorHAnsi" w:cstheme="minorHAnsi"/>
          <w:i/>
        </w:rPr>
        <w:t>However, i</w:t>
      </w:r>
      <w:r w:rsidRPr="00F57734">
        <w:rPr>
          <w:rFonts w:asciiTheme="minorHAnsi" w:hAnsiTheme="minorHAnsi" w:cstheme="minorHAnsi"/>
          <w:i/>
          <w:iCs/>
        </w:rPr>
        <w:t xml:space="preserve">f the proposed bundled item were to be pursued, </w:t>
      </w:r>
      <w:r w:rsidRPr="00F57734">
        <w:rPr>
          <w:rFonts w:asciiTheme="minorHAnsi" w:hAnsiTheme="minorHAnsi" w:cstheme="minorHAnsi"/>
          <w:i/>
        </w:rPr>
        <w:t xml:space="preserve">PASC </w:t>
      </w:r>
      <w:r>
        <w:rPr>
          <w:rFonts w:asciiTheme="minorHAnsi" w:hAnsiTheme="minorHAnsi" w:cstheme="minorHAnsi"/>
          <w:i/>
        </w:rPr>
        <w:t>advised</w:t>
      </w:r>
      <w:r w:rsidRPr="00F57734">
        <w:rPr>
          <w:rFonts w:asciiTheme="minorHAnsi" w:hAnsiTheme="minorHAnsi" w:cstheme="minorHAnsi"/>
          <w:i/>
        </w:rPr>
        <w:t xml:space="preserve"> that justification and evidence </w:t>
      </w:r>
      <w:r>
        <w:rPr>
          <w:rFonts w:asciiTheme="minorHAnsi" w:hAnsiTheme="minorHAnsi" w:cstheme="minorHAnsi"/>
          <w:i/>
        </w:rPr>
        <w:t>would need to be provided</w:t>
      </w:r>
      <w:r w:rsidRPr="00F57734">
        <w:rPr>
          <w:rFonts w:asciiTheme="minorHAnsi" w:hAnsiTheme="minorHAnsi" w:cstheme="minorHAnsi"/>
          <w:i/>
        </w:rPr>
        <w:t xml:space="preserve"> </w:t>
      </w:r>
      <w:r w:rsidRPr="00F57734">
        <w:rPr>
          <w:rFonts w:asciiTheme="minorHAnsi" w:hAnsiTheme="minorHAnsi" w:cstheme="minorHAnsi"/>
          <w:i/>
          <w:iCs/>
        </w:rPr>
        <w:t>to support</w:t>
      </w:r>
      <w:r w:rsidRPr="00F57734" w:rsidDel="00ED0B85">
        <w:rPr>
          <w:rFonts w:asciiTheme="minorHAnsi" w:hAnsiTheme="minorHAnsi" w:cstheme="minorHAnsi"/>
          <w:i/>
          <w:iCs/>
        </w:rPr>
        <w:t xml:space="preserve"> </w:t>
      </w:r>
      <w:r w:rsidRPr="00F57734">
        <w:rPr>
          <w:rFonts w:asciiTheme="minorHAnsi" w:hAnsiTheme="minorHAnsi" w:cstheme="minorHAnsi"/>
          <w:i/>
          <w:iCs/>
        </w:rPr>
        <w:t xml:space="preserve">a </w:t>
      </w:r>
      <w:r w:rsidRPr="00F57734">
        <w:rPr>
          <w:rFonts w:asciiTheme="minorHAnsi" w:hAnsiTheme="minorHAnsi" w:cstheme="minorHAnsi"/>
          <w:i/>
        </w:rPr>
        <w:t xml:space="preserve">bundled </w:t>
      </w:r>
      <w:r w:rsidRPr="00F57734">
        <w:rPr>
          <w:rFonts w:asciiTheme="minorHAnsi" w:hAnsiTheme="minorHAnsi" w:cstheme="minorHAnsi"/>
          <w:i/>
          <w:iCs/>
        </w:rPr>
        <w:t xml:space="preserve">condition-specific </w:t>
      </w:r>
      <w:r w:rsidRPr="00F57734">
        <w:rPr>
          <w:rFonts w:asciiTheme="minorHAnsi" w:hAnsiTheme="minorHAnsi" w:cstheme="minorHAnsi"/>
          <w:i/>
        </w:rPr>
        <w:t xml:space="preserve">consultation item, rather than </w:t>
      </w:r>
      <w:r w:rsidRPr="00F57734">
        <w:rPr>
          <w:rFonts w:asciiTheme="minorHAnsi" w:hAnsiTheme="minorHAnsi" w:cstheme="minorHAnsi"/>
          <w:i/>
          <w:iCs/>
        </w:rPr>
        <w:t>using existing</w:t>
      </w:r>
      <w:r w:rsidRPr="00F57734">
        <w:rPr>
          <w:rFonts w:asciiTheme="minorHAnsi" w:hAnsiTheme="minorHAnsi" w:cstheme="minorHAnsi"/>
          <w:i/>
        </w:rPr>
        <w:t xml:space="preserve"> MBS items</w:t>
      </w:r>
      <w:r>
        <w:rPr>
          <w:rFonts w:asciiTheme="minorHAnsi" w:hAnsiTheme="minorHAnsi" w:cstheme="minorHAnsi"/>
          <w:i/>
        </w:rPr>
        <w:t>.</w:t>
      </w:r>
    </w:p>
    <w:p w14:paraId="4A2FBF8E" w14:textId="4E7A17E9" w:rsidR="00BE64AE" w:rsidRPr="00F12C22" w:rsidRDefault="008E2B4C" w:rsidP="00955933">
      <w:r>
        <w:t>A</w:t>
      </w:r>
      <w:r w:rsidR="00172125">
        <w:t xml:space="preserve"> standalone</w:t>
      </w:r>
      <w:r w:rsidR="00BE64AE" w:rsidRPr="00F12C22">
        <w:t xml:space="preserve"> item descriptor for the </w:t>
      </w:r>
      <w:r w:rsidR="00823CCA" w:rsidRPr="00F12C22">
        <w:t>VCTE™</w:t>
      </w:r>
      <w:r w:rsidR="00BE64AE" w:rsidRPr="00F12C22">
        <w:t xml:space="preserve"> scan</w:t>
      </w:r>
      <w:r w:rsidR="007F10AC">
        <w:t>, in line with PASC’s advice,</w:t>
      </w:r>
      <w:r w:rsidR="00BE64AE" w:rsidRPr="00F12C22" w:rsidDel="00172125">
        <w:t xml:space="preserve"> </w:t>
      </w:r>
      <w:r w:rsidR="00BE64AE" w:rsidRPr="00F12C22">
        <w:t xml:space="preserve">is presented in </w:t>
      </w:r>
      <w:r w:rsidR="008F42DB" w:rsidRPr="00F12C22">
        <w:fldChar w:fldCharType="begin"/>
      </w:r>
      <w:r w:rsidR="008F42DB" w:rsidRPr="00F12C22">
        <w:instrText xml:space="preserve"> REF _Ref193077672 \h </w:instrText>
      </w:r>
      <w:r w:rsidR="008F42DB" w:rsidRPr="00F12C22">
        <w:fldChar w:fldCharType="separate"/>
      </w:r>
      <w:r w:rsidR="008B40C7" w:rsidRPr="00F12C22">
        <w:t xml:space="preserve">Table </w:t>
      </w:r>
      <w:r w:rsidR="008B40C7">
        <w:rPr>
          <w:noProof/>
        </w:rPr>
        <w:t>8</w:t>
      </w:r>
      <w:r w:rsidR="008F42DB" w:rsidRPr="00F12C22">
        <w:fldChar w:fldCharType="end"/>
      </w:r>
      <w:r w:rsidR="008F42DB">
        <w:t>.</w:t>
      </w:r>
    </w:p>
    <w:p w14:paraId="36B40C7E" w14:textId="24258B96" w:rsidR="00CA525F" w:rsidRPr="00F12C22" w:rsidRDefault="00BE64AE" w:rsidP="00BE64AE">
      <w:pPr>
        <w:pStyle w:val="Caption"/>
      </w:pPr>
      <w:bookmarkStart w:id="16" w:name="_Ref193077672"/>
      <w:r w:rsidRPr="00F12C22">
        <w:t xml:space="preserve">Table </w:t>
      </w:r>
      <w:r w:rsidRPr="00F12C22">
        <w:fldChar w:fldCharType="begin"/>
      </w:r>
      <w:r w:rsidRPr="00F12C22">
        <w:instrText xml:space="preserve"> SEQ Table \* ARABIC </w:instrText>
      </w:r>
      <w:r w:rsidRPr="00F12C22">
        <w:fldChar w:fldCharType="separate"/>
      </w:r>
      <w:r w:rsidR="008B40C7">
        <w:rPr>
          <w:noProof/>
        </w:rPr>
        <w:t>8</w:t>
      </w:r>
      <w:r w:rsidRPr="00F12C22">
        <w:fldChar w:fldCharType="end"/>
      </w:r>
      <w:bookmarkEnd w:id="16"/>
      <w:r w:rsidRPr="00F12C22">
        <w:tab/>
      </w:r>
      <w:r w:rsidR="008F42DB" w:rsidRPr="00F12C22">
        <w:t xml:space="preserve">Potential MBS item descriptor for the </w:t>
      </w:r>
      <w:r w:rsidR="00823CCA" w:rsidRPr="00F12C22">
        <w:t>VCTE™</w:t>
      </w:r>
      <w:r w:rsidR="008F42DB" w:rsidRPr="00F12C22">
        <w:t xml:space="preserve"> scan only</w:t>
      </w:r>
    </w:p>
    <w:tbl>
      <w:tblPr>
        <w:tblStyle w:val="TableGrid"/>
        <w:tblW w:w="0" w:type="auto"/>
        <w:tblInd w:w="0" w:type="dxa"/>
        <w:tblLook w:val="04A0" w:firstRow="1" w:lastRow="0" w:firstColumn="1" w:lastColumn="0" w:noHBand="0" w:noVBand="1"/>
        <w:tblCaption w:val="Potential MBS item descriptor for the VCTE™ scan only"/>
        <w:tblDescription w:val="Potential MBS item descriptor for the VCTE™ scan only"/>
      </w:tblPr>
      <w:tblGrid>
        <w:gridCol w:w="9016"/>
      </w:tblGrid>
      <w:tr w:rsidR="00F12C22" w:rsidRPr="00F12C22" w14:paraId="575D7A24" w14:textId="77777777">
        <w:trPr>
          <w:cantSplit/>
          <w:trHeight w:val="350"/>
          <w:tblHeader/>
        </w:trPr>
        <w:tc>
          <w:tcPr>
            <w:tcW w:w="9016" w:type="dxa"/>
          </w:tcPr>
          <w:p w14:paraId="14A34A13" w14:textId="77777777" w:rsidR="00491D3F" w:rsidRPr="00F12C22" w:rsidRDefault="00491D3F">
            <w:pPr>
              <w:pStyle w:val="TableText0"/>
            </w:pPr>
            <w:r w:rsidRPr="00F12C22">
              <w:t xml:space="preserve">Category 1 – Professional attendances </w:t>
            </w:r>
          </w:p>
        </w:tc>
      </w:tr>
      <w:tr w:rsidR="00F12C22" w:rsidRPr="00F12C22" w14:paraId="3DC077F8" w14:textId="77777777">
        <w:trPr>
          <w:cantSplit/>
          <w:tblHeader/>
        </w:trPr>
        <w:tc>
          <w:tcPr>
            <w:tcW w:w="9016" w:type="dxa"/>
          </w:tcPr>
          <w:p w14:paraId="38239C9B" w14:textId="77777777" w:rsidR="00491D3F" w:rsidRPr="00F12C22" w:rsidRDefault="00491D3F">
            <w:pPr>
              <w:pStyle w:val="TableText0"/>
              <w:rPr>
                <w:lang w:val="en-US" w:eastAsia="ja-JP"/>
              </w:rPr>
            </w:pPr>
            <w:r w:rsidRPr="00F12C22">
              <w:rPr>
                <w:lang w:val="en-US" w:eastAsia="ja-JP"/>
              </w:rPr>
              <w:t>MBS item XXXX</w:t>
            </w:r>
          </w:p>
          <w:p w14:paraId="304887D3" w14:textId="28E3C726" w:rsidR="00491D3F" w:rsidRPr="00F12C22" w:rsidRDefault="00782FCA">
            <w:pPr>
              <w:pStyle w:val="TableText0"/>
            </w:pPr>
            <w:r w:rsidRPr="00F12C22">
              <w:t xml:space="preserve">Vibration-Controlled Transient Elastography </w:t>
            </w:r>
            <w:r w:rsidR="0049466E">
              <w:t>(</w:t>
            </w:r>
            <w:r w:rsidR="0049466E" w:rsidRPr="00F12C22">
              <w:t>VCTE™</w:t>
            </w:r>
            <w:r w:rsidR="0049466E">
              <w:t xml:space="preserve">) </w:t>
            </w:r>
            <w:r w:rsidR="000A5A18">
              <w:t xml:space="preserve">of the liver </w:t>
            </w:r>
            <w:r w:rsidRPr="00F12C22">
              <w:t>at 50 Hz</w:t>
            </w:r>
            <w:r w:rsidR="00783151">
              <w:t xml:space="preserve">, </w:t>
            </w:r>
            <w:r w:rsidR="0049466E" w:rsidRPr="00F12C22">
              <w:t>including interpretation and report</w:t>
            </w:r>
            <w:r w:rsidR="00783151">
              <w:t>,</w:t>
            </w:r>
            <w:r w:rsidR="0049466E">
              <w:t xml:space="preserve"> </w:t>
            </w:r>
            <w:r w:rsidRPr="00F12C22">
              <w:t xml:space="preserve">performed by a medical practitioner or by </w:t>
            </w:r>
            <w:r w:rsidR="00063FEA">
              <w:t>appropriate</w:t>
            </w:r>
            <w:r w:rsidR="0037325E">
              <w:t>ly</w:t>
            </w:r>
            <w:r w:rsidR="0045403C" w:rsidRPr="00F12C22">
              <w:t xml:space="preserve"> trained </w:t>
            </w:r>
            <w:r w:rsidRPr="00F12C22">
              <w:t xml:space="preserve">practice staff </w:t>
            </w:r>
            <w:r w:rsidR="00393FAC">
              <w:t>under the supervision</w:t>
            </w:r>
            <w:r w:rsidRPr="00F12C22">
              <w:t xml:space="preserve"> of the medical practitioner, following an indeterminate or high FIB-4 test</w:t>
            </w:r>
            <w:r w:rsidR="003E19C7">
              <w:t xml:space="preserve"> </w:t>
            </w:r>
            <w:r w:rsidR="00B619EA">
              <w:t xml:space="preserve">score </w:t>
            </w:r>
            <w:r w:rsidR="003E19C7">
              <w:t>(</w:t>
            </w:r>
            <w:r w:rsidR="00B619EA" w:rsidRPr="00B619EA">
              <w:t>≥1.3</w:t>
            </w:r>
            <w:r w:rsidR="00B619EA">
              <w:t>)</w:t>
            </w:r>
            <w:r w:rsidRPr="00F12C22">
              <w:t>, for the assessment of liver fibrosis in patients with metabolic dysfunction-associated fatty liver disease</w:t>
            </w:r>
            <w:r w:rsidR="00DA731A">
              <w:t xml:space="preserve"> (MAFLD)</w:t>
            </w:r>
            <w:r w:rsidRPr="00F12C22">
              <w:t>.</w:t>
            </w:r>
          </w:p>
          <w:p w14:paraId="698F691D" w14:textId="555248AD" w:rsidR="00491D3F" w:rsidRPr="00F12C22" w:rsidRDefault="005D7E5D">
            <w:pPr>
              <w:pStyle w:val="TableText0"/>
            </w:pPr>
            <w:r>
              <w:t>Available</w:t>
            </w:r>
            <w:r w:rsidR="00A22455">
              <w:t xml:space="preserve"> </w:t>
            </w:r>
            <w:r w:rsidR="00F823B5">
              <w:t xml:space="preserve">once </w:t>
            </w:r>
            <w:r>
              <w:t>per patient</w:t>
            </w:r>
            <w:r w:rsidR="00F823B5">
              <w:t xml:space="preserve"> in a 36 month period</w:t>
            </w:r>
            <w:r w:rsidR="003A57A7">
              <w:t>,</w:t>
            </w:r>
            <w:r w:rsidR="00F823B5">
              <w:t xml:space="preserve"> </w:t>
            </w:r>
            <w:r w:rsidR="00CA3313">
              <w:t>provided</w:t>
            </w:r>
            <w:r w:rsidR="005C0CA4">
              <w:t xml:space="preserve"> no prior </w:t>
            </w:r>
            <w:r w:rsidR="00CA3313">
              <w:t>Liver Stiffness Measurement</w:t>
            </w:r>
            <w:r w:rsidR="008708C5">
              <w:t xml:space="preserve"> (LSM)</w:t>
            </w:r>
            <w:r w:rsidR="00C90D50">
              <w:t xml:space="preserve"> obtained by </w:t>
            </w:r>
            <w:r w:rsidR="00C90D50" w:rsidRPr="00F12C22">
              <w:t>VCTE™</w:t>
            </w:r>
            <w:r w:rsidR="00CA3313">
              <w:t xml:space="preserve"> </w:t>
            </w:r>
            <w:r w:rsidR="00500806">
              <w:t xml:space="preserve">for that patient is </w:t>
            </w:r>
            <w:r w:rsidR="003A57A7" w:rsidRPr="00B619EA">
              <w:t>≥</w:t>
            </w:r>
            <w:r w:rsidR="008C00B8">
              <w:t>8 k</w:t>
            </w:r>
            <w:r w:rsidR="002C1A48">
              <w:t>Pa</w:t>
            </w:r>
            <w:r w:rsidR="00471274">
              <w:t>.</w:t>
            </w:r>
          </w:p>
        </w:tc>
      </w:tr>
      <w:tr w:rsidR="00F12C22" w:rsidRPr="00F12C22" w14:paraId="44A0F5B0" w14:textId="77777777" w:rsidTr="00215FEF">
        <w:trPr>
          <w:cantSplit/>
          <w:trHeight w:val="223"/>
          <w:tblHeader/>
        </w:trPr>
        <w:tc>
          <w:tcPr>
            <w:tcW w:w="9016" w:type="dxa"/>
            <w:vAlign w:val="bottom"/>
          </w:tcPr>
          <w:p w14:paraId="1BC7374B" w14:textId="24885C1F" w:rsidR="00491D3F" w:rsidRPr="00F12C22" w:rsidRDefault="00491D3F" w:rsidP="00215FEF">
            <w:pPr>
              <w:pStyle w:val="TableText0"/>
              <w:rPr>
                <w:snapToGrid w:val="0"/>
              </w:rPr>
            </w:pPr>
            <w:r w:rsidRPr="00F12C22">
              <w:t>Fee</w:t>
            </w:r>
            <w:r w:rsidR="00782FCA" w:rsidRPr="00F12C22">
              <w:t>: to be determined</w:t>
            </w:r>
          </w:p>
        </w:tc>
      </w:tr>
    </w:tbl>
    <w:p w14:paraId="62338695" w14:textId="775A0FF4" w:rsidR="00D37A3F" w:rsidRDefault="003F0A39" w:rsidP="00713728">
      <w:pPr>
        <w:pStyle w:val="Heading2"/>
      </w:pPr>
      <w:r>
        <w:t>Summary of public consultation</w:t>
      </w:r>
      <w:r w:rsidRPr="00D37A3F">
        <w:t xml:space="preserve"> </w:t>
      </w:r>
      <w:r w:rsidR="00E470B0">
        <w:t>input</w:t>
      </w:r>
    </w:p>
    <w:p w14:paraId="32342109" w14:textId="77777777" w:rsidR="00333C9E" w:rsidRDefault="00333C9E" w:rsidP="00333C9E">
      <w:r w:rsidRPr="00640AA0">
        <w:rPr>
          <w:i/>
          <w:iCs/>
        </w:rPr>
        <w:t>PASC noted and welcomed consultation input from</w:t>
      </w:r>
      <w:r w:rsidRPr="00D7667B">
        <w:t xml:space="preserve"> </w:t>
      </w:r>
      <w:r w:rsidRPr="00640AA0">
        <w:rPr>
          <w:i/>
          <w:iCs/>
        </w:rPr>
        <w:t xml:space="preserve">4 organisations and 7 individuals, 3 of whom were consumers and 4 health professionals. The 4 organisations that submitted input were: </w:t>
      </w:r>
    </w:p>
    <w:p w14:paraId="14E41BE2" w14:textId="77777777" w:rsidR="00333C9E" w:rsidRDefault="00333C9E" w:rsidP="00333C9E">
      <w:pPr>
        <w:pStyle w:val="ListParagraph"/>
        <w:numPr>
          <w:ilvl w:val="0"/>
          <w:numId w:val="29"/>
        </w:numPr>
        <w:spacing w:after="120" w:line="259" w:lineRule="auto"/>
      </w:pPr>
      <w:r>
        <w:t>LiverWELL</w:t>
      </w:r>
    </w:p>
    <w:p w14:paraId="0E0E56C4" w14:textId="77777777" w:rsidR="00333C9E" w:rsidRDefault="00333C9E" w:rsidP="00333C9E">
      <w:pPr>
        <w:pStyle w:val="ListParagraph"/>
        <w:numPr>
          <w:ilvl w:val="0"/>
          <w:numId w:val="28"/>
        </w:numPr>
        <w:spacing w:after="120" w:line="259" w:lineRule="auto"/>
      </w:pPr>
      <w:r w:rsidRPr="00B9502B">
        <w:t>Gastroenterological Society of Australia Liver Faculty</w:t>
      </w:r>
      <w:r>
        <w:t xml:space="preserve"> (GESA)</w:t>
      </w:r>
    </w:p>
    <w:p w14:paraId="57235061" w14:textId="77777777" w:rsidR="00333C9E" w:rsidRPr="00FA155B" w:rsidRDefault="00333C9E" w:rsidP="00333C9E">
      <w:pPr>
        <w:pStyle w:val="ListParagraph"/>
        <w:numPr>
          <w:ilvl w:val="0"/>
          <w:numId w:val="28"/>
        </w:numPr>
        <w:spacing w:after="120" w:line="259" w:lineRule="auto"/>
      </w:pPr>
      <w:r w:rsidRPr="00FA155B">
        <w:t>The Royal Australian and New Zealand College of Radiologists</w:t>
      </w:r>
      <w:r>
        <w:t xml:space="preserve"> (RANZCR)</w:t>
      </w:r>
    </w:p>
    <w:p w14:paraId="00CF7567" w14:textId="77777777" w:rsidR="00333C9E" w:rsidRPr="00D7667B" w:rsidRDefault="00333C9E" w:rsidP="00333C9E">
      <w:pPr>
        <w:pStyle w:val="ListParagraph"/>
        <w:numPr>
          <w:ilvl w:val="0"/>
          <w:numId w:val="28"/>
        </w:numPr>
        <w:spacing w:after="120" w:line="259" w:lineRule="auto"/>
      </w:pPr>
      <w:r w:rsidRPr="00FA155B">
        <w:t>The Royal Australian College of General Practitioners</w:t>
      </w:r>
      <w:r>
        <w:t xml:space="preserve"> (RACGP)</w:t>
      </w:r>
    </w:p>
    <w:p w14:paraId="31D7B3EE" w14:textId="6EDAA34C" w:rsidR="00333C9E" w:rsidRPr="00085BAA" w:rsidRDefault="00333C9E" w:rsidP="00333C9E">
      <w:r>
        <w:t>The consultation input received was mostly</w:t>
      </w:r>
      <w:r w:rsidRPr="006D68C5">
        <w:t xml:space="preserve"> supportive of public funding for </w:t>
      </w:r>
      <w:r w:rsidR="002B3E97">
        <w:t>VCTE</w:t>
      </w:r>
      <w:r w:rsidR="002B3E97" w:rsidRPr="00F12C22">
        <w:t>™</w:t>
      </w:r>
      <w:r w:rsidRPr="006D68C5">
        <w:t xml:space="preserve"> for identifying advanced fibrosis in patients with </w:t>
      </w:r>
      <w:r w:rsidRPr="006A756E">
        <w:t>MAFLD</w:t>
      </w:r>
      <w:r>
        <w:t xml:space="preserve">. </w:t>
      </w:r>
      <w:r w:rsidRPr="00A42E0A">
        <w:t>The consultation input raised a number of concerns, predominately in relation to the</w:t>
      </w:r>
      <w:r>
        <w:t xml:space="preserve"> population being too restricted and the delivery of VCTE</w:t>
      </w:r>
      <w:r w:rsidR="00085BAA" w:rsidRPr="00F12C22">
        <w:t>™</w:t>
      </w:r>
      <w:r>
        <w:t>.</w:t>
      </w:r>
    </w:p>
    <w:p w14:paraId="3B1E7E30" w14:textId="77777777" w:rsidR="00333C9E" w:rsidRDefault="00333C9E" w:rsidP="00022C35">
      <w:pPr>
        <w:keepNext/>
        <w:keepLines/>
        <w:rPr>
          <w:b/>
          <w:bCs/>
        </w:rPr>
      </w:pPr>
      <w:r>
        <w:rPr>
          <w:b/>
          <w:bCs/>
        </w:rPr>
        <w:lastRenderedPageBreak/>
        <w:t>Benefits and Disadvantages</w:t>
      </w:r>
    </w:p>
    <w:p w14:paraId="1BDBDCC8" w14:textId="22679323" w:rsidR="00333C9E" w:rsidRDefault="00333C9E" w:rsidP="00022C35">
      <w:pPr>
        <w:keepNext/>
        <w:keepLines/>
      </w:pPr>
      <w:r>
        <w:t xml:space="preserve">The main benefit of public funding received in the consultation input included that </w:t>
      </w:r>
      <w:r w:rsidR="002B3E97">
        <w:t>VCTE</w:t>
      </w:r>
      <w:r w:rsidR="002B3E97" w:rsidRPr="00F12C22">
        <w:t>™</w:t>
      </w:r>
      <w:r>
        <w:t xml:space="preserve"> can provide additional information about liver health compared to ultrasound, while being less invasive than liver biopsy. It was noted that access to VCTE</w:t>
      </w:r>
      <w:r w:rsidR="00085BAA" w:rsidRPr="00F12C22">
        <w:t>™</w:t>
      </w:r>
      <w:r>
        <w:t xml:space="preserve"> might reduce the need for liver biopsies in some cases, could improve access to liver health assessments in remote regions of Australia, and reduce the burden on specialists.</w:t>
      </w:r>
    </w:p>
    <w:p w14:paraId="5CB19EA6" w14:textId="1E991C9E" w:rsidR="00333C9E" w:rsidRDefault="00333C9E" w:rsidP="00333C9E">
      <w:r>
        <w:t xml:space="preserve">The main disadvantages of public funding received in the consultation input included the cost of the device and </w:t>
      </w:r>
      <w:r w:rsidRPr="00EA32E6">
        <w:t>the concentration of VCTE</w:t>
      </w:r>
      <w:r w:rsidR="00085BAA" w:rsidRPr="00F12C22">
        <w:t>™</w:t>
      </w:r>
      <w:r w:rsidRPr="00EA32E6">
        <w:t xml:space="preserve"> devices in specialist centres</w:t>
      </w:r>
      <w:r>
        <w:t>,</w:t>
      </w:r>
      <w:r w:rsidRPr="00EA32E6">
        <w:t xml:space="preserve"> impos</w:t>
      </w:r>
      <w:r>
        <w:t>ing</w:t>
      </w:r>
      <w:r w:rsidRPr="00EA32E6">
        <w:t xml:space="preserve"> significant travel, financial, and logistical</w:t>
      </w:r>
      <w:r>
        <w:t xml:space="preserve"> </w:t>
      </w:r>
      <w:r w:rsidRPr="00EA32E6">
        <w:t>burdens on patients.</w:t>
      </w:r>
    </w:p>
    <w:p w14:paraId="252036C6" w14:textId="77777777" w:rsidR="00333C9E" w:rsidRDefault="00333C9E" w:rsidP="00333C9E">
      <w:pPr>
        <w:rPr>
          <w:b/>
          <w:bCs/>
        </w:rPr>
      </w:pPr>
      <w:r>
        <w:rPr>
          <w:b/>
          <w:bCs/>
        </w:rPr>
        <w:t>Population, Comparator (current management) and Delivery</w:t>
      </w:r>
    </w:p>
    <w:p w14:paraId="5FE2160E" w14:textId="2DF861C5" w:rsidR="00333C9E" w:rsidRDefault="00333C9E" w:rsidP="00333C9E">
      <w:r>
        <w:t>The consultation input largely agreed with the proposed populations, although a number of health professionals and GESA noted th</w:t>
      </w:r>
      <w:r w:rsidR="005D7FF4">
        <w:t>at</w:t>
      </w:r>
      <w:r w:rsidR="00323E7D" w:rsidDel="004F2426">
        <w:t xml:space="preserve"> </w:t>
      </w:r>
      <w:r>
        <w:t>patients other than those specified in the application</w:t>
      </w:r>
      <w:r w:rsidR="005D7FF4" w:rsidRPr="005D7FF4">
        <w:t xml:space="preserve"> </w:t>
      </w:r>
      <w:r w:rsidR="005D7FF4">
        <w:t>could benefit from VCTE</w:t>
      </w:r>
      <w:r w:rsidR="00085BAA" w:rsidRPr="00F12C22">
        <w:t>™</w:t>
      </w:r>
      <w:r>
        <w:t xml:space="preserve">, including </w:t>
      </w:r>
      <w:r w:rsidR="00720D57">
        <w:t>those</w:t>
      </w:r>
      <w:r>
        <w:t xml:space="preserve"> with type 1 diabetes and</w:t>
      </w:r>
      <w:r w:rsidDel="00720D57">
        <w:t xml:space="preserve"> </w:t>
      </w:r>
      <w:r>
        <w:t>viral hepatitis. Input from GESA stated that the population should include</w:t>
      </w:r>
      <w:r w:rsidRPr="003414DD">
        <w:t xml:space="preserve"> people with MAFLD and a FIB-4 greater than 1.3 (not just between 1.3-2.7) to confirm</w:t>
      </w:r>
      <w:r>
        <w:t xml:space="preserve"> </w:t>
      </w:r>
      <w:r w:rsidRPr="003414DD">
        <w:t>advanced liver fibrosis and cirrhosis diagnosis.</w:t>
      </w:r>
    </w:p>
    <w:p w14:paraId="7F7505E7" w14:textId="59D726C6" w:rsidR="00333C9E" w:rsidRDefault="00333C9E" w:rsidP="00333C9E">
      <w:r>
        <w:t>The consultation broadly agreed with the proposed comparator</w:t>
      </w:r>
      <w:r w:rsidR="007752F4">
        <w:t>. The feedback from</w:t>
      </w:r>
      <w:r>
        <w:t xml:space="preserve"> GESA stat</w:t>
      </w:r>
      <w:r w:rsidR="007752F4">
        <w:t>ed</w:t>
      </w:r>
      <w:r>
        <w:t xml:space="preserve"> that liver ultrasound l</w:t>
      </w:r>
      <w:r w:rsidRPr="001A2F99">
        <w:t>acks sensitivity and specificity for liver cirrhosis diagnosis</w:t>
      </w:r>
      <w:r>
        <w:t xml:space="preserve">. </w:t>
      </w:r>
    </w:p>
    <w:p w14:paraId="4770618F" w14:textId="041601E5" w:rsidR="00333C9E" w:rsidRDefault="00333C9E" w:rsidP="00333C9E">
      <w:pPr>
        <w:pStyle w:val="NoSpacing"/>
        <w:spacing w:after="160"/>
      </w:pPr>
      <w:r>
        <w:t>C</w:t>
      </w:r>
      <w:r w:rsidRPr="00E95336">
        <w:t xml:space="preserve">onsultation </w:t>
      </w:r>
      <w:r>
        <w:t>input</w:t>
      </w:r>
      <w:r w:rsidRPr="00E95336">
        <w:t xml:space="preserve"> was provided </w:t>
      </w:r>
      <w:r>
        <w:t>in relation to service delivery,</w:t>
      </w:r>
      <w:r w:rsidRPr="006B253E">
        <w:t xml:space="preserve"> </w:t>
      </w:r>
      <w:r>
        <w:t xml:space="preserve">stating that </w:t>
      </w:r>
      <w:r w:rsidRPr="00640AA0">
        <w:t xml:space="preserve">an increased number of </w:t>
      </w:r>
      <w:r>
        <w:t>VCTE</w:t>
      </w:r>
      <w:r w:rsidR="00085BAA" w:rsidRPr="00F12C22">
        <w:t>™</w:t>
      </w:r>
      <w:r w:rsidRPr="00640AA0">
        <w:t xml:space="preserve"> </w:t>
      </w:r>
      <w:r>
        <w:t xml:space="preserve">machines </w:t>
      </w:r>
      <w:r w:rsidRPr="00640AA0">
        <w:t>would be required to support equitable access across</w:t>
      </w:r>
      <w:r>
        <w:t xml:space="preserve"> </w:t>
      </w:r>
      <w:r w:rsidRPr="00640AA0">
        <w:t>Australia</w:t>
      </w:r>
      <w:r>
        <w:t xml:space="preserve"> and t</w:t>
      </w:r>
      <w:r w:rsidRPr="00640AA0">
        <w:t xml:space="preserve">raining in </w:t>
      </w:r>
      <w:r>
        <w:t xml:space="preserve">the </w:t>
      </w:r>
      <w:r w:rsidRPr="00640AA0">
        <w:t xml:space="preserve">correct use of </w:t>
      </w:r>
      <w:r w:rsidR="002B3E97">
        <w:t>VCTE</w:t>
      </w:r>
      <w:r w:rsidR="002B3E97" w:rsidRPr="00F12C22">
        <w:t>™</w:t>
      </w:r>
      <w:r w:rsidRPr="00640AA0">
        <w:t xml:space="preserve"> would need</w:t>
      </w:r>
      <w:r w:rsidRPr="00640AA0" w:rsidDel="002661C8">
        <w:t xml:space="preserve"> to be provided</w:t>
      </w:r>
      <w:r w:rsidDel="002661C8">
        <w:t xml:space="preserve"> </w:t>
      </w:r>
      <w:r w:rsidRPr="00640AA0" w:rsidDel="002661C8">
        <w:t>for specialists and nurses</w:t>
      </w:r>
      <w:r>
        <w:t>. GESA stated that</w:t>
      </w:r>
      <w:r w:rsidRPr="00640AA0">
        <w:t xml:space="preserve"> portable </w:t>
      </w:r>
      <w:r w:rsidR="002B3E97">
        <w:t>VCTE</w:t>
      </w:r>
      <w:r w:rsidR="002B3E97" w:rsidRPr="00F12C22">
        <w:t>™</w:t>
      </w:r>
      <w:r w:rsidRPr="00640AA0">
        <w:t xml:space="preserve"> mobile outreach regional services may be suitable and </w:t>
      </w:r>
      <w:r>
        <w:t>that these services</w:t>
      </w:r>
      <w:r w:rsidRPr="00640AA0">
        <w:t xml:space="preserve"> ha</w:t>
      </w:r>
      <w:r>
        <w:t xml:space="preserve">ve </w:t>
      </w:r>
      <w:r w:rsidRPr="00640AA0">
        <w:t xml:space="preserve">been </w:t>
      </w:r>
      <w:r>
        <w:t>used in Australia for the</w:t>
      </w:r>
      <w:r w:rsidRPr="00640AA0">
        <w:t xml:space="preserve"> outreach viral hepatitis liver assessment program</w:t>
      </w:r>
      <w:r>
        <w:t xml:space="preserve">. </w:t>
      </w:r>
    </w:p>
    <w:p w14:paraId="3D5B817E" w14:textId="77777777" w:rsidR="00333C9E" w:rsidRPr="001921E0" w:rsidRDefault="00333C9E" w:rsidP="00333C9E">
      <w:pPr>
        <w:rPr>
          <w:b/>
          <w:bCs/>
        </w:rPr>
      </w:pPr>
      <w:r w:rsidRPr="001921E0">
        <w:rPr>
          <w:b/>
          <w:bCs/>
        </w:rPr>
        <w:t>MBS Item Descriptor and Fee</w:t>
      </w:r>
    </w:p>
    <w:p w14:paraId="7A8390BE" w14:textId="180D1D6B" w:rsidR="00333C9E" w:rsidRPr="006533C2" w:rsidRDefault="00333C9E" w:rsidP="00333C9E">
      <w:r>
        <w:t xml:space="preserve">The consultation input from health professionals and professional organisations varied from agreeing to disagreeing with the proposed item descriptor. One health professional </w:t>
      </w:r>
      <w:r w:rsidRPr="006533C2">
        <w:t xml:space="preserve">stated </w:t>
      </w:r>
      <w:r>
        <w:t>the item should be restricted to specialist h</w:t>
      </w:r>
      <w:r w:rsidRPr="00640AA0">
        <w:t>epatologists</w:t>
      </w:r>
      <w:r>
        <w:t xml:space="preserve"> and g</w:t>
      </w:r>
      <w:r w:rsidRPr="00640AA0">
        <w:t xml:space="preserve">astroenterologists </w:t>
      </w:r>
      <w:r>
        <w:t>as the results</w:t>
      </w:r>
      <w:r w:rsidRPr="00640AA0">
        <w:t xml:space="preserve"> require specialist interpretation</w:t>
      </w:r>
      <w:r w:rsidRPr="006533C2">
        <w:t>.</w:t>
      </w:r>
      <w:r>
        <w:t xml:space="preserve"> RACGP stated that GPs are well placed to prevent, diagnose and manage MAFLD. RANZCR advocated for an item for non-invasive assessment of liver fibrosis that allows the use of multiple technologies including SWE and MRE. GESA disagreed with the frequency restriction stating it is not in line with the </w:t>
      </w:r>
      <w:r w:rsidRPr="007E2E99">
        <w:t>Australian GESA MAFLD consensus statement</w:t>
      </w:r>
      <w:r>
        <w:t xml:space="preserve"> which recommends repeat assessment every 1-3 years depending on risk.</w:t>
      </w:r>
    </w:p>
    <w:p w14:paraId="2454BE4A" w14:textId="26754A36" w:rsidR="00333C9E" w:rsidRDefault="00333C9E" w:rsidP="00333C9E">
      <w:bookmarkStart w:id="17" w:name="_Hlk193902990"/>
      <w:r>
        <w:t xml:space="preserve">The consultation input from health professionals and professional organisations ranged from agreeing to disagreeing with the proposed service fee, with some consultation input stating it should be higher to support the cost of </w:t>
      </w:r>
      <w:r w:rsidR="002B3E97">
        <w:t>VCTE</w:t>
      </w:r>
      <w:r w:rsidR="002B3E97" w:rsidRPr="00F12C22">
        <w:t>™</w:t>
      </w:r>
      <w:r>
        <w:t xml:space="preserve"> machines and support small rural services. RACGP stated that the fee for GPs should be in line with other specialists as they are undertaking the same tasks.</w:t>
      </w:r>
      <w:bookmarkEnd w:id="17"/>
    </w:p>
    <w:p w14:paraId="6214DAB2" w14:textId="77777777" w:rsidR="00333C9E" w:rsidRPr="00946A69" w:rsidRDefault="00333C9E" w:rsidP="00022C35">
      <w:pPr>
        <w:keepNext/>
        <w:keepLines/>
        <w:rPr>
          <w:b/>
          <w:bCs/>
        </w:rPr>
      </w:pPr>
      <w:r w:rsidRPr="00946A69">
        <w:rPr>
          <w:b/>
          <w:bCs/>
        </w:rPr>
        <w:lastRenderedPageBreak/>
        <w:t xml:space="preserve">Additional </w:t>
      </w:r>
      <w:r>
        <w:rPr>
          <w:b/>
          <w:bCs/>
        </w:rPr>
        <w:t>C</w:t>
      </w:r>
      <w:r w:rsidRPr="00946A69">
        <w:rPr>
          <w:b/>
          <w:bCs/>
        </w:rPr>
        <w:t>omments</w:t>
      </w:r>
    </w:p>
    <w:p w14:paraId="1B9C409B" w14:textId="24462914" w:rsidR="000101E6" w:rsidRPr="00333C9E" w:rsidRDefault="00333C9E" w:rsidP="00022C35">
      <w:pPr>
        <w:keepNext/>
        <w:keepLines/>
      </w:pPr>
      <w:r>
        <w:t xml:space="preserve">GESA noted that </w:t>
      </w:r>
      <w:r w:rsidRPr="00024B08">
        <w:t>VCTE</w:t>
      </w:r>
      <w:r w:rsidR="006B2C92" w:rsidRPr="00F12C22">
        <w:t>™</w:t>
      </w:r>
      <w:r w:rsidRPr="00024B08">
        <w:t xml:space="preserve"> in combination with platelet count (blood test) has the additional benefit of triaging the need for invasive and expensive gastroscopy to diagnose portal hypertension in people with MAFLD</w:t>
      </w:r>
      <w:r>
        <w:t>.</w:t>
      </w:r>
    </w:p>
    <w:p w14:paraId="17BFC899" w14:textId="6C176A22" w:rsidR="00347A16" w:rsidRPr="00F42687" w:rsidRDefault="00EE797A" w:rsidP="00F42687">
      <w:pPr>
        <w:rPr>
          <w:i/>
          <w:iCs/>
        </w:rPr>
      </w:pPr>
      <w:r w:rsidRPr="00EE797A">
        <w:rPr>
          <w:i/>
          <w:iCs/>
        </w:rPr>
        <w:t>PASC noted the consultation feedback.</w:t>
      </w:r>
    </w:p>
    <w:p w14:paraId="4E68667F" w14:textId="77777777" w:rsidR="00D37A3F" w:rsidRDefault="00D37A3F" w:rsidP="00713728">
      <w:pPr>
        <w:pStyle w:val="Heading2"/>
      </w:pPr>
      <w:r w:rsidRPr="00D37A3F">
        <w:t>Next steps</w:t>
      </w:r>
    </w:p>
    <w:p w14:paraId="180046BD" w14:textId="77777777" w:rsidR="00503144" w:rsidRDefault="00503144" w:rsidP="00503144">
      <w:pPr>
        <w:rPr>
          <w:i/>
          <w:iCs/>
        </w:rPr>
      </w:pPr>
      <w:r w:rsidRPr="45FB4CB3">
        <w:rPr>
          <w:i/>
          <w:iCs/>
        </w:rPr>
        <w:t>The applicant indicated the intent to proceed to an applicant-developed assessment report (ADAR).</w:t>
      </w:r>
    </w:p>
    <w:p w14:paraId="5DA674F5" w14:textId="364E9477" w:rsidR="00503144" w:rsidRPr="007E2699" w:rsidRDefault="3C46995E" w:rsidP="00503144">
      <w:r w:rsidRPr="00451B6B">
        <w:t>Based on PASC’s advice, the assessment report should focus on</w:t>
      </w:r>
      <w:r w:rsidR="0D0A6112" w:rsidRPr="00451B6B">
        <w:t xml:space="preserve"> the </w:t>
      </w:r>
      <w:r w:rsidR="63776615" w:rsidRPr="00451B6B">
        <w:t xml:space="preserve">test </w:t>
      </w:r>
      <w:r w:rsidR="3CC5F342" w:rsidRPr="00451B6B">
        <w:t>alone</w:t>
      </w:r>
      <w:r w:rsidR="63776615" w:rsidRPr="00451B6B">
        <w:t xml:space="preserve"> as the intervention, </w:t>
      </w:r>
      <w:r w:rsidR="6C36DEEE" w:rsidRPr="00451B6B">
        <w:t>with</w:t>
      </w:r>
      <w:r w:rsidR="63776615" w:rsidRPr="00451B6B">
        <w:t xml:space="preserve"> existing consultation items used for the consultation component of the proposed service. PASC</w:t>
      </w:r>
      <w:r w:rsidR="34C39984" w:rsidRPr="00451B6B">
        <w:t xml:space="preserve"> advised that</w:t>
      </w:r>
      <w:r w:rsidR="140D7AA7" w:rsidRPr="00451B6B">
        <w:t xml:space="preserve"> </w:t>
      </w:r>
      <w:r w:rsidR="63776615" w:rsidRPr="00451B6B">
        <w:t xml:space="preserve">only a single PICO set would </w:t>
      </w:r>
      <w:r w:rsidR="3CC5F342" w:rsidRPr="00451B6B">
        <w:t xml:space="preserve">then </w:t>
      </w:r>
      <w:r w:rsidR="63776615" w:rsidRPr="00451B6B">
        <w:t>be required</w:t>
      </w:r>
      <w:r w:rsidR="71EEAE1B" w:rsidRPr="00451B6B">
        <w:t>.</w:t>
      </w:r>
    </w:p>
    <w:p w14:paraId="55E1D2F7" w14:textId="0CC76E0A" w:rsidR="00503144" w:rsidRDefault="00A37447" w:rsidP="00503144">
      <w:r>
        <w:t xml:space="preserve">A summary of the potential single PICO set that could be </w:t>
      </w:r>
      <w:r w:rsidR="00282178">
        <w:t xml:space="preserve">explored in the ADAR is outlined </w:t>
      </w:r>
      <w:r w:rsidR="00503144" w:rsidRPr="00CD4984">
        <w:t xml:space="preserve">in </w:t>
      </w:r>
      <w:r w:rsidR="00503144" w:rsidRPr="00CD4984">
        <w:fldChar w:fldCharType="begin"/>
      </w:r>
      <w:r w:rsidR="00503144" w:rsidRPr="00CD4984">
        <w:instrText xml:space="preserve"> REF _Ref198115174 \h </w:instrText>
      </w:r>
      <w:r w:rsidR="00503144" w:rsidRPr="00A37447">
        <w:instrText xml:space="preserve"> \* MERGEFORMAT </w:instrText>
      </w:r>
      <w:r w:rsidR="00503144" w:rsidRPr="00CD4984">
        <w:fldChar w:fldCharType="separate"/>
      </w:r>
      <w:r w:rsidR="00503144" w:rsidRPr="00A37447">
        <w:t xml:space="preserve">Table </w:t>
      </w:r>
      <w:r w:rsidR="00503144" w:rsidRPr="00A37447">
        <w:rPr>
          <w:noProof/>
        </w:rPr>
        <w:t>9</w:t>
      </w:r>
      <w:r w:rsidR="00503144" w:rsidRPr="00CD4984">
        <w:fldChar w:fldCharType="end"/>
      </w:r>
      <w:r w:rsidR="006B040A">
        <w:t>,</w:t>
      </w:r>
      <w:r w:rsidR="00AA77CC">
        <w:t xml:space="preserve"> below</w:t>
      </w:r>
      <w:r w:rsidR="00503144" w:rsidRPr="45FB4CB3">
        <w:rPr>
          <w:i/>
          <w:iCs/>
        </w:rPr>
        <w:t>.</w:t>
      </w:r>
      <w:r>
        <w:rPr>
          <w:i/>
          <w:iCs/>
        </w:rPr>
        <w:t xml:space="preserve"> </w:t>
      </w:r>
      <w:r w:rsidR="003F290F">
        <w:t xml:space="preserve">This </w:t>
      </w:r>
      <w:r w:rsidR="00A66338">
        <w:t>incorporates</w:t>
      </w:r>
      <w:r w:rsidR="00282178">
        <w:t xml:space="preserve"> PASC’s advice </w:t>
      </w:r>
      <w:r w:rsidR="00DF47E7">
        <w:t>that</w:t>
      </w:r>
      <w:r w:rsidR="00282178">
        <w:t xml:space="preserve"> the intervention </w:t>
      </w:r>
      <w:r w:rsidR="00D01E4F">
        <w:t>should</w:t>
      </w:r>
      <w:r w:rsidR="00EE6449">
        <w:t xml:space="preserve"> </w:t>
      </w:r>
      <w:r w:rsidR="00282178">
        <w:t xml:space="preserve">only </w:t>
      </w:r>
      <w:r w:rsidR="00BF0DB8">
        <w:t xml:space="preserve">include </w:t>
      </w:r>
      <w:r w:rsidR="00282178">
        <w:t xml:space="preserve">the test, and </w:t>
      </w:r>
      <w:r w:rsidR="00A66338">
        <w:t xml:space="preserve">should </w:t>
      </w:r>
      <w:r w:rsidR="00A53F72">
        <w:t>exclude the</w:t>
      </w:r>
      <w:r w:rsidR="00282178">
        <w:t xml:space="preserve"> consultation component. Corresponding changes have been made </w:t>
      </w:r>
      <w:r w:rsidR="00A66338">
        <w:t xml:space="preserve">to </w:t>
      </w:r>
      <w:r w:rsidR="00103FED">
        <w:t xml:space="preserve">the </w:t>
      </w:r>
      <w:r w:rsidR="00A66338">
        <w:t xml:space="preserve">other PICO components; </w:t>
      </w:r>
      <w:r w:rsidR="00282178">
        <w:t>for example</w:t>
      </w:r>
      <w:r w:rsidR="00F13211">
        <w:t xml:space="preserve">, the comparator </w:t>
      </w:r>
      <w:r w:rsidR="00103FED">
        <w:t>no longer includes</w:t>
      </w:r>
      <w:r w:rsidR="00282178">
        <w:t xml:space="preserve"> a consultation component. PASC’s advice on</w:t>
      </w:r>
      <w:r w:rsidR="00E1758C">
        <w:t xml:space="preserve"> other PICO elements, including</w:t>
      </w:r>
      <w:r w:rsidR="00282178">
        <w:t xml:space="preserve"> appropriate outcomes</w:t>
      </w:r>
      <w:r w:rsidR="00E1758C">
        <w:t xml:space="preserve">, </w:t>
      </w:r>
      <w:r w:rsidR="00095B16">
        <w:t>has</w:t>
      </w:r>
      <w:r w:rsidR="00E1758C">
        <w:t xml:space="preserve"> also been incorporated.</w:t>
      </w:r>
    </w:p>
    <w:p w14:paraId="154FFEB3" w14:textId="2BB05E11" w:rsidR="00BA3B2A" w:rsidRPr="00CD4984" w:rsidRDefault="00E025EB" w:rsidP="00503144">
      <w:r>
        <w:t>Note that c</w:t>
      </w:r>
      <w:r w:rsidR="00BA3B2A">
        <w:t xml:space="preserve">hanges to the PICO set </w:t>
      </w:r>
      <w:r>
        <w:t>should</w:t>
      </w:r>
      <w:r w:rsidR="00BA3B2A">
        <w:t xml:space="preserve"> be </w:t>
      </w:r>
      <w:r w:rsidR="00184204">
        <w:t xml:space="preserve">consistently </w:t>
      </w:r>
      <w:r w:rsidR="00081591">
        <w:t>reflected</w:t>
      </w:r>
      <w:r w:rsidR="00BA3B2A">
        <w:t xml:space="preserve"> throughout the ADAR, for example</w:t>
      </w:r>
      <w:r w:rsidR="00CD4984">
        <w:t xml:space="preserve"> with appropriate changes made to </w:t>
      </w:r>
      <w:r w:rsidR="00542C0E">
        <w:t>the clinical management algorithm.</w:t>
      </w:r>
    </w:p>
    <w:p w14:paraId="53672027" w14:textId="77777777" w:rsidR="00503144" w:rsidRDefault="00503144" w:rsidP="00365F24">
      <w:pPr>
        <w:pStyle w:val="Caption"/>
      </w:pPr>
      <w:bookmarkStart w:id="18" w:name="_Ref198115174"/>
      <w:r>
        <w:t xml:space="preserve">Table </w:t>
      </w:r>
      <w:r>
        <w:fldChar w:fldCharType="begin"/>
      </w:r>
      <w:r>
        <w:instrText xml:space="preserve"> SEQ Table \* ARABIC </w:instrText>
      </w:r>
      <w:r>
        <w:fldChar w:fldCharType="separate"/>
      </w:r>
      <w:r>
        <w:rPr>
          <w:noProof/>
        </w:rPr>
        <w:t>9</w:t>
      </w:r>
      <w:r>
        <w:fldChar w:fldCharType="end"/>
      </w:r>
      <w:bookmarkEnd w:id="18"/>
      <w:r>
        <w:t xml:space="preserve">: </w:t>
      </w:r>
      <w:r w:rsidRPr="00F12C22">
        <w:t>P</w:t>
      </w:r>
      <w:r>
        <w:t>ASC-advised P</w:t>
      </w:r>
      <w:r w:rsidRPr="00F12C22">
        <w:t>ICO for Vibration-Controlled Transient Elastography (VCTE™) for identifying advanced fibrosis in patients with metabolic dysfunction-associated fatty liver disease (MAFLD)</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Vibration-Controlled Transient Elastography (VCTE™) in specialist care for identifying advanced fibrosis in patients with metabolic dysfunction-associated fatty liver disease (MAFLD): PICO Set 2"/>
        <w:tblDescription w:val="PICO for Vibration-Controlled Transient Elastography (VCTE™) in specialist care for identifying advanced fibrosis in patients with metabolic dysfunction-associated fatty liver disease (MAFLD): PICO Set 2"/>
      </w:tblPr>
      <w:tblGrid>
        <w:gridCol w:w="1923"/>
        <w:gridCol w:w="7643"/>
      </w:tblGrid>
      <w:tr w:rsidR="00503144" w14:paraId="3CEE0D61" w14:textId="77777777">
        <w:trPr>
          <w:trHeight w:val="300"/>
        </w:trPr>
        <w:tc>
          <w:tcPr>
            <w:tcW w:w="192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36494A84" w14:textId="77777777" w:rsidR="00503144" w:rsidRDefault="00503144">
            <w:pPr>
              <w:spacing w:before="20" w:after="20" w:line="240" w:lineRule="auto"/>
              <w:rPr>
                <w:b/>
                <w:bCs/>
              </w:rPr>
            </w:pPr>
            <w:r w:rsidRPr="45FB4CB3">
              <w:rPr>
                <w:b/>
                <w:bCs/>
              </w:rPr>
              <w:t>Component</w:t>
            </w:r>
          </w:p>
        </w:tc>
        <w:tc>
          <w:tcPr>
            <w:tcW w:w="7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C7555" w14:textId="77777777" w:rsidR="00503144" w:rsidRDefault="00503144">
            <w:pPr>
              <w:spacing w:before="20" w:after="20" w:line="240" w:lineRule="auto"/>
              <w:rPr>
                <w:b/>
                <w:bCs/>
              </w:rPr>
            </w:pPr>
            <w:r w:rsidRPr="45FB4CB3">
              <w:rPr>
                <w:b/>
                <w:bCs/>
              </w:rPr>
              <w:t>Description</w:t>
            </w:r>
          </w:p>
        </w:tc>
      </w:tr>
      <w:tr w:rsidR="00503144" w14:paraId="6F22F955" w14:textId="77777777">
        <w:trPr>
          <w:trHeight w:val="300"/>
        </w:trPr>
        <w:tc>
          <w:tcPr>
            <w:tcW w:w="1923" w:type="dxa"/>
            <w:tcBorders>
              <w:top w:val="single" w:sz="8" w:space="0" w:color="auto"/>
              <w:left w:val="single" w:sz="8" w:space="0" w:color="auto"/>
              <w:bottom w:val="single" w:sz="4" w:space="0" w:color="auto"/>
              <w:right w:val="single" w:sz="4" w:space="0" w:color="auto"/>
            </w:tcBorders>
          </w:tcPr>
          <w:p w14:paraId="1384115E" w14:textId="77777777" w:rsidR="00503144" w:rsidRDefault="00503144">
            <w:pPr>
              <w:spacing w:before="120" w:after="120" w:line="240" w:lineRule="auto"/>
              <w:rPr>
                <w:rFonts w:cs="Arial"/>
              </w:rPr>
            </w:pPr>
            <w:r w:rsidRPr="45FB4CB3">
              <w:rPr>
                <w:rFonts w:cs="Arial"/>
              </w:rPr>
              <w:t>Population</w:t>
            </w:r>
          </w:p>
        </w:tc>
        <w:tc>
          <w:tcPr>
            <w:tcW w:w="7643" w:type="dxa"/>
            <w:tcBorders>
              <w:top w:val="single" w:sz="4" w:space="0" w:color="auto"/>
              <w:left w:val="single" w:sz="4" w:space="0" w:color="auto"/>
              <w:bottom w:val="single" w:sz="4" w:space="0" w:color="auto"/>
              <w:right w:val="single" w:sz="4" w:space="0" w:color="auto"/>
            </w:tcBorders>
          </w:tcPr>
          <w:p w14:paraId="2A8C9AFF" w14:textId="58DF49F9" w:rsidR="00503144" w:rsidRPr="00E84231" w:rsidRDefault="00503144" w:rsidP="00365F24">
            <w:pPr>
              <w:spacing w:before="120" w:after="120" w:line="240" w:lineRule="auto"/>
              <w:rPr>
                <w:rFonts w:cs="Arial"/>
              </w:rPr>
            </w:pPr>
            <w:r w:rsidRPr="45FB4CB3">
              <w:rPr>
                <w:rFonts w:cs="Arial"/>
              </w:rPr>
              <w:t>Patients diagnosed with metabolic dysfunction-associated fatty liver disease (MAFLD) who have a</w:t>
            </w:r>
            <w:r w:rsidR="006D0293">
              <w:rPr>
                <w:rFonts w:cs="Arial"/>
              </w:rPr>
              <w:t xml:space="preserve"> FIB-4 test score of &gt;1.3</w:t>
            </w:r>
            <w:r w:rsidR="006D0293">
              <w:rPr>
                <w:rFonts w:cs="Arial"/>
                <w:vertAlign w:val="superscript"/>
              </w:rPr>
              <w:t>a</w:t>
            </w:r>
            <w:r w:rsidR="006D0293">
              <w:rPr>
                <w:rFonts w:cs="Arial"/>
              </w:rPr>
              <w:t>.</w:t>
            </w:r>
            <w:r w:rsidRPr="45FB4CB3">
              <w:rPr>
                <w:rFonts w:cs="Arial"/>
              </w:rPr>
              <w:t xml:space="preserve"> </w:t>
            </w:r>
          </w:p>
        </w:tc>
      </w:tr>
      <w:tr w:rsidR="00503144" w14:paraId="4581C748" w14:textId="77777777">
        <w:trPr>
          <w:trHeight w:val="300"/>
        </w:trPr>
        <w:tc>
          <w:tcPr>
            <w:tcW w:w="1923" w:type="dxa"/>
            <w:tcBorders>
              <w:top w:val="single" w:sz="8" w:space="0" w:color="auto"/>
              <w:left w:val="single" w:sz="8" w:space="0" w:color="auto"/>
              <w:bottom w:val="single" w:sz="4" w:space="0" w:color="auto"/>
              <w:right w:val="single" w:sz="4" w:space="0" w:color="auto"/>
            </w:tcBorders>
          </w:tcPr>
          <w:p w14:paraId="2BC423C5" w14:textId="77777777" w:rsidR="00503144" w:rsidRDefault="00503144">
            <w:pPr>
              <w:spacing w:before="120" w:after="120" w:line="240" w:lineRule="auto"/>
              <w:rPr>
                <w:rFonts w:cs="Arial"/>
              </w:rPr>
            </w:pPr>
            <w:r w:rsidRPr="45FB4CB3">
              <w:rPr>
                <w:rFonts w:cs="Arial"/>
              </w:rPr>
              <w:t xml:space="preserve">Prior tests </w:t>
            </w:r>
          </w:p>
        </w:tc>
        <w:tc>
          <w:tcPr>
            <w:tcW w:w="7643" w:type="dxa"/>
            <w:tcBorders>
              <w:top w:val="single" w:sz="4" w:space="0" w:color="auto"/>
              <w:left w:val="single" w:sz="4" w:space="0" w:color="auto"/>
              <w:bottom w:val="single" w:sz="4" w:space="0" w:color="auto"/>
              <w:right w:val="single" w:sz="4" w:space="0" w:color="auto"/>
            </w:tcBorders>
          </w:tcPr>
          <w:p w14:paraId="1E9D1A01" w14:textId="77777777" w:rsidR="00503144" w:rsidRDefault="00503144">
            <w:pPr>
              <w:pStyle w:val="ListParagraph"/>
              <w:numPr>
                <w:ilvl w:val="0"/>
                <w:numId w:val="3"/>
              </w:numPr>
              <w:spacing w:before="120" w:after="120" w:line="240" w:lineRule="auto"/>
              <w:ind w:left="229" w:hanging="229"/>
            </w:pPr>
            <w:r>
              <w:t>Diagnosis of MAFLD (</w:t>
            </w:r>
            <w:r w:rsidRPr="45FB4CB3">
              <w:rPr>
                <w:rFonts w:cs="Calibri"/>
              </w:rPr>
              <w:t>≥</w:t>
            </w:r>
            <w:r>
              <w:t>5% hepatosteatosis; and at least one of the following (1) overweight; (2) type 2 diabetes mellitus [T2DM]; or (3) metabolic dysfunction</w:t>
            </w:r>
            <w:r w:rsidRPr="45FB4CB3">
              <w:rPr>
                <w:vertAlign w:val="superscript"/>
              </w:rPr>
              <w:t>a</w:t>
            </w:r>
            <w:r>
              <w:t>).</w:t>
            </w:r>
          </w:p>
          <w:p w14:paraId="0BFB5F40" w14:textId="77777777" w:rsidR="00503144" w:rsidRDefault="00503144">
            <w:pPr>
              <w:pStyle w:val="ListParagraph"/>
              <w:numPr>
                <w:ilvl w:val="0"/>
                <w:numId w:val="3"/>
              </w:numPr>
              <w:spacing w:before="120" w:after="120" w:line="240" w:lineRule="auto"/>
              <w:ind w:left="229" w:hanging="229"/>
            </w:pPr>
            <w:r>
              <w:t xml:space="preserve">Fibrosis-4 (FIB-4) score (requiring assessment of aspartate aminotransferase [AST], alanine aminotransferase [ALT] and platelet count). </w:t>
            </w:r>
          </w:p>
        </w:tc>
      </w:tr>
      <w:tr w:rsidR="00503144" w14:paraId="45AD883F" w14:textId="77777777">
        <w:trPr>
          <w:trHeight w:val="300"/>
        </w:trPr>
        <w:tc>
          <w:tcPr>
            <w:tcW w:w="1923" w:type="dxa"/>
            <w:tcBorders>
              <w:top w:val="single" w:sz="4" w:space="0" w:color="auto"/>
              <w:left w:val="single" w:sz="8" w:space="0" w:color="auto"/>
              <w:bottom w:val="single" w:sz="4" w:space="0" w:color="auto"/>
              <w:right w:val="single" w:sz="4" w:space="0" w:color="auto"/>
            </w:tcBorders>
          </w:tcPr>
          <w:p w14:paraId="1EC6F55E" w14:textId="77777777" w:rsidR="00503144" w:rsidRDefault="00503144">
            <w:pPr>
              <w:spacing w:before="120" w:after="120" w:line="240" w:lineRule="auto"/>
              <w:rPr>
                <w:rFonts w:cs="Arial"/>
              </w:rPr>
            </w:pPr>
            <w:r w:rsidRPr="45FB4CB3">
              <w:rPr>
                <w:rFonts w:cs="Arial"/>
              </w:rPr>
              <w:t>Intervention</w:t>
            </w:r>
          </w:p>
        </w:tc>
        <w:tc>
          <w:tcPr>
            <w:tcW w:w="7643" w:type="dxa"/>
            <w:tcBorders>
              <w:top w:val="single" w:sz="4" w:space="0" w:color="auto"/>
              <w:left w:val="single" w:sz="4" w:space="0" w:color="auto"/>
              <w:bottom w:val="single" w:sz="4" w:space="0" w:color="auto"/>
              <w:right w:val="single" w:sz="4" w:space="0" w:color="auto"/>
            </w:tcBorders>
          </w:tcPr>
          <w:p w14:paraId="634ABFD0" w14:textId="4C36853E" w:rsidR="00503144" w:rsidRDefault="00503144">
            <w:pPr>
              <w:spacing w:before="120" w:after="120" w:line="240" w:lineRule="auto"/>
            </w:pPr>
            <w:r>
              <w:t xml:space="preserve">VCTE™ </w:t>
            </w:r>
            <w:r w:rsidRPr="45FB4CB3">
              <w:rPr>
                <w:rFonts w:cs="Arial"/>
              </w:rPr>
              <w:t xml:space="preserve">with or without abdominal ultrasound for the diagnosis of advanced liver </w:t>
            </w:r>
            <w:r w:rsidR="00E36FDB" w:rsidRPr="45FB4CB3">
              <w:rPr>
                <w:rFonts w:cs="Arial"/>
              </w:rPr>
              <w:t>fibrosis.</w:t>
            </w:r>
            <w:r w:rsidR="00E36FDB">
              <w:t xml:space="preserve"> The</w:t>
            </w:r>
            <w:r>
              <w:t xml:space="preserve"> item is proposed as 1 service only every 3 years.</w:t>
            </w:r>
          </w:p>
        </w:tc>
      </w:tr>
      <w:tr w:rsidR="00503144" w14:paraId="314D879D" w14:textId="77777777">
        <w:trPr>
          <w:trHeight w:val="300"/>
        </w:trPr>
        <w:tc>
          <w:tcPr>
            <w:tcW w:w="1923" w:type="dxa"/>
            <w:tcBorders>
              <w:top w:val="single" w:sz="4" w:space="0" w:color="auto"/>
              <w:left w:val="single" w:sz="8" w:space="0" w:color="auto"/>
              <w:bottom w:val="single" w:sz="4" w:space="0" w:color="auto"/>
              <w:right w:val="single" w:sz="4" w:space="0" w:color="auto"/>
            </w:tcBorders>
          </w:tcPr>
          <w:p w14:paraId="2D50B221" w14:textId="77777777" w:rsidR="00503144" w:rsidRDefault="00503144">
            <w:pPr>
              <w:spacing w:before="120" w:after="120" w:line="240" w:lineRule="auto"/>
            </w:pPr>
            <w:r>
              <w:t>Comparator/s</w:t>
            </w:r>
          </w:p>
        </w:tc>
        <w:tc>
          <w:tcPr>
            <w:tcW w:w="7643" w:type="dxa"/>
            <w:tcBorders>
              <w:top w:val="single" w:sz="4" w:space="0" w:color="auto"/>
              <w:left w:val="single" w:sz="4" w:space="0" w:color="auto"/>
              <w:bottom w:val="single" w:sz="4" w:space="0" w:color="auto"/>
              <w:right w:val="single" w:sz="4" w:space="0" w:color="auto"/>
            </w:tcBorders>
          </w:tcPr>
          <w:p w14:paraId="06B6E3CB" w14:textId="154EC6DE" w:rsidR="00503144" w:rsidRDefault="00503144">
            <w:pPr>
              <w:spacing w:before="120" w:after="120" w:line="240" w:lineRule="auto"/>
              <w:rPr>
                <w:rFonts w:cs="Arial"/>
              </w:rPr>
            </w:pPr>
            <w:r w:rsidRPr="45FB4CB3">
              <w:rPr>
                <w:rFonts w:cs="Arial"/>
              </w:rPr>
              <w:t>Standard of care (which may include liver ultrasound, other non-funded tests for the diagnosis of advanced fibrosis, and/or referral to specialist care (where appropriate)).</w:t>
            </w:r>
          </w:p>
        </w:tc>
      </w:tr>
      <w:tr w:rsidR="00503144" w14:paraId="63E79B2C" w14:textId="77777777">
        <w:trPr>
          <w:trHeight w:val="300"/>
        </w:trPr>
        <w:tc>
          <w:tcPr>
            <w:tcW w:w="1923" w:type="dxa"/>
            <w:tcBorders>
              <w:top w:val="single" w:sz="4" w:space="0" w:color="auto"/>
              <w:left w:val="single" w:sz="8" w:space="0" w:color="auto"/>
              <w:bottom w:val="single" w:sz="4" w:space="0" w:color="auto"/>
              <w:right w:val="single" w:sz="4" w:space="0" w:color="auto"/>
            </w:tcBorders>
          </w:tcPr>
          <w:p w14:paraId="0658539A" w14:textId="77777777" w:rsidR="00503144" w:rsidRDefault="00503144">
            <w:pPr>
              <w:spacing w:before="120" w:after="120" w:line="240" w:lineRule="auto"/>
              <w:rPr>
                <w:rFonts w:cs="Arial"/>
              </w:rPr>
            </w:pPr>
            <w:r w:rsidRPr="45FB4CB3">
              <w:rPr>
                <w:rFonts w:cs="Arial"/>
              </w:rPr>
              <w:t xml:space="preserve">Reference standard </w:t>
            </w:r>
          </w:p>
        </w:tc>
        <w:tc>
          <w:tcPr>
            <w:tcW w:w="7643" w:type="dxa"/>
            <w:tcBorders>
              <w:top w:val="single" w:sz="4" w:space="0" w:color="auto"/>
              <w:left w:val="single" w:sz="4" w:space="0" w:color="auto"/>
              <w:bottom w:val="single" w:sz="4" w:space="0" w:color="auto"/>
              <w:right w:val="single" w:sz="4" w:space="0" w:color="auto"/>
            </w:tcBorders>
          </w:tcPr>
          <w:p w14:paraId="058BEBF4" w14:textId="77777777" w:rsidR="00503144" w:rsidRDefault="00503144">
            <w:pPr>
              <w:spacing w:before="120" w:after="120" w:line="240" w:lineRule="auto"/>
            </w:pPr>
            <w:r>
              <w:t>Liver biopsy</w:t>
            </w:r>
          </w:p>
        </w:tc>
      </w:tr>
      <w:tr w:rsidR="00503144" w14:paraId="4A5421C5" w14:textId="77777777" w:rsidTr="00022C35">
        <w:trPr>
          <w:cantSplit/>
          <w:trHeight w:val="300"/>
        </w:trPr>
        <w:tc>
          <w:tcPr>
            <w:tcW w:w="1923" w:type="dxa"/>
            <w:tcBorders>
              <w:top w:val="single" w:sz="4" w:space="0" w:color="auto"/>
              <w:left w:val="single" w:sz="8" w:space="0" w:color="auto"/>
              <w:bottom w:val="single" w:sz="4" w:space="0" w:color="auto"/>
              <w:right w:val="single" w:sz="4" w:space="0" w:color="auto"/>
            </w:tcBorders>
          </w:tcPr>
          <w:p w14:paraId="4738D547" w14:textId="77777777" w:rsidR="00503144" w:rsidRDefault="00503144">
            <w:pPr>
              <w:spacing w:before="120" w:after="120" w:line="240" w:lineRule="auto"/>
              <w:rPr>
                <w:rFonts w:cs="Arial"/>
              </w:rPr>
            </w:pPr>
            <w:r w:rsidRPr="45FB4CB3">
              <w:rPr>
                <w:rFonts w:cs="Arial"/>
              </w:rPr>
              <w:lastRenderedPageBreak/>
              <w:t>Outcomes</w:t>
            </w:r>
          </w:p>
        </w:tc>
        <w:tc>
          <w:tcPr>
            <w:tcW w:w="7643" w:type="dxa"/>
            <w:tcBorders>
              <w:top w:val="single" w:sz="4" w:space="0" w:color="auto"/>
              <w:left w:val="single" w:sz="4" w:space="0" w:color="auto"/>
              <w:bottom w:val="single" w:sz="4" w:space="0" w:color="auto"/>
              <w:right w:val="single" w:sz="4" w:space="0" w:color="auto"/>
            </w:tcBorders>
          </w:tcPr>
          <w:p w14:paraId="6A5AED04"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Safety (including any potential risk of harm to the patient).</w:t>
            </w:r>
          </w:p>
          <w:p w14:paraId="3D43A5B1"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Accuracy (sensitivity, specificity, positive and negative predictive values) compared with the reference standard liver biopsy.</w:t>
            </w:r>
          </w:p>
          <w:p w14:paraId="67385F13"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Change in patient management – change in proportion who remain in primary care, change in proportion who are referred to specialists.</w:t>
            </w:r>
          </w:p>
          <w:p w14:paraId="78A44BB1"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 xml:space="preserve">Patient impacts – inequity in the system where </w:t>
            </w:r>
            <w:r w:rsidRPr="45FB4CB3">
              <w:rPr>
                <w:rFonts w:cs="Calibri"/>
              </w:rPr>
              <w:t>VCTE™ for MAFLD is funded differently to other causes of AF, negative impact resulting from VCTE™ being the only funded option for determination of AF.</w:t>
            </w:r>
          </w:p>
          <w:p w14:paraId="51F8C5CD"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 xml:space="preserve">Efficacy/effectiveness (including, but not limited to, patient-relevant outcomes such as advanced fibrosis, progression of fibrosis, compensated and decompensated cirrhosis, health-related quality of life, mortality) – of </w:t>
            </w:r>
            <w:r w:rsidRPr="45FB4CB3">
              <w:rPr>
                <w:rFonts w:cs="Calibri"/>
              </w:rPr>
              <w:t>VCTE™ itself and of and of subsequent management.</w:t>
            </w:r>
            <w:r w:rsidRPr="45FB4CB3">
              <w:rPr>
                <w:rFonts w:cs="Arial"/>
              </w:rPr>
              <w:t xml:space="preserve"> </w:t>
            </w:r>
          </w:p>
          <w:p w14:paraId="4FC93718"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Health care resources.</w:t>
            </w:r>
          </w:p>
          <w:p w14:paraId="75536397" w14:textId="77777777" w:rsidR="00503144" w:rsidRDefault="00503144">
            <w:pPr>
              <w:pStyle w:val="ListParagraph"/>
              <w:numPr>
                <w:ilvl w:val="0"/>
                <w:numId w:val="17"/>
              </w:numPr>
              <w:spacing w:before="120" w:after="120" w:line="240" w:lineRule="auto"/>
              <w:ind w:left="371" w:hanging="371"/>
              <w:rPr>
                <w:rFonts w:cs="Arial"/>
              </w:rPr>
            </w:pPr>
            <w:r w:rsidRPr="45FB4CB3">
              <w:rPr>
                <w:rFonts w:cs="Arial"/>
              </w:rPr>
              <w:t>Cost-effectiveness.</w:t>
            </w:r>
          </w:p>
          <w:p w14:paraId="1B2089D3" w14:textId="77777777" w:rsidR="00503144" w:rsidRDefault="00503144">
            <w:pPr>
              <w:pStyle w:val="ListParagraph"/>
              <w:numPr>
                <w:ilvl w:val="0"/>
                <w:numId w:val="17"/>
              </w:numPr>
              <w:spacing w:before="120" w:after="120" w:line="240" w:lineRule="auto"/>
              <w:ind w:left="371" w:hanging="371"/>
            </w:pPr>
            <w:r w:rsidRPr="45FB4CB3">
              <w:rPr>
                <w:rFonts w:cs="Arial"/>
              </w:rPr>
              <w:t>Total Australian Government health care costs.</w:t>
            </w:r>
          </w:p>
        </w:tc>
      </w:tr>
      <w:tr w:rsidR="00503144" w14:paraId="6C6AF409" w14:textId="77777777">
        <w:trPr>
          <w:trHeight w:val="300"/>
        </w:trPr>
        <w:tc>
          <w:tcPr>
            <w:tcW w:w="1923" w:type="dxa"/>
            <w:tcBorders>
              <w:top w:val="single" w:sz="4" w:space="0" w:color="auto"/>
              <w:left w:val="single" w:sz="8" w:space="0" w:color="auto"/>
              <w:bottom w:val="single" w:sz="8" w:space="0" w:color="auto"/>
              <w:right w:val="single" w:sz="4" w:space="0" w:color="auto"/>
            </w:tcBorders>
          </w:tcPr>
          <w:p w14:paraId="18A04C4C" w14:textId="77777777" w:rsidR="00503144" w:rsidRDefault="00503144">
            <w:pPr>
              <w:spacing w:before="120" w:after="120" w:line="240" w:lineRule="auto"/>
              <w:rPr>
                <w:rFonts w:cs="Arial"/>
              </w:rPr>
            </w:pPr>
            <w:r w:rsidRPr="45FB4CB3">
              <w:rPr>
                <w:rFonts w:cs="Arial"/>
              </w:rPr>
              <w:t>Assessment questions</w:t>
            </w:r>
          </w:p>
        </w:tc>
        <w:tc>
          <w:tcPr>
            <w:tcW w:w="7643" w:type="dxa"/>
            <w:tcBorders>
              <w:top w:val="single" w:sz="4" w:space="0" w:color="auto"/>
              <w:left w:val="single" w:sz="4" w:space="0" w:color="auto"/>
              <w:bottom w:val="single" w:sz="4" w:space="0" w:color="auto"/>
              <w:right w:val="single" w:sz="4" w:space="0" w:color="auto"/>
            </w:tcBorders>
          </w:tcPr>
          <w:p w14:paraId="589BCF42" w14:textId="516E807D" w:rsidR="00503144" w:rsidRDefault="00503144">
            <w:pPr>
              <w:spacing w:before="120" w:after="120" w:line="240" w:lineRule="auto"/>
            </w:pPr>
            <w:r>
              <w:t xml:space="preserve">What is the safety, effectiveness and cost-effectiveness of VCTE™ versus standard of care in patients with a diagnosis of MAFLD and a FIB-4 score of </w:t>
            </w:r>
            <w:r w:rsidRPr="45FB4CB3">
              <w:rPr>
                <w:rFonts w:cs="Calibri"/>
              </w:rPr>
              <w:t>≥</w:t>
            </w:r>
            <w:r>
              <w:t>1.3 for the detection and risk stratification of intermediate to advanced liver fibrosis?</w:t>
            </w:r>
          </w:p>
        </w:tc>
      </w:tr>
    </w:tbl>
    <w:p w14:paraId="3A43AA8E" w14:textId="0BC7797B" w:rsidR="00BA3B2A" w:rsidRPr="00365F24" w:rsidRDefault="002F5EFD" w:rsidP="00503144">
      <w:r>
        <w:rPr>
          <w:vertAlign w:val="superscript"/>
        </w:rPr>
        <w:t>a</w:t>
      </w:r>
      <w:r>
        <w:t xml:space="preserve"> Noting that this includes those with a FIB-4 score &gt; 2.7, in line with PASC advice that it is reasonable to include this group of patients in the proposed population.</w:t>
      </w:r>
    </w:p>
    <w:p w14:paraId="3301B9D6" w14:textId="77777777" w:rsidR="0000623E" w:rsidRDefault="0000623E" w:rsidP="0000623E">
      <w:pPr>
        <w:pStyle w:val="Heading2"/>
      </w:pPr>
      <w:r>
        <w:t>Applicant Comments on Ratified PICO</w:t>
      </w:r>
    </w:p>
    <w:p w14:paraId="365B8E55" w14:textId="3C77BA86" w:rsidR="005E1D5E" w:rsidRDefault="00A6530A" w:rsidP="007718AD">
      <w:pPr>
        <w:rPr>
          <w:rFonts w:cs="Calibri"/>
        </w:rPr>
      </w:pPr>
      <w:r w:rsidRPr="00A6530A">
        <w:rPr>
          <w:rFonts w:cs="Calibri"/>
        </w:rPr>
        <w:t xml:space="preserve">The applicant notes PASC have recognised the importance of improving diagnostic pathways for patients with MAFLD given the high disease burden in Australia. The applicant reiterates that this application is specifically for the use of VCTE, which does not include other ultrasound-based transient elastography technologies, due to the gap in clinical evidence and lower diagnostic accuracy for the other devices. Overall, this limits the ability to evaluate all liver fibrosis technologies concurrently and prevents generalisation of findings related to test accuracy and impact on clinical management. </w:t>
      </w:r>
    </w:p>
    <w:p w14:paraId="5D752EB8" w14:textId="4A252D34" w:rsidR="006553CB" w:rsidRDefault="00A6530A" w:rsidP="007718AD">
      <w:pPr>
        <w:rPr>
          <w:rFonts w:ascii="Franklin Gothic Medium" w:eastAsiaTheme="majorEastAsia" w:hAnsi="Franklin Gothic Medium" w:cstheme="majorBidi"/>
          <w:color w:val="000000" w:themeColor="text1"/>
          <w:sz w:val="32"/>
          <w:szCs w:val="26"/>
        </w:rPr>
      </w:pPr>
      <w:r w:rsidRPr="00A6530A">
        <w:rPr>
          <w:rFonts w:cs="Calibri"/>
        </w:rPr>
        <w:t xml:space="preserve">The applicant also recognises that there are other important conditions that lead to liver fibrosis. However, given its burden and prevalence, MAFLD remains the primary focus of this application. The true value of the diagnostic capabilities of VCTE, including its impact on patient outcomes and healthcare efficiency, will be demonstrated in the assessment report. </w:t>
      </w:r>
      <w:r w:rsidR="00497A78" w:rsidRPr="008928C0">
        <w:rPr>
          <w:rFonts w:cs="Calibri"/>
        </w:rPr>
        <w:t xml:space="preserve">The applicant agrees with PASC on the separation of test, as the focus of the application, and </w:t>
      </w:r>
      <w:r w:rsidR="001260B2" w:rsidRPr="008928C0">
        <w:rPr>
          <w:rFonts w:cs="Calibri"/>
        </w:rPr>
        <w:t>consul</w:t>
      </w:r>
      <w:r w:rsidR="001260B2">
        <w:rPr>
          <w:rFonts w:cs="Calibri"/>
        </w:rPr>
        <w:t>ta</w:t>
      </w:r>
      <w:r w:rsidR="001260B2" w:rsidRPr="008928C0">
        <w:rPr>
          <w:rFonts w:cs="Calibri"/>
        </w:rPr>
        <w:t>tion</w:t>
      </w:r>
      <w:r w:rsidR="00497A78" w:rsidRPr="008928C0">
        <w:rPr>
          <w:rFonts w:cs="Calibri"/>
        </w:rPr>
        <w:t xml:space="preserve">. However, the applicant notes that use of VCTE in primary care and specialist care are distinctive based on variations in the financial and clinical evidence, and this will be covered in the assessment report. </w:t>
      </w:r>
      <w:r w:rsidR="006553CB">
        <w:br w:type="page"/>
      </w:r>
    </w:p>
    <w:p w14:paraId="73A2A9C9" w14:textId="55A2B135" w:rsidR="006478E7" w:rsidRPr="005C67C7" w:rsidRDefault="00A33126" w:rsidP="00713728">
      <w:pPr>
        <w:pStyle w:val="Heading2"/>
        <w:rPr>
          <w:color w:val="auto"/>
        </w:rPr>
      </w:pPr>
      <w:r w:rsidRPr="005C67C7">
        <w:rPr>
          <w:color w:val="auto"/>
        </w:rPr>
        <w:lastRenderedPageBreak/>
        <w:t>References</w:t>
      </w:r>
    </w:p>
    <w:p w14:paraId="57BDBDF2" w14:textId="77777777" w:rsidR="00AD3C89" w:rsidRPr="00DF7F6D" w:rsidRDefault="00AD3C89" w:rsidP="00ED652F">
      <w:pPr>
        <w:spacing w:line="240" w:lineRule="auto"/>
      </w:pPr>
      <w:r w:rsidRPr="00DF7F6D">
        <w:t xml:space="preserve">Adams LA, George J, Bugianesi E, Rossi E, De Boer WB, van der Poorten D, Ching HL, Bulsara M, Jeffrey GP. Complex non-invasive fibrosis models are more accurate than simple models in non-alcoholic fatty liver disease. </w:t>
      </w:r>
      <w:r w:rsidRPr="00DF7F6D">
        <w:rPr>
          <w:i/>
          <w:iCs/>
        </w:rPr>
        <w:t>J Gastroenterol Hepatol</w:t>
      </w:r>
      <w:r w:rsidRPr="00DF7F6D">
        <w:t xml:space="preserve">. 2011 Oct;26(10):1536-43. doi: 10.1111/j.1440-1746.2011.06774.x. PMID: 21950746. </w:t>
      </w:r>
    </w:p>
    <w:p w14:paraId="5DE214B7" w14:textId="747F6E77" w:rsidR="003C17B7" w:rsidRPr="00DF7F6D" w:rsidRDefault="003C17B7" w:rsidP="00ED652F">
      <w:pPr>
        <w:spacing w:line="240" w:lineRule="auto"/>
      </w:pPr>
      <w:r w:rsidRPr="00DF7F6D">
        <w:t xml:space="preserve">Adams LA, Roberts SK, Strasser SI, Mahady SE, Powell E, Estes C, Razavi H, George J. Nonalcoholic fatty liver disease burden: Australia, 2019-2030. </w:t>
      </w:r>
      <w:r w:rsidRPr="00DF7F6D">
        <w:rPr>
          <w:i/>
          <w:iCs/>
        </w:rPr>
        <w:t>J Gastroenterol Hepatol</w:t>
      </w:r>
      <w:r w:rsidRPr="00DF7F6D">
        <w:t>. 2020 Sep;35(9):1628-1635. doi: 10.1111/jgh.15009. Epub 2020 Feb 26. PMID: 32048317; PMCID: PMC7540570.</w:t>
      </w:r>
    </w:p>
    <w:p w14:paraId="1FD2DB89" w14:textId="77777777" w:rsidR="00511A73" w:rsidRPr="00DF7F6D" w:rsidRDefault="00511A73" w:rsidP="00ED652F">
      <w:pPr>
        <w:spacing w:line="240" w:lineRule="auto"/>
      </w:pPr>
      <w:r w:rsidRPr="00DF7F6D">
        <w:t xml:space="preserve">Anstee QM, Lawitz EJ, Alkhouri N, Wong VW, Romero-Gomez M, Okanoue T, Trauner M, Kersey K, Li G, Han L, Jia C, Wang L, Chen G, Subramanian GM, Myers RP, Djedjos CS, Kohli A, Bzowej N, Younes Z, Sarin S, Shiffman ML, Harrison SA, Afdhal NH, Goodman Z, Younossi ZM. Noninvasive Tests Accurately Identify Advanced Fibrosis due to NASH: Baseline Data From the STELLAR Trials. </w:t>
      </w:r>
      <w:r w:rsidRPr="00DF7F6D">
        <w:rPr>
          <w:i/>
          <w:iCs/>
        </w:rPr>
        <w:t>Hepatology.</w:t>
      </w:r>
      <w:r w:rsidRPr="00DF7F6D">
        <w:t xml:space="preserve"> 2019 Nov;70(5):1521-1530. doi: 10.1002/hep.30842. Epub 2019 Aug 19. PMID: 31271665. </w:t>
      </w:r>
    </w:p>
    <w:p w14:paraId="0B4B9165" w14:textId="71EF71E4" w:rsidR="00842773" w:rsidRPr="00DF7F6D" w:rsidRDefault="00842773" w:rsidP="00ED652F">
      <w:pPr>
        <w:spacing w:line="240" w:lineRule="auto"/>
      </w:pPr>
      <w:r w:rsidRPr="00DF7F6D">
        <w:t xml:space="preserve">Armstrong MJ, Houlihan DD, Bentham L, Shaw JC, Cramb R, Olliff S, Gill PS, Neuberger JM, Lilford RJ, Newsome PN. Presence and severity of non-alcoholic fatty liver disease in a large prospective primary care cohort. </w:t>
      </w:r>
      <w:r w:rsidRPr="00DF7F6D">
        <w:rPr>
          <w:i/>
          <w:iCs/>
        </w:rPr>
        <w:t>J Hepatol.</w:t>
      </w:r>
      <w:r w:rsidRPr="00DF7F6D">
        <w:t xml:space="preserve"> 2012 Jan;56(1):234-40. doi: 10.1016/j.jhep.2011.03.020. Epub 2011 May 18. PMID: 21703178.</w:t>
      </w:r>
    </w:p>
    <w:p w14:paraId="029E368C" w14:textId="66DA4562" w:rsidR="00941FFC" w:rsidRPr="00DF7F6D" w:rsidRDefault="008633B2" w:rsidP="00ED652F">
      <w:pPr>
        <w:spacing w:line="240" w:lineRule="auto"/>
      </w:pPr>
      <w:r w:rsidRPr="00DF7F6D">
        <w:t xml:space="preserve">Ballestri S, Mantovani A, Byrne CD, Lonardo A, Targher G. Diagnostic accuracy of ultrasonography for the detection of hepatic steatosis: an updated meta-analysis of observational studies. </w:t>
      </w:r>
      <w:r w:rsidRPr="00DF7F6D">
        <w:rPr>
          <w:i/>
          <w:iCs/>
        </w:rPr>
        <w:t>Metab Target Organ Damage</w:t>
      </w:r>
      <w:r w:rsidRPr="00DF7F6D">
        <w:t xml:space="preserve">. 2021;1:7. </w:t>
      </w:r>
      <w:hyperlink r:id="rId15" w:history="1">
        <w:r w:rsidRPr="00DF7F6D">
          <w:rPr>
            <w:rStyle w:val="Hyperlink"/>
            <w:rFonts w:ascii="Calibri" w:hAnsi="Calibri"/>
            <w:color w:val="auto"/>
          </w:rPr>
          <w:t>http://dx.doi.org/10.20517/mtod.2021.05</w:t>
        </w:r>
      </w:hyperlink>
      <w:r w:rsidRPr="00DF7F6D">
        <w:t xml:space="preserve"> </w:t>
      </w:r>
    </w:p>
    <w:p w14:paraId="578D6441" w14:textId="7D422281" w:rsidR="00C37043" w:rsidRPr="00DF7F6D" w:rsidRDefault="00C37043" w:rsidP="00ED652F">
      <w:pPr>
        <w:spacing w:line="240" w:lineRule="auto"/>
      </w:pPr>
      <w:r w:rsidRPr="00DF7F6D">
        <w:t xml:space="preserve">Bastard C, Audière S, Foucquier J, Lorée H, Miette V, Bronowicki JP, Stern C, Caussy C, Sandrin L. Guided-VCTE: An Enhanced FibroScan Examination With Improved Guidance and Applicability. </w:t>
      </w:r>
      <w:r w:rsidRPr="00DF7F6D">
        <w:rPr>
          <w:i/>
          <w:iCs/>
        </w:rPr>
        <w:t>Ultrasound Med Biol</w:t>
      </w:r>
      <w:r w:rsidRPr="00DF7F6D">
        <w:t>. 2025 Apr;51(4):628-637. doi: 10.1016/j.ultrasmedbio.2024.12.007. Epub 2025 Jan 13. PMID: 39809636.</w:t>
      </w:r>
    </w:p>
    <w:p w14:paraId="3EEF6BF4" w14:textId="77777777" w:rsidR="00842773" w:rsidRPr="00DF7F6D" w:rsidRDefault="00842773" w:rsidP="00ED652F">
      <w:pPr>
        <w:spacing w:line="240" w:lineRule="auto"/>
      </w:pPr>
      <w:r w:rsidRPr="00DF7F6D">
        <w:t xml:space="preserve">Bedossa P; FLIP Pathology Consortium. Utility and appropriateness of the fatty liver inhibition of progression (FLIP) algorithm and steatosis, activity, and fibrosis (SAF) score in the evaluation of biopsies of nonalcoholic fatty liver disease. </w:t>
      </w:r>
      <w:r w:rsidRPr="00DF7F6D">
        <w:rPr>
          <w:i/>
          <w:iCs/>
        </w:rPr>
        <w:t>Hepatology</w:t>
      </w:r>
      <w:r w:rsidRPr="00DF7F6D">
        <w:t>. 2014 Aug;60(2):565-75. doi: 10.1002/hep.27173. Epub 2014 Jun 26. PMID: 24753132.</w:t>
      </w:r>
    </w:p>
    <w:p w14:paraId="6240009D" w14:textId="08B26593" w:rsidR="00AD3C89" w:rsidRPr="00DF7F6D" w:rsidRDefault="00AD3C89" w:rsidP="00ED652F">
      <w:pPr>
        <w:spacing w:line="240" w:lineRule="auto"/>
      </w:pPr>
      <w:r w:rsidRPr="00DF7F6D">
        <w:t xml:space="preserve">Bertot LC, Jeffrey GP, de Boer B, Wang Z, Huang Y, Garas G, MacQuillan G, Wallace M, Smith BW, Adams LA. Comparative Accuracy of Clinical Fibrosis Markers, Hepascore and Fibroscan® to Detect Advanced Fibrosis in Patients with Nonalcoholic Fatty Liver Disease. </w:t>
      </w:r>
      <w:r w:rsidRPr="00DF7F6D">
        <w:rPr>
          <w:i/>
          <w:iCs/>
        </w:rPr>
        <w:t>Dig Dis Sci.</w:t>
      </w:r>
      <w:r w:rsidRPr="00DF7F6D">
        <w:t xml:space="preserve"> 2023 Jun;68(6):2757-2767. doi: 10.1007/s10620-023-07896-3. Epub 2023 Mar 22. PMID: 36947289; PMCID: PMC10188580. </w:t>
      </w:r>
    </w:p>
    <w:p w14:paraId="2FA8251F" w14:textId="77777777" w:rsidR="00ED4268" w:rsidRPr="00DF7F6D" w:rsidRDefault="00ED4268" w:rsidP="00ED652F">
      <w:pPr>
        <w:spacing w:line="240" w:lineRule="auto"/>
      </w:pPr>
      <w:r w:rsidRPr="00DF7F6D">
        <w:t xml:space="preserve">Boursier J, Hagström H, Ekstedt M, Moreau C, Bonacci M, Cure S, Ampuero J, Nasr P, Tallab L, Canivet CM, Kechagias S, Sánchez Y, Dincuff E, Lucena A, Roux M, Riou J, Trylesinski A, Romero-Gomez M. Non-invasive tests accurately stratify patients with NAFLD based on their risk of liver-related events. </w:t>
      </w:r>
      <w:r w:rsidRPr="00DF7F6D">
        <w:rPr>
          <w:i/>
          <w:iCs/>
        </w:rPr>
        <w:t>J Hepatol.</w:t>
      </w:r>
      <w:r w:rsidRPr="00DF7F6D">
        <w:t xml:space="preserve"> 2022 May;76(5):1013-1020. doi: 10.1016/j.jhep.2021.12.031. Epub 2022 Jan 19. PMID: 35063601.</w:t>
      </w:r>
    </w:p>
    <w:p w14:paraId="3E34B30D" w14:textId="2B3BDD26" w:rsidR="00854908" w:rsidRPr="00DF7F6D" w:rsidRDefault="00854908" w:rsidP="00854908">
      <w:pPr>
        <w:spacing w:line="240" w:lineRule="auto"/>
      </w:pPr>
      <w:r w:rsidRPr="00DF7F6D">
        <w:t xml:space="preserve">Brain D, O'Beirne J, Hickman IJ, Powell EE, Valery PC, Kularatna S, Tulleners R, Farrington A, Horsfall L, Barnett A. Protocol for a randomised trial testing a community fibrosis assessment service for patients with suspected non-alcoholic fatty liver disease: LOCal assessment and triage evaluation of non-alcoholic fatty liver disease (LOCATE-NAFLD). </w:t>
      </w:r>
      <w:r w:rsidRPr="00DF7F6D">
        <w:rPr>
          <w:i/>
          <w:iCs/>
        </w:rPr>
        <w:t>BMC Health Serv Res</w:t>
      </w:r>
      <w:r w:rsidRPr="00DF7F6D">
        <w:t xml:space="preserve">. 2020 Apr 21;20(1):335. doi: 10.1186/s12913-020-05233-2. PMID: 32316984; PMCID: PMC7171744. </w:t>
      </w:r>
    </w:p>
    <w:p w14:paraId="3EC59025" w14:textId="65A8B2C2" w:rsidR="00A42A60" w:rsidRPr="00DF7F6D" w:rsidRDefault="00A42A60" w:rsidP="00854908">
      <w:pPr>
        <w:spacing w:line="240" w:lineRule="auto"/>
      </w:pPr>
      <w:r w:rsidRPr="00DF7F6D">
        <w:lastRenderedPageBreak/>
        <w:t xml:space="preserve">Caballería L, Pera G, Arteaga I, Rodríguez L, Alumà A, Morillas RM, de la Ossa N, Díaz A, Expósito C, Miranda D, Sánchez C, Prats RM, Urquizu M, Salgado A, Alemany M, Martinez A, Majeed I, Fabrellas N, Graupera I, Planas R, Ojanguren I, Serra M, Torán P, Caballería J, Ginès P. High Prevalence of Liver Fibrosis Among European Adults With Unknown Liver Disease: A Population-Based Study. </w:t>
      </w:r>
      <w:r w:rsidRPr="00DF7F6D">
        <w:rPr>
          <w:i/>
          <w:iCs/>
        </w:rPr>
        <w:t>Clin Gastroenterol Hepatol</w:t>
      </w:r>
      <w:r w:rsidRPr="00DF7F6D">
        <w:t>. 2018 Jul;16(7):1138-1145.e5. doi: 10.1016/j.cgh.2017.12.048. Epub 2018 Feb 13. PMID: 29452268.</w:t>
      </w:r>
    </w:p>
    <w:p w14:paraId="16CD342B" w14:textId="09FAB008" w:rsidR="007861BA" w:rsidRPr="00DF7F6D" w:rsidRDefault="007861BA" w:rsidP="007861BA">
      <w:pPr>
        <w:spacing w:line="240" w:lineRule="auto"/>
      </w:pPr>
      <w:r w:rsidRPr="00DF7F6D">
        <w:t>CADTH (Canadian Agency for Drugs and Technologies in Health)</w:t>
      </w:r>
      <w:r w:rsidR="00D464A3" w:rsidRPr="00DF7F6D">
        <w:t>.</w:t>
      </w:r>
      <w:r w:rsidRPr="00DF7F6D">
        <w:t xml:space="preserve"> Diagnosis and Monitoring of Liver Fibrosis in Patients with Chronic Hepatitis C: A Review of the Clinical Evidence and Cost Effectiveness. </w:t>
      </w:r>
      <w:r w:rsidR="00D464A3" w:rsidRPr="00DF7F6D">
        <w:t xml:space="preserve">2012. </w:t>
      </w:r>
      <w:hyperlink r:id="rId16" w:history="1">
        <w:r w:rsidR="00D464A3" w:rsidRPr="00DF7F6D">
          <w:rPr>
            <w:rStyle w:val="Hyperlink"/>
            <w:rFonts w:ascii="Calibri" w:hAnsi="Calibri"/>
          </w:rPr>
          <w:t>https://www.cda-amc.ca/sites/default/files/pdf/htis/mar-2012/RC0327_Hepatitis%20C_003_Final.pdf</w:t>
        </w:r>
      </w:hyperlink>
      <w:r w:rsidR="00D464A3" w:rsidRPr="00DF7F6D">
        <w:t xml:space="preserve"> </w:t>
      </w:r>
    </w:p>
    <w:p w14:paraId="76495D2A" w14:textId="788EBBF2" w:rsidR="00813E20" w:rsidRPr="00DF7F6D" w:rsidRDefault="00813E20" w:rsidP="00854908">
      <w:pPr>
        <w:spacing w:line="240" w:lineRule="auto"/>
      </w:pPr>
      <w:r w:rsidRPr="00DF7F6D">
        <w:t xml:space="preserve">Cao L, An Y, Liu H, Jiang J, Liu W, Zhou Y, Shi M, Dai W, Lv Y, Zhao Y, Lu Y, Chen L, Xia Y. Global epidemiology of type 2 diabetes in patients with NAFLD or MAFLD: a systematic review and meta-analysis. </w:t>
      </w:r>
      <w:r w:rsidRPr="00DF7F6D">
        <w:rPr>
          <w:i/>
          <w:iCs/>
        </w:rPr>
        <w:t>BMC Med</w:t>
      </w:r>
      <w:r w:rsidRPr="00DF7F6D">
        <w:t>. 2024 Mar 6;22(1):101. doi: 10.1186/s12916-024-03315-0. PMID: 38448943; PMCID: PMC10919055.</w:t>
      </w:r>
    </w:p>
    <w:p w14:paraId="045D1B23" w14:textId="3B125728" w:rsidR="00511A73" w:rsidRPr="00DF7F6D" w:rsidRDefault="00511A73" w:rsidP="00ED652F">
      <w:pPr>
        <w:spacing w:line="240" w:lineRule="auto"/>
      </w:pPr>
      <w:r w:rsidRPr="00DF7F6D">
        <w:t xml:space="preserve">EASL (European Association for the Study of the Liver). EASL Clinical Practice Guidelines on non-invasive tests for evaluation of liver disease severity and prognosis - 2021 update. </w:t>
      </w:r>
      <w:r w:rsidRPr="00DF7F6D">
        <w:rPr>
          <w:i/>
          <w:iCs/>
        </w:rPr>
        <w:t>J Hepatol</w:t>
      </w:r>
      <w:r w:rsidRPr="00DF7F6D">
        <w:t>. 2021 Sep;75(3):659-689. doi: 10.1016/j.jhep.2021.05.025. Epub 2021 Jun 21. PMID: 34166721.</w:t>
      </w:r>
    </w:p>
    <w:p w14:paraId="445616BC" w14:textId="77777777" w:rsidR="002B03D8" w:rsidRPr="00DF7F6D" w:rsidRDefault="002B03D8" w:rsidP="00ED652F">
      <w:pPr>
        <w:spacing w:line="240" w:lineRule="auto"/>
      </w:pPr>
      <w:r w:rsidRPr="00DF7F6D">
        <w:t xml:space="preserve">Eslam M, Fan JG, Yu ML, Wong VW, Cua IH, Liu CJ, Tanwandee T, Gani R, Seto WK, Alam S, Young DY, Hamid S, Zheng MH, Kawaguchi T, Chan WK, Payawal D, Tan SS, Goh GB, Strasser SI, Viet HD, Kao JH, Kim W, Kim SU, Keating SE, Yilmaz Y, Kamani L, Wang CC, Fouad Y, Abbas Z, Treeprasertsuk S, Thanapirom K, Al Mahtab M, Lkhagvaa U, Baatarkhuu O, Choudhury AK, Stedman CAM, Chowdhury A, Dokmeci AK, Wang FS, Lin HC, Huang JF, Howell J, Jia J, Alboraie M, Roberts SK, Yoneda M, Ghazinian H, Mirijanyan A, Nan Y, Lesmana CRA, Adams LA, Shiha G, Kumar M, Örmeci N, Wei L, Lau G, Omata M, Sarin SK, George J. The Asian Pacific association for the study of the liver clinical practice guidelines for the diagnosis and management of metabolic dysfunction-associated fatty liver disease. </w:t>
      </w:r>
      <w:r w:rsidRPr="00DF7F6D">
        <w:rPr>
          <w:i/>
          <w:iCs/>
        </w:rPr>
        <w:t>Hepatol Int.</w:t>
      </w:r>
      <w:r w:rsidRPr="00DF7F6D">
        <w:t xml:space="preserve"> 2025 Apr;19(2):261-301. doi: 10.1007/s12072-024-10774-3. Epub 2025 Feb 27. PMID: 40016576. </w:t>
      </w:r>
    </w:p>
    <w:p w14:paraId="7F869930" w14:textId="5D955120" w:rsidR="006A6BB7" w:rsidRPr="00DF7F6D" w:rsidRDefault="006A6BB7" w:rsidP="00ED652F">
      <w:pPr>
        <w:spacing w:line="240" w:lineRule="auto"/>
      </w:pPr>
      <w:r w:rsidRPr="00DF7F6D">
        <w:t xml:space="preserve">Eslam M, Newsome PN, Sarin SK, Anstee QM, Targher G, Romero-Gomez M, Zelber-Sagi S, Wai-Sun Wong V, Dufour JF, Schattenberg JM, Kawaguchi T, Arrese M, Valenti L, Shiha G, Tiribelli C, Yki-Järvinen H, Fan JG, Grønbæk H, Yilmaz Y, Cortez-Pinto H, Oliveira CP, Bedossa P, Adams LA, Zheng MH, Fouad Y, Chan WK, Mendez-Sanchez N, Ahn SH, Castera L, Bugianesi E, Ratziu V, George J. A new definition for metabolic dysfunction-associated fatty liver disease: An international expert consensus statement. </w:t>
      </w:r>
      <w:r w:rsidRPr="00DF7F6D">
        <w:rPr>
          <w:i/>
          <w:iCs/>
        </w:rPr>
        <w:t>J Hepatol.</w:t>
      </w:r>
      <w:r w:rsidRPr="00DF7F6D">
        <w:t xml:space="preserve"> 2020a Jul;73(1):202-209. doi: 10.1016/j.jhep.2020.03.039. Epub 2020 Apr 8. PMID: 32278004.</w:t>
      </w:r>
    </w:p>
    <w:p w14:paraId="371FCB7F" w14:textId="3AA90E81" w:rsidR="00602042" w:rsidRPr="00DF7F6D" w:rsidRDefault="00602042" w:rsidP="00ED652F">
      <w:pPr>
        <w:spacing w:line="240" w:lineRule="auto"/>
      </w:pPr>
      <w:r w:rsidRPr="00DF7F6D">
        <w:t xml:space="preserve">Farrell AM, Magliano DJ, Shaw JE, Thompson AJ, Croagh C, Ryan MC, Howell J. A problem of proportions: estimates of metabolic associated fatty liver disease and liver fibrosis in Australian adults in the nationwide 2012 AusDiab Study. </w:t>
      </w:r>
      <w:r w:rsidRPr="00DF7F6D">
        <w:rPr>
          <w:i/>
          <w:iCs/>
        </w:rPr>
        <w:t>Sci Rep</w:t>
      </w:r>
      <w:r w:rsidRPr="00DF7F6D">
        <w:t>. 2022 Feb 4;12(1):1956. doi: 10.1038/s41598-022-05168-0. PMID: 35121749; PMCID: PMC8817026.</w:t>
      </w:r>
    </w:p>
    <w:p w14:paraId="6EBD6709" w14:textId="77777777" w:rsidR="004D5FF9" w:rsidRPr="00DF7F6D" w:rsidRDefault="004D5FF9" w:rsidP="00ED652F">
      <w:pPr>
        <w:spacing w:line="240" w:lineRule="auto"/>
      </w:pPr>
      <w:r w:rsidRPr="00DF7F6D">
        <w:t xml:space="preserve">Gatos I, Yarmenitis S, Theotokas I, Koskinas J, Manesis E, Zoumpoulis SP, Zoumpoulis PS. Comparison of Visual Transient Elastography, Vibration Controlled Transient Elastography, Shear Wave Elastography and Sound Touch Elastography in Chronic liver Disease assessment using liver biopsy as 'Gold Standard'. </w:t>
      </w:r>
      <w:r w:rsidRPr="00DF7F6D">
        <w:rPr>
          <w:i/>
          <w:iCs/>
        </w:rPr>
        <w:t>Eur J Radiol.</w:t>
      </w:r>
      <w:r w:rsidRPr="00DF7F6D">
        <w:t xml:space="preserve"> 2022 Dec;157:110557. doi: 10.1016/j.ejrad.2022.110557. Epub 2022 Oct 17. PMID: 36274360.</w:t>
      </w:r>
    </w:p>
    <w:p w14:paraId="19E63606" w14:textId="6FB6A554" w:rsidR="00403392" w:rsidRPr="00DF7F6D" w:rsidRDefault="00403392" w:rsidP="00ED652F">
      <w:pPr>
        <w:spacing w:line="240" w:lineRule="auto"/>
      </w:pPr>
      <w:r w:rsidRPr="00DF7F6D">
        <w:t>GES</w:t>
      </w:r>
      <w:r w:rsidR="00ED652F" w:rsidRPr="00DF7F6D">
        <w:t>A</w:t>
      </w:r>
      <w:r w:rsidR="00511A73" w:rsidRPr="00DF7F6D">
        <w:t xml:space="preserve"> (Gastroenterological Society of Australia)</w:t>
      </w:r>
      <w:r w:rsidR="00ED652F" w:rsidRPr="00DF7F6D">
        <w:t>.</w:t>
      </w:r>
      <w:r w:rsidRPr="00DF7F6D">
        <w:t xml:space="preserve"> Recommendations for the assessment of metabolic dysfunction-associated fatty liver disease (MAFLD) in primary care: a consensus statement. </w:t>
      </w:r>
      <w:r w:rsidR="00ED652F" w:rsidRPr="00DF7F6D">
        <w:t xml:space="preserve">2024 </w:t>
      </w:r>
      <w:hyperlink r:id="rId17" w:history="1">
        <w:r w:rsidR="002B1DAB" w:rsidRPr="00DF7F6D">
          <w:rPr>
            <w:rStyle w:val="Hyperlink"/>
            <w:rFonts w:ascii="Calibri" w:hAnsi="Calibri"/>
            <w:color w:val="auto"/>
          </w:rPr>
          <w:t>https://www.gesa.org.au/public/13/files/Education%20%26%20Resources/Clinical%20Practice%20Resources/MAFLD/MAFLD%20consensus%20statement%202024.pdf</w:t>
        </w:r>
      </w:hyperlink>
      <w:r w:rsidRPr="00DF7F6D">
        <w:t xml:space="preserve"> </w:t>
      </w:r>
    </w:p>
    <w:p w14:paraId="45849331" w14:textId="0DE1A309" w:rsidR="00687769" w:rsidRPr="00DF7F6D" w:rsidRDefault="00687769" w:rsidP="00ED652F">
      <w:pPr>
        <w:spacing w:line="240" w:lineRule="auto"/>
      </w:pPr>
      <w:r w:rsidRPr="00DF7F6D">
        <w:lastRenderedPageBreak/>
        <w:t xml:space="preserve">Gracen L, Hayward KL, Irvine KM, Valery PC, Powell EE. Low accuracy of FIB-4 test to identify people with diabetes at low risk of advanced fibrosis. </w:t>
      </w:r>
      <w:r w:rsidRPr="00DF7F6D">
        <w:rPr>
          <w:i/>
          <w:iCs/>
        </w:rPr>
        <w:t>J Hepatol</w:t>
      </w:r>
      <w:r w:rsidRPr="00DF7F6D">
        <w:t>. 2022 Oct;77(4):1219-1221. doi: 10.1016/j.jhep.2022.06.016. Epub 2022 Jun 25. PMID: 35764234.</w:t>
      </w:r>
    </w:p>
    <w:p w14:paraId="23B94AD3" w14:textId="753E251C" w:rsidR="00336854" w:rsidRPr="00DF7F6D" w:rsidRDefault="00336854" w:rsidP="00ED652F">
      <w:pPr>
        <w:spacing w:line="240" w:lineRule="auto"/>
      </w:pPr>
      <w:r w:rsidRPr="00DF7F6D">
        <w:t xml:space="preserve">Gofton C, George J. Updates in fatty liver disease: Pathophysiology, diagnosis and management. </w:t>
      </w:r>
      <w:r w:rsidRPr="00DF7F6D">
        <w:rPr>
          <w:i/>
          <w:iCs/>
        </w:rPr>
        <w:t>Aust J Gen Pract</w:t>
      </w:r>
      <w:r w:rsidRPr="00DF7F6D">
        <w:t>. 2021 Oct;50(10):702-707. doi: 10.31128/AJGP-05-21-5974. PMID: 34590082.</w:t>
      </w:r>
    </w:p>
    <w:p w14:paraId="56EA57AE" w14:textId="77777777" w:rsidR="00511A73" w:rsidRPr="00DF7F6D" w:rsidRDefault="00511A73" w:rsidP="00ED652F">
      <w:pPr>
        <w:spacing w:line="240" w:lineRule="auto"/>
      </w:pPr>
      <w:r w:rsidRPr="00DF7F6D">
        <w:t xml:space="preserve">Guillaume M, Moal V, Delabaudiere C, Zuberbuhler F, Robic MA, Lannes A, Metivier S, Oberti F, Gourdy P, Fouchard-Hubert I, Selves J, Michalak S, Peron JM, Cales P, Bureau C, Boursier J. Direct comparison of the specialised blood fibrosis tests FibroMeterV2G and Enhanced Liver Fibrosis score in patients with non-alcoholic fatty liver disease from tertiary care centres. </w:t>
      </w:r>
      <w:r w:rsidRPr="00DF7F6D">
        <w:rPr>
          <w:i/>
          <w:iCs/>
        </w:rPr>
        <w:t>Aliment Pharmacol Ther.</w:t>
      </w:r>
      <w:r w:rsidRPr="00DF7F6D">
        <w:t xml:space="preserve"> 2019 Dec;50(11-12):1214-1222. doi: 10.1111/apt.15529. Epub 2019 Oct 15. PMID: 31617224. </w:t>
      </w:r>
    </w:p>
    <w:p w14:paraId="7FBA7139" w14:textId="77777777" w:rsidR="00F771EA" w:rsidRPr="00DF7F6D" w:rsidRDefault="00F771EA" w:rsidP="00ED652F">
      <w:pPr>
        <w:spacing w:line="240" w:lineRule="auto"/>
      </w:pPr>
      <w:r w:rsidRPr="00DF7F6D">
        <w:t xml:space="preserve">Hayward KL, McKillen BJ, Horsfall LU, McIvor C, Liew K, Sexton J, Johnson AL, Irvine KM, Valery PC, McPhail SM, Britton LJ, Rosenberg W, Weate I, Williams S, Powell EE. Towards collaborative management of non-alcoholic fatty liver disease: a 'real-world' pathway for fibrosis risk assessment in primary care. </w:t>
      </w:r>
      <w:r w:rsidRPr="00DF7F6D">
        <w:rPr>
          <w:i/>
          <w:iCs/>
        </w:rPr>
        <w:t>Intern Med J.</w:t>
      </w:r>
      <w:r w:rsidRPr="00DF7F6D">
        <w:t xml:space="preserve"> 2022 Oct;52(10):1749-1758. doi: 10.1111/imj.15422. Epub 2022 Jun 7. PMID: 34139066. </w:t>
      </w:r>
    </w:p>
    <w:p w14:paraId="0FDA321A" w14:textId="6C4A76BF" w:rsidR="00A2690B" w:rsidRPr="00DF7F6D" w:rsidRDefault="00A2690B" w:rsidP="00ED652F">
      <w:pPr>
        <w:spacing w:line="240" w:lineRule="auto"/>
      </w:pPr>
      <w:r w:rsidRPr="00DF7F6D">
        <w:t xml:space="preserve">Hossain N, Afendy A, Stepanova M, Nader F, Srishord M, Rafiq N, Goodman Z, Younossi Z. Independent predictors of fibrosis in patients with nonalcoholic fatty liver disease. </w:t>
      </w:r>
      <w:r w:rsidRPr="00DF7F6D">
        <w:rPr>
          <w:i/>
          <w:iCs/>
        </w:rPr>
        <w:t>Clin Gastroenterol Hepatol</w:t>
      </w:r>
      <w:r w:rsidRPr="00DF7F6D">
        <w:t>. 2009 Nov;7(11):1224-9, 1229.e1-2. doi: 10.1016/j.cgh.2009.06.007. Epub 2009 Jun 25. PMID: 19559819.</w:t>
      </w:r>
    </w:p>
    <w:p w14:paraId="6705F3C1" w14:textId="6FE8D9F7" w:rsidR="00ED652F" w:rsidRPr="00DF7F6D" w:rsidRDefault="00ED652F" w:rsidP="00ED652F">
      <w:pPr>
        <w:spacing w:line="240" w:lineRule="auto"/>
      </w:pPr>
      <w:r w:rsidRPr="00DF7F6D">
        <w:t xml:space="preserve">Kemp W, Clayton-Chubb D, Majeed A, Glenister KM, Magliano DJ, Lubel J, Bourke L, Simmons D, Roberts SK. Impact of renaming NAFLD to MAFLD in an Australian regional cohort: Results from a prospective population-based study. </w:t>
      </w:r>
      <w:r w:rsidRPr="00DF7F6D">
        <w:rPr>
          <w:i/>
          <w:iCs/>
        </w:rPr>
        <w:t>J Gastroenterol Hepatol.</w:t>
      </w:r>
      <w:r w:rsidRPr="00DF7F6D">
        <w:t xml:space="preserve"> 2022 Feb;37(2):395-403. doi: 10.1111/jgh.15723. Epub 2021 Nov 4. PMID: 34693553. </w:t>
      </w:r>
    </w:p>
    <w:p w14:paraId="79C51F3B" w14:textId="19C954D7" w:rsidR="0039446A" w:rsidRPr="00DF7F6D" w:rsidRDefault="0039446A" w:rsidP="00ED652F">
      <w:pPr>
        <w:spacing w:line="240" w:lineRule="auto"/>
      </w:pPr>
      <w:r w:rsidRPr="00DF7F6D">
        <w:t xml:space="preserve">Kemp W, Roberts S. FibroScan® and transient elastography. </w:t>
      </w:r>
      <w:r w:rsidRPr="00DF7F6D">
        <w:rPr>
          <w:i/>
          <w:iCs/>
        </w:rPr>
        <w:t>Aust Fam Physician.</w:t>
      </w:r>
      <w:r w:rsidRPr="00DF7F6D">
        <w:t xml:space="preserve"> 2013 Jul;42(7):468-71. PMID: 23826598.</w:t>
      </w:r>
    </w:p>
    <w:p w14:paraId="2A467B85" w14:textId="042E53BB" w:rsidR="00511A73" w:rsidRPr="00DF7F6D" w:rsidRDefault="00511A73" w:rsidP="00ED652F">
      <w:pPr>
        <w:spacing w:line="240" w:lineRule="auto"/>
      </w:pPr>
      <w:r w:rsidRPr="00DF7F6D">
        <w:t>Kjaergaard M, Lindvig KP, Thorhauge KH, Andersen P, Hansen JK, Kastrup N, Jensen JM, Hansen CD, Johansen S, Israelsen M, Torp N, Trelle MB, Shan S, Detlefsen S, Antonsen S, Andersen JE, Graupera I, Ginés P, Thiele M, Krag A. Using the ELF test, FIB-4 and NAFLD fibrosis score to screen the population for liver disease</w:t>
      </w:r>
      <w:r w:rsidRPr="00DF7F6D">
        <w:rPr>
          <w:i/>
          <w:iCs/>
        </w:rPr>
        <w:t>. J Hepatol</w:t>
      </w:r>
      <w:r w:rsidRPr="00DF7F6D">
        <w:t>. 2023 Aug;79(2):277-286. doi: 10.1016/j.jhep.2023.04.002. Epub 2023 Apr 21. PMID: 37088311.</w:t>
      </w:r>
    </w:p>
    <w:p w14:paraId="0863E65D" w14:textId="30F6BA7D" w:rsidR="001B0C01" w:rsidRPr="00DF7F6D" w:rsidRDefault="001B0C01" w:rsidP="00ED652F">
      <w:pPr>
        <w:spacing w:line="240" w:lineRule="auto"/>
      </w:pPr>
      <w:r w:rsidRPr="00DF7F6D">
        <w:t xml:space="preserve">Le MH, Yeo YH, Li X, Li J, Zou B, Wu Y, Ye Q, Huang DQ, Zhao C, Zhang J, Liu C, Chang N, Xing F, Yan S, Wan ZH, Tang NSY, Mayumi M, Liu X, Liu C, Rui F, Yang H, Yang Y, Jin R, Le RHX, Xu Y, Le DM, Barnett S, Stave CD, Cheung R, Zhu Q, Nguyen MH. 2019 Global NAFLD Prevalence: A Systematic Review and Meta-analysis. </w:t>
      </w:r>
      <w:r w:rsidRPr="00DF7F6D">
        <w:rPr>
          <w:i/>
          <w:iCs/>
        </w:rPr>
        <w:t>Clin Gastroenterol Hepatol.</w:t>
      </w:r>
      <w:r w:rsidRPr="00DF7F6D">
        <w:t xml:space="preserve"> 2022 Dec;20(12):2809-2817.e28. doi: 10.1016/j.cgh.2021.12.002. Epub 2021 Dec 7. PMID: 34890795. </w:t>
      </w:r>
    </w:p>
    <w:p w14:paraId="11A20AF1" w14:textId="53809F16" w:rsidR="00ED652F" w:rsidRPr="00DF7F6D" w:rsidRDefault="00ED652F" w:rsidP="00ED652F">
      <w:pPr>
        <w:spacing w:line="240" w:lineRule="auto"/>
      </w:pPr>
      <w:r w:rsidRPr="00DF7F6D">
        <w:t xml:space="preserve">Lim GEH, Tang A, Ng CH, Chin YH, Lim WH, Tan DJH, Yong JN, Xiao J, Lee CW, Chan M, Chew NW, Xuan Tan EX, Siddiqui MS, Huang D, Noureddin M, Sanyal AJ, Muthiah MD. An Observational Data Meta-analysis on the Differences in Prevalence and Risk Factors Between MAFLD vs NAFLD. </w:t>
      </w:r>
      <w:r w:rsidRPr="00DF7F6D">
        <w:rPr>
          <w:i/>
          <w:iCs/>
        </w:rPr>
        <w:t>Clin Gastroenterol Hepatol.</w:t>
      </w:r>
      <w:r w:rsidRPr="00DF7F6D">
        <w:t xml:space="preserve"> 2023 Mar;21(3):619-629.e7. doi: 10.1016/j.cgh.2021.11.038. Epub 2021 Dec 4. PMID: 34871813.</w:t>
      </w:r>
    </w:p>
    <w:p w14:paraId="034AC5A5" w14:textId="77777777" w:rsidR="00813E20" w:rsidRPr="00DF7F6D" w:rsidRDefault="00813E20" w:rsidP="00ED652F">
      <w:pPr>
        <w:spacing w:line="240" w:lineRule="auto"/>
      </w:pPr>
      <w:r w:rsidRPr="00DF7F6D">
        <w:t xml:space="preserve">Liu J, Ayada I, Zhang X, Wang L, Li Y, Wen T, Ma Z, Bruno MJ, de Knegt RJ, Cao W, Peppelenbosch MP, Ghanbari M, Li Z, Pan Q. Estimating Global Prevalence of Metabolic Dysfunction-Associated Fatty Liver Disease in Overweight or Obese Adults. </w:t>
      </w:r>
      <w:r w:rsidRPr="00DF7F6D">
        <w:rPr>
          <w:i/>
          <w:iCs/>
        </w:rPr>
        <w:t>Clin Gastroenterol Hepatol</w:t>
      </w:r>
      <w:r w:rsidRPr="00DF7F6D">
        <w:t>. 2022 Mar;20(3):e573-e582. doi: 10.1016/j.cgh.2021.02.030. Epub 2021 Feb 20. PMID: 33618024.</w:t>
      </w:r>
    </w:p>
    <w:p w14:paraId="0D92377D" w14:textId="13F6EF66" w:rsidR="00082FBF" w:rsidRPr="00DF7F6D" w:rsidRDefault="00243DF5" w:rsidP="00ED652F">
      <w:pPr>
        <w:spacing w:line="240" w:lineRule="auto"/>
      </w:pPr>
      <w:r w:rsidRPr="00DF7F6D">
        <w:lastRenderedPageBreak/>
        <w:t xml:space="preserve">Mózes FE, Lee JA, Selvaraj EA, Jayaswal ANA, Trauner M, Boursier J, Fournier C, Staufer K, Stauber RE, Bugianesi E, Younes R, Gaia S, Lupșor-Platon M, Petta S, Shima T, Okanoue T, Mahadeva S, Chan WK, Eddowes PJ, Hirschfield GM, Newsome PN, Wong VW, de Ledinghen V, Fan J, Shen F, Cobbold JF, Sumida Y, Okajima A, Schattenberg JM, Labenz C, Kim W, Lee MS, Wiegand J, Karlas T, Yılmaz Y, Aithal GP, Palaniyappan N, Cassinotto C, Aggarwal S, Garg H, Ooi GJ, Nakajima A, Yoneda M, Ziol M, Barget N, Geier A, Tuthill T, Brosnan MJ, Anstee QM, Neubauer S, Harrison SA, Bossuyt PM, Pavlides M; LITMUS Investigators. Diagnostic accuracy of non-invasive tests for advanced fibrosis in patients with NAFLD: an individual patient data meta-analysis. </w:t>
      </w:r>
      <w:r w:rsidRPr="00DF7F6D">
        <w:rPr>
          <w:i/>
          <w:iCs/>
        </w:rPr>
        <w:t>Gut.</w:t>
      </w:r>
      <w:r w:rsidRPr="00DF7F6D">
        <w:t xml:space="preserve"> 2022 May;71(5):1006-1019. doi: 10.1136/gutjnl-2021-324243. Epub 2021 May 17. PMID: 34001645; PMCID: PMC8995830.</w:t>
      </w:r>
    </w:p>
    <w:p w14:paraId="7A7322E5" w14:textId="0C06588B" w:rsidR="007861BA" w:rsidRPr="00DF7F6D" w:rsidRDefault="007861BA" w:rsidP="00ED652F">
      <w:pPr>
        <w:spacing w:line="240" w:lineRule="auto"/>
      </w:pPr>
      <w:r w:rsidRPr="00DF7F6D">
        <w:t xml:space="preserve">MSAC 1366 PSD. </w:t>
      </w:r>
      <w:hyperlink r:id="rId18" w:history="1">
        <w:r w:rsidRPr="00DF7F6D">
          <w:rPr>
            <w:rStyle w:val="Hyperlink"/>
            <w:rFonts w:ascii="Calibri" w:hAnsi="Calibri"/>
          </w:rPr>
          <w:t>https://www.msac.gov.au/sites/default/files/documents/FINAL%2520PSD%2520-%25201366%2520%2520Transient%2520Elastography%2520at%252050Hz-WebAccessible%2520%28D16-6680....pdf</w:t>
        </w:r>
      </w:hyperlink>
      <w:r w:rsidRPr="00DF7F6D">
        <w:t xml:space="preserve"> </w:t>
      </w:r>
    </w:p>
    <w:p w14:paraId="7F09C495" w14:textId="4DDE7328" w:rsidR="007861BA" w:rsidRPr="00DF7F6D" w:rsidRDefault="007861BA" w:rsidP="00ED652F">
      <w:pPr>
        <w:spacing w:line="240" w:lineRule="auto"/>
      </w:pPr>
      <w:r w:rsidRPr="00DF7F6D">
        <w:t xml:space="preserve">MSAC 1446 PSD. </w:t>
      </w:r>
      <w:hyperlink r:id="rId19" w:history="1">
        <w:r w:rsidRPr="00DF7F6D">
          <w:rPr>
            <w:rStyle w:val="Hyperlink"/>
            <w:rFonts w:ascii="Calibri" w:hAnsi="Calibri"/>
          </w:rPr>
          <w:t>https://www.msac.gov.au/sites/default/files/documents/1446%2520Final%2520PSD_Nov2020_redacted.pdf</w:t>
        </w:r>
      </w:hyperlink>
      <w:r w:rsidRPr="00DF7F6D">
        <w:t xml:space="preserve"> </w:t>
      </w:r>
    </w:p>
    <w:p w14:paraId="34CADA3D" w14:textId="6B072E90" w:rsidR="00A2690B" w:rsidRPr="00DF7F6D" w:rsidRDefault="00A2690B" w:rsidP="00ED652F">
      <w:pPr>
        <w:spacing w:line="240" w:lineRule="auto"/>
      </w:pPr>
      <w:r w:rsidRPr="00DF7F6D">
        <w:t xml:space="preserve">Noureddin M, Yates KP, Vaughn IA, Neuschwander-Tetri BA, Sanyal AJ, McCullough A, Merriman R, Hameed B, Doo E, Kleiner DE, Behling C, Loomba R; NASH CRN. Clinical and histological determinants of nonalcoholic steatohepatitis and advanced fibrosis in elderly patients. </w:t>
      </w:r>
      <w:r w:rsidRPr="00DF7F6D">
        <w:rPr>
          <w:i/>
          <w:iCs/>
        </w:rPr>
        <w:t>Hepatology.</w:t>
      </w:r>
      <w:r w:rsidRPr="00DF7F6D">
        <w:t xml:space="preserve"> 2013 Nov;58(5):1644-54. doi: 10.1002/hep.26465. Epub 2013 Oct 2. PMID: 23686698; PMCID: PMC3760979.</w:t>
      </w:r>
    </w:p>
    <w:p w14:paraId="17F74A22" w14:textId="04E3BB2B" w:rsidR="004C54C2" w:rsidRPr="00DF7F6D" w:rsidRDefault="004C54C2" w:rsidP="00ED652F">
      <w:pPr>
        <w:spacing w:line="240" w:lineRule="auto"/>
      </w:pPr>
      <w:r w:rsidRPr="00DF7F6D">
        <w:t xml:space="preserve">Patel PJ, Banh X, Horsfall LU, Hayward KL, Hossain F, Johnson T, Stuart KA, Brown NN, Saad N, Clouston A, Irvine KM, Russell AW, Valery PC, Williams S, Powell EE. Underappreciation of non-alcoholic fatty liver disease by primary care clinicians: limited awareness of surrogate markers of fibrosis. </w:t>
      </w:r>
      <w:r w:rsidRPr="00DF7F6D">
        <w:rPr>
          <w:i/>
          <w:iCs/>
        </w:rPr>
        <w:t>Intern Med J</w:t>
      </w:r>
      <w:r w:rsidRPr="00DF7F6D">
        <w:t xml:space="preserve">. 2018a Feb;48(2):144-151. doi: 10.1111/imj.13667. PMID: 29083080. </w:t>
      </w:r>
    </w:p>
    <w:p w14:paraId="36C41676" w14:textId="460F2CDD" w:rsidR="001305BF" w:rsidRPr="00DF7F6D" w:rsidRDefault="001305BF" w:rsidP="00ED652F">
      <w:pPr>
        <w:spacing w:line="240" w:lineRule="auto"/>
      </w:pPr>
      <w:r w:rsidRPr="00DF7F6D">
        <w:t xml:space="preserve">Patel P, Hossain F, Horsfall LU, Banh X, Hayward KL, Williams S, Johnson T, Bernard A, Brown NN, Lampe G, Buck L, Saad N, Russell AW, Valery PC, Irvine KM, Clouston AD, Stuart KA, Rosenberg W, Powell EE. A Pragmatic Approach Identifies a High Rate of Nonalcoholic Fatty Liver Disease With Advanced Fibrosis in Diabetes Clinics and At-Risk Populations in Primary Care. </w:t>
      </w:r>
      <w:r w:rsidRPr="00DF7F6D">
        <w:rPr>
          <w:i/>
          <w:iCs/>
        </w:rPr>
        <w:t>Hepatol Commun.</w:t>
      </w:r>
      <w:r w:rsidRPr="00DF7F6D">
        <w:t xml:space="preserve"> 2018</w:t>
      </w:r>
      <w:r w:rsidR="004C54C2" w:rsidRPr="00DF7F6D">
        <w:t>b</w:t>
      </w:r>
      <w:r w:rsidRPr="00DF7F6D">
        <w:t xml:space="preserve"> Aug 6;2(8):893-905. doi: 10.1002/hep4.1208. PMID: 30094401; PMCID: PMC6078214.</w:t>
      </w:r>
    </w:p>
    <w:p w14:paraId="20F30520" w14:textId="77777777" w:rsidR="005A2106" w:rsidRPr="00DF7F6D" w:rsidRDefault="005A2106" w:rsidP="00ED652F">
      <w:pPr>
        <w:spacing w:line="240" w:lineRule="auto"/>
      </w:pPr>
      <w:r w:rsidRPr="00DF7F6D">
        <w:t xml:space="preserve">Pearson M, Nobes J, Macpherson I, Gold L, Miller M, Dow E, Dillon JF. Enhanced liver fibrosis (ELF) score predicts hepatic decompensation and mortality. </w:t>
      </w:r>
      <w:r w:rsidRPr="00DF7F6D">
        <w:rPr>
          <w:i/>
          <w:iCs/>
        </w:rPr>
        <w:t>JHEP Rep</w:t>
      </w:r>
      <w:r w:rsidRPr="00DF7F6D">
        <w:t xml:space="preserve">. 2024 Mar 11;6(6):101062. doi: 10.1016/j.jhepr.2024.101062. PMID: 38826498; PMCID: PMC11141136. </w:t>
      </w:r>
    </w:p>
    <w:p w14:paraId="06066958" w14:textId="4E2C9F95" w:rsidR="006553CB" w:rsidRPr="00DF7F6D" w:rsidRDefault="006553CB" w:rsidP="00ED652F">
      <w:pPr>
        <w:spacing w:line="240" w:lineRule="auto"/>
      </w:pPr>
      <w:r w:rsidRPr="00DF7F6D">
        <w:t xml:space="preserve">Petroff D, Blank V, Newsome PN, Shalimar, Voican CS, Thiele M, de Lédinghen V, Baumeler S, Chan WK, Perlemuter G, Cardoso AC, Aggarwal S, Sasso M, Eddowes PJ, Allison M, Tsochatzis E, Anstee QM, Sheridan D, Cobbold JF, Naveau S, Lupsor-Platon M, Mueller S, Krag A, Irles-Depe M, Semela D, Wong GL, Wong VW, Villela-Nogueira CA, Garg H, Chazouillères O, Wiegand J, Karlas T. Assessment of hepatic steatosis by controlled attenuation parameter using the M and XL probes: an individual patient data meta-analysis. </w:t>
      </w:r>
      <w:r w:rsidRPr="00DF7F6D">
        <w:rPr>
          <w:i/>
          <w:iCs/>
        </w:rPr>
        <w:t>Lancet Gastroenterol Hepatol</w:t>
      </w:r>
      <w:r w:rsidRPr="00DF7F6D">
        <w:t>. 2021 Mar;6(3):185-198. doi: 10.1016/S2468-1253(20)30357-5. Epub 2021 Jan 16. PMID: 33460567.</w:t>
      </w:r>
    </w:p>
    <w:p w14:paraId="1928A6E0" w14:textId="77777777" w:rsidR="002B03D8" w:rsidRPr="00DF7F6D" w:rsidRDefault="002B03D8" w:rsidP="00ED652F">
      <w:pPr>
        <w:spacing w:line="240" w:lineRule="auto"/>
      </w:pPr>
      <w:r w:rsidRPr="00DF7F6D">
        <w:t xml:space="preserve">Rinella ME, Neuschwander-Tetri BA, Siddiqui MS, Abdelmalek MF, Caldwell S, Barb D, Kleiner DE, Loomba R. AASLD Practice Guidance on the clinical assessment and management of nonalcoholic fatty liver disease. </w:t>
      </w:r>
      <w:r w:rsidRPr="00DF7F6D">
        <w:rPr>
          <w:i/>
          <w:iCs/>
        </w:rPr>
        <w:t>Hepatology</w:t>
      </w:r>
      <w:r w:rsidRPr="00DF7F6D">
        <w:t xml:space="preserve">. 2023 May 1;77(5):1797-1835. doi: 10.1097/HEP.0000000000000323. Epub 2023 Mar 17. PMID: 36727674; PMCID: PMC10735173. </w:t>
      </w:r>
    </w:p>
    <w:p w14:paraId="7BCF768F" w14:textId="77777777" w:rsidR="00B47375" w:rsidRPr="00DF7F6D" w:rsidRDefault="00B47375" w:rsidP="00ED652F">
      <w:pPr>
        <w:spacing w:line="240" w:lineRule="auto"/>
      </w:pPr>
      <w:r w:rsidRPr="00DF7F6D">
        <w:t>Tulleners R, Barnett A, O'Beirne J, Powell E, Hickman IJ, Valery PC, Kularatna S, Stuart K, McIvor C, Witness E, Aikebuse M, Brain D. Parallel randomised trial testing community fibrosis assessment for suspected non-</w:t>
      </w:r>
      <w:r w:rsidRPr="00DF7F6D">
        <w:lastRenderedPageBreak/>
        <w:t xml:space="preserve">alcoholic fatty liver disease: outcomes from LOCATE-NAFLD. </w:t>
      </w:r>
      <w:r w:rsidRPr="00DF7F6D">
        <w:rPr>
          <w:i/>
          <w:iCs/>
        </w:rPr>
        <w:t>BMJ Open Gastroenterol</w:t>
      </w:r>
      <w:r w:rsidRPr="00DF7F6D">
        <w:t>. 2024 Dec 20;11(1):e001418. doi: 10.1136/bmjgast-2024-001418. PMID: 39797660; PMCID: PMC11664381.</w:t>
      </w:r>
    </w:p>
    <w:p w14:paraId="3FADF617" w14:textId="299268AE" w:rsidR="00842773" w:rsidRPr="00DF7F6D" w:rsidRDefault="00842773" w:rsidP="00ED652F">
      <w:pPr>
        <w:spacing w:line="240" w:lineRule="auto"/>
      </w:pPr>
      <w:r w:rsidRPr="00DF7F6D">
        <w:t>Vancells Lujan P, Viñas Esmel E, Sacanella Meseguer E. Overview of Non-Alcoholic Fatty Liver Disease (NAFLD) and the Role of Sugary Food Consumption and Other Dietary Components in Its Development. Nutrients. 2021 Apr 24;13(5):1442. doi: 10.3390/nu13051442. PMID: 33923255; PMCID: PMC8145877.</w:t>
      </w:r>
    </w:p>
    <w:p w14:paraId="7927875F" w14:textId="30886675" w:rsidR="00AD3C89" w:rsidRPr="00DF7F6D" w:rsidRDefault="00AD3C89" w:rsidP="00ED652F">
      <w:pPr>
        <w:spacing w:line="240" w:lineRule="auto"/>
      </w:pPr>
      <w:r w:rsidRPr="00DF7F6D">
        <w:t xml:space="preserve">Vali Y, Lee J, Boursier J, Petta S, Wonders K, Tiniakos D, Bedossa P, Geier A, Francque S, Allison M, Papatheodoridis G, Cortez-Pinto H, Pais R, Dufour JF, Leeming DJ, Harrison SA, Chen Y, Cobbold JF, Pavlides M, Holleboom AG, Yki-Jarvinen H, Crespo J, Karsdal M, Ostroff R, Zafarmand MH, Torstenson R, Duffin K, Yunis C, Brass C, Ekstedt M, Aithal GP, Schattenberg JM, Bugianesi E, Romero-Gomez M, Ratziu V, Anstee QM, Bossuyt PM; Liver Investigation: Testing Marker Utility in Steatohepatitis (LITMUS) consortium investigators. Biomarkers for staging fibrosis and non-alcoholic steatohepatitis in non-alcoholic fatty liver disease (the LITMUS project): a comparative diagnostic accuracy study. </w:t>
      </w:r>
      <w:r w:rsidRPr="00DF7F6D">
        <w:rPr>
          <w:i/>
          <w:iCs/>
        </w:rPr>
        <w:t>Lancet Gastroenterol Hepatol</w:t>
      </w:r>
      <w:r w:rsidRPr="00DF7F6D">
        <w:t xml:space="preserve">. 2023 Aug;8(8):714-725. doi: 10.1016/S2468-1253(23)00017-1. Epub 2023 Mar 21. PMID: 36958367. </w:t>
      </w:r>
    </w:p>
    <w:p w14:paraId="343EB7AA" w14:textId="0DF9BA61" w:rsidR="00AD3C89" w:rsidRPr="00DF7F6D" w:rsidRDefault="00AD3C89" w:rsidP="00ED652F">
      <w:pPr>
        <w:spacing w:line="240" w:lineRule="auto"/>
      </w:pPr>
      <w:r w:rsidRPr="00DF7F6D">
        <w:t>Vali Y, Lee J, Boursier J, Spijker R, Löffler J, Verheij J, Brosnan MJ, Böcskei Z, Anstee QM, Bossuyt PM, Zafarmand MH; LITMUS systematic review team(†). Enhanced liver fibrosis test for the non-invasive diagnosis of fibrosis in patients with NAFLD: A systematic review and meta-analysis</w:t>
      </w:r>
      <w:r w:rsidRPr="00DF7F6D">
        <w:rPr>
          <w:i/>
          <w:iCs/>
        </w:rPr>
        <w:t>. J Hepatol.</w:t>
      </w:r>
      <w:r w:rsidRPr="00DF7F6D">
        <w:t xml:space="preserve"> 2020 Aug;73(2):252-262. doi: 10.1016/j.jhep.2020.03.036. Epub 2020 Apr 8. PMID: 32275982.</w:t>
      </w:r>
    </w:p>
    <w:p w14:paraId="264CB81D" w14:textId="320EB44C" w:rsidR="002B1DAB" w:rsidRPr="00DF7F6D" w:rsidRDefault="002B1DAB" w:rsidP="00ED652F">
      <w:pPr>
        <w:spacing w:line="240" w:lineRule="auto"/>
      </w:pPr>
      <w:r w:rsidRPr="00DF7F6D">
        <w:t xml:space="preserve">Vaz K, Clayton-Chubb D, Majeed A, Lubel J, Simmons D, Kemp W, Roberts SK. Current understanding and future perspectives on the impact of changing NAFLD to MAFLD on global epidemiology and clinical outcomes. </w:t>
      </w:r>
      <w:r w:rsidRPr="00DF7F6D">
        <w:rPr>
          <w:i/>
          <w:iCs/>
        </w:rPr>
        <w:t>Hepatol Int.</w:t>
      </w:r>
      <w:r w:rsidRPr="00DF7F6D">
        <w:t xml:space="preserve"> 2023</w:t>
      </w:r>
      <w:r w:rsidR="001305BF" w:rsidRPr="00DF7F6D">
        <w:t>a</w:t>
      </w:r>
      <w:r w:rsidRPr="00DF7F6D">
        <w:t xml:space="preserve"> Oct;17(5):1082-1097. doi: 10.1007/s12072-023-10568-z. Epub 2023 Aug 9. PMID: 37556065; PMCID: PMC10522780.</w:t>
      </w:r>
    </w:p>
    <w:p w14:paraId="0FB99C97" w14:textId="1C9D6D61" w:rsidR="001305BF" w:rsidRPr="00DF7F6D" w:rsidRDefault="001305BF" w:rsidP="00ED652F">
      <w:pPr>
        <w:spacing w:line="240" w:lineRule="auto"/>
      </w:pPr>
      <w:r w:rsidRPr="00DF7F6D">
        <w:t xml:space="preserve">Vaz K, Kemp W, Majeed A, Lubel J, Magliano DJ, Glenister KM, Bourke L, Simmons D, Roberts SK. Non-alcoholic fatty liver disease prevalence in Australia has risen over 15 years in conjunction with increased prevalence of obesity and reduction in healthy lifestyle. </w:t>
      </w:r>
      <w:r w:rsidRPr="00DF7F6D">
        <w:rPr>
          <w:i/>
          <w:iCs/>
        </w:rPr>
        <w:t>J Gastroenterol Hepatol</w:t>
      </w:r>
      <w:r w:rsidRPr="00DF7F6D">
        <w:t>. 2023b Oct;38(10):1823-1831. doi: 10.1111/jgh.16314. Epub 2023</w:t>
      </w:r>
      <w:r w:rsidR="005D4DF2" w:rsidRPr="00DF7F6D">
        <w:t>b</w:t>
      </w:r>
      <w:r w:rsidRPr="00DF7F6D">
        <w:t xml:space="preserve"> Aug 12. PMID: 37571988; PMCID: PMC10946623.</w:t>
      </w:r>
    </w:p>
    <w:p w14:paraId="38781362" w14:textId="010FF444" w:rsidR="00842773" w:rsidRPr="00DF7F6D" w:rsidRDefault="00842773" w:rsidP="00ED652F">
      <w:pPr>
        <w:spacing w:line="240" w:lineRule="auto"/>
      </w:pPr>
      <w:r w:rsidRPr="00DF7F6D">
        <w:t xml:space="preserve">Vilar-Gomez E, Calzadilla-Bertot L, Wai-Sun Wong V, Castellanos M, Aller-de la Fuente R, Metwally M, Eslam M, Gonzalez-Fabian L, Alvarez-Quiñones Sanz M, Conde-Martin AF, De Boer B, McLeod D, Hung Chan AW, Chalasani N, George J, Adams LA, Romero-Gomez M. Fibrosis Severity as a Determinant of Cause-Specific Mortality in Patients With Advanced Nonalcoholic Fatty Liver Disease: A Multi-National Cohort Study. </w:t>
      </w:r>
      <w:r w:rsidRPr="00DF7F6D">
        <w:rPr>
          <w:i/>
          <w:iCs/>
        </w:rPr>
        <w:t>Gastroenterology.</w:t>
      </w:r>
      <w:r w:rsidRPr="00DF7F6D">
        <w:t xml:space="preserve"> 2018 Aug;155(2):443-457.e17. doi: 10.1053/j.gastro.2018.04.034. Epub 2018 May 5. PMID: 29733831.</w:t>
      </w:r>
    </w:p>
    <w:p w14:paraId="2ACB494F" w14:textId="77777777" w:rsidR="00B40AA2" w:rsidRPr="00DF7F6D" w:rsidRDefault="00B40AA2" w:rsidP="00ED652F">
      <w:pPr>
        <w:spacing w:line="240" w:lineRule="auto"/>
      </w:pPr>
      <w:r w:rsidRPr="00DF7F6D">
        <w:t xml:space="preserve">Vuppalanchi R, Siddiqui MS, Van Natta ML, Hallinan E, Brandman D, Kowdley K, Neuschwander-Tetri BA, Loomba R, Dasarathy S, Abdelmalek M, Doo E, Tonascia JA, Kleiner DE, Sanyal AJ, Chalasani N; NASH Clinical Research Network. Performance characteristics of vibration-controlled transient elastography for evaluation of nonalcoholic fatty liver disease. </w:t>
      </w:r>
      <w:r w:rsidRPr="00DF7F6D">
        <w:rPr>
          <w:i/>
          <w:iCs/>
        </w:rPr>
        <w:t>Hepatology.</w:t>
      </w:r>
      <w:r w:rsidRPr="00DF7F6D">
        <w:t xml:space="preserve"> 2018 Jan;67(1):134-144. doi: 10.1002/hep.29489. Epub 2017 Nov 29. PMID: 28859228; PMCID: PMC5739967. </w:t>
      </w:r>
    </w:p>
    <w:p w14:paraId="1CE18497" w14:textId="4455CDF7" w:rsidR="008F7C37" w:rsidRPr="00DF7F6D" w:rsidRDefault="008F7C37" w:rsidP="00ED652F">
      <w:pPr>
        <w:spacing w:line="240" w:lineRule="auto"/>
      </w:pPr>
      <w:r w:rsidRPr="00DF7F6D">
        <w:t>Wang XM, Zhang XJ, Ma L. Diagnostic performance of magnetic resonance technology in detecting steatosis or fibrosis in patients with nonalcoholic fatty liver disease: A meta-analysis. Medicine (Baltimore). 2018 May;97(21):e10605. doi: 10.1097/MD.0000000000010605. PMID: 29794735; PMCID: PMC6392510.</w:t>
      </w:r>
    </w:p>
    <w:p w14:paraId="510ED72D" w14:textId="13180E19" w:rsidR="001B0C01" w:rsidRPr="00DF7F6D" w:rsidRDefault="001B0C01" w:rsidP="00ED652F">
      <w:pPr>
        <w:spacing w:line="240" w:lineRule="auto"/>
      </w:pPr>
      <w:r w:rsidRPr="00DF7F6D">
        <w:t xml:space="preserve">Younossi ZM, Golabi P, Paik JM, Henry A, Van Dongen C, Henry L. The global epidemiology of nonalcoholic fatty liver disease (NAFLD) and nonalcoholic steatohepatitis (NASH): a systematic review. </w:t>
      </w:r>
      <w:r w:rsidRPr="00DF7F6D">
        <w:rPr>
          <w:i/>
          <w:iCs/>
        </w:rPr>
        <w:t>Hepatology</w:t>
      </w:r>
      <w:r w:rsidRPr="00DF7F6D">
        <w:t>. 2023 Apr 1;77(4):1335-1347. doi: 10.1097/HEP.0000000000000004. Epub 2023 Jan 3. PMID: 36626630; PMCID: PMC10026948.</w:t>
      </w:r>
    </w:p>
    <w:p w14:paraId="75AC806D" w14:textId="196C5486" w:rsidR="007D1376" w:rsidRPr="00DF7F6D" w:rsidRDefault="006000BC" w:rsidP="00ED652F">
      <w:pPr>
        <w:spacing w:line="240" w:lineRule="auto"/>
      </w:pPr>
      <w:r w:rsidRPr="00DF7F6D">
        <w:lastRenderedPageBreak/>
        <w:t xml:space="preserve">Younossi ZM, Koenig AB, Abdelatif D, Fazel Y, Henry L, Wymer M. Global epidemiology of nonalcoholic fatty liver disease-Meta-analytic assessment of prevalence, incidence, and outcomes. </w:t>
      </w:r>
      <w:r w:rsidRPr="00DF7F6D">
        <w:rPr>
          <w:i/>
          <w:iCs/>
        </w:rPr>
        <w:t>Hepatology</w:t>
      </w:r>
      <w:r w:rsidRPr="00DF7F6D">
        <w:t>. 2016 Jul;64(1):73-84. doi: 10.1002/hep.28431. Epub 2016 Feb 22. PMID: 26707365.</w:t>
      </w:r>
    </w:p>
    <w:p w14:paraId="6BF35A9D" w14:textId="77777777" w:rsidR="007D1376" w:rsidRPr="00DF7F6D" w:rsidRDefault="007D1376">
      <w:pPr>
        <w:spacing w:after="160" w:line="259" w:lineRule="auto"/>
        <w:rPr>
          <w:color w:val="C00000"/>
        </w:rPr>
      </w:pPr>
      <w:r w:rsidRPr="00DF7F6D">
        <w:rPr>
          <w:color w:val="C00000"/>
        </w:rPr>
        <w:br w:type="page"/>
      </w:r>
    </w:p>
    <w:p w14:paraId="16B0D872" w14:textId="507D3824" w:rsidR="006000BC" w:rsidRDefault="007D1376" w:rsidP="007D1376">
      <w:pPr>
        <w:pStyle w:val="Heading2"/>
      </w:pPr>
      <w:r>
        <w:lastRenderedPageBreak/>
        <w:t>Attachment 1</w:t>
      </w:r>
    </w:p>
    <w:p w14:paraId="29ABA33F" w14:textId="0E396572" w:rsidR="00F7240C" w:rsidRDefault="007D1376" w:rsidP="003910C7">
      <w:pPr>
        <w:pStyle w:val="Caption"/>
        <w:jc w:val="both"/>
      </w:pPr>
      <w:bookmarkStart w:id="19" w:name="_Ref193076945"/>
      <w:r>
        <w:t xml:space="preserve">Table </w:t>
      </w:r>
      <w:bookmarkEnd w:id="19"/>
      <w:r w:rsidR="00CF00E1">
        <w:t>10</w:t>
      </w:r>
      <w:r>
        <w:tab/>
      </w:r>
      <w:r w:rsidR="00F7240C">
        <w:t>GESA r</w:t>
      </w:r>
      <w:r w:rsidR="00F7240C" w:rsidRPr="00F7240C">
        <w:t>ecommendations for the assessment of MAFLD in primary care</w:t>
      </w:r>
    </w:p>
    <w:tbl>
      <w:tblPr>
        <w:tblStyle w:val="TableGrid"/>
        <w:tblW w:w="0" w:type="auto"/>
        <w:tblInd w:w="0" w:type="dxa"/>
        <w:tblLook w:val="04A0" w:firstRow="1" w:lastRow="0" w:firstColumn="1" w:lastColumn="0" w:noHBand="0" w:noVBand="1"/>
        <w:tblCaption w:val="GESA recommendations for the assessment of MAFLD in primary care"/>
        <w:tblDescription w:val="GESA recommendations for the assessment of MAFLD in primary care"/>
      </w:tblPr>
      <w:tblGrid>
        <w:gridCol w:w="704"/>
        <w:gridCol w:w="8867"/>
      </w:tblGrid>
      <w:tr w:rsidR="00F7240C" w:rsidRPr="005C67C7" w14:paraId="139AE2C2" w14:textId="77777777" w:rsidTr="005C67C7">
        <w:trPr>
          <w:tblHeader/>
        </w:trPr>
        <w:tc>
          <w:tcPr>
            <w:tcW w:w="704" w:type="dxa"/>
          </w:tcPr>
          <w:p w14:paraId="526D25AB" w14:textId="7AEB0DA1" w:rsidR="00F7240C" w:rsidRPr="005C67C7" w:rsidRDefault="00F7240C"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No</w:t>
            </w:r>
          </w:p>
        </w:tc>
        <w:tc>
          <w:tcPr>
            <w:tcW w:w="8867" w:type="dxa"/>
          </w:tcPr>
          <w:p w14:paraId="404AE0B2" w14:textId="79A47DD6" w:rsidR="00F7240C" w:rsidRPr="005C67C7" w:rsidRDefault="00F7240C"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Recommendation</w:t>
            </w:r>
          </w:p>
        </w:tc>
      </w:tr>
      <w:tr w:rsidR="00F7240C" w:rsidRPr="005C67C7" w14:paraId="1FB3D9FC" w14:textId="77777777" w:rsidTr="005C67C7">
        <w:tc>
          <w:tcPr>
            <w:tcW w:w="704" w:type="dxa"/>
            <w:tcBorders>
              <w:right w:val="nil"/>
            </w:tcBorders>
          </w:tcPr>
          <w:p w14:paraId="37F9FB01" w14:textId="77777777" w:rsidR="00F7240C" w:rsidRPr="005C67C7" w:rsidRDefault="00F7240C" w:rsidP="005C67C7">
            <w:pPr>
              <w:spacing w:before="40" w:after="40" w:line="240" w:lineRule="auto"/>
              <w:rPr>
                <w:rFonts w:ascii="Arial Narrow" w:hAnsi="Arial Narrow"/>
                <w:b/>
                <w:bCs/>
                <w:sz w:val="20"/>
                <w:szCs w:val="20"/>
                <w:lang w:val="en-GB" w:eastAsia="ja-JP"/>
              </w:rPr>
            </w:pPr>
          </w:p>
        </w:tc>
        <w:tc>
          <w:tcPr>
            <w:tcW w:w="8867" w:type="dxa"/>
            <w:tcBorders>
              <w:left w:val="nil"/>
            </w:tcBorders>
          </w:tcPr>
          <w:p w14:paraId="0C1F16A1" w14:textId="754384F9" w:rsidR="00F7240C" w:rsidRPr="005C67C7" w:rsidRDefault="00F7240C"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Who should be assessed for MAFLD?</w:t>
            </w:r>
          </w:p>
        </w:tc>
      </w:tr>
      <w:tr w:rsidR="00F7240C" w:rsidRPr="005C67C7" w14:paraId="7433D31E" w14:textId="77777777" w:rsidTr="005C67C7">
        <w:tc>
          <w:tcPr>
            <w:tcW w:w="704" w:type="dxa"/>
          </w:tcPr>
          <w:p w14:paraId="51BE5490" w14:textId="7ABDDC31" w:rsidR="00F7240C" w:rsidRPr="005C67C7" w:rsidRDefault="00F7240C"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w:t>
            </w:r>
          </w:p>
        </w:tc>
        <w:tc>
          <w:tcPr>
            <w:tcW w:w="8867" w:type="dxa"/>
          </w:tcPr>
          <w:p w14:paraId="0DBF051D" w14:textId="0C30B5EF" w:rsidR="00F7240C" w:rsidRPr="005C67C7" w:rsidRDefault="00F7240C" w:rsidP="005C67C7">
            <w:pPr>
              <w:spacing w:before="40" w:after="40" w:line="240" w:lineRule="auto"/>
              <w:rPr>
                <w:rFonts w:ascii="Arial Narrow" w:hAnsi="Arial Narrow"/>
                <w:sz w:val="20"/>
                <w:szCs w:val="20"/>
                <w:lang w:val="en-GB" w:eastAsia="ja-JP"/>
              </w:rPr>
            </w:pPr>
            <w:r w:rsidRPr="00F7240C">
              <w:rPr>
                <w:rFonts w:ascii="Arial Narrow" w:hAnsi="Arial Narrow"/>
                <w:sz w:val="20"/>
                <w:szCs w:val="20"/>
                <w:lang w:val="en-GB" w:eastAsia="ja-JP"/>
              </w:rPr>
              <w:t>Adults with obesity and/or type 2 diabetes mellitus, or two or more metabolic risk factors* should be assessed for MAFLD (Evidence quality: Low; Grade of recommendation: Strong)</w:t>
            </w:r>
          </w:p>
        </w:tc>
      </w:tr>
      <w:tr w:rsidR="00F7240C" w:rsidRPr="005C67C7" w14:paraId="3A0049A3" w14:textId="77777777" w:rsidTr="005C67C7">
        <w:tc>
          <w:tcPr>
            <w:tcW w:w="704" w:type="dxa"/>
            <w:tcBorders>
              <w:right w:val="nil"/>
            </w:tcBorders>
          </w:tcPr>
          <w:p w14:paraId="03371ED6" w14:textId="77777777" w:rsidR="00F7240C" w:rsidRPr="005C67C7" w:rsidRDefault="00F7240C" w:rsidP="005C67C7">
            <w:pPr>
              <w:spacing w:before="40" w:after="40" w:line="240" w:lineRule="auto"/>
              <w:rPr>
                <w:rFonts w:ascii="Arial Narrow" w:hAnsi="Arial Narrow"/>
                <w:sz w:val="20"/>
                <w:szCs w:val="20"/>
                <w:lang w:val="en-GB" w:eastAsia="ja-JP"/>
              </w:rPr>
            </w:pPr>
          </w:p>
        </w:tc>
        <w:tc>
          <w:tcPr>
            <w:tcW w:w="8867" w:type="dxa"/>
            <w:tcBorders>
              <w:left w:val="nil"/>
            </w:tcBorders>
          </w:tcPr>
          <w:p w14:paraId="74A6B1CF" w14:textId="1ECC364F" w:rsidR="00F7240C" w:rsidRPr="005C67C7" w:rsidRDefault="00F7240C"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How should MAFLD be diagnosed?</w:t>
            </w:r>
          </w:p>
        </w:tc>
      </w:tr>
      <w:tr w:rsidR="00F7240C" w:rsidRPr="005C67C7" w14:paraId="224B0E37" w14:textId="77777777" w:rsidTr="005C67C7">
        <w:tc>
          <w:tcPr>
            <w:tcW w:w="704" w:type="dxa"/>
          </w:tcPr>
          <w:p w14:paraId="3815D14D" w14:textId="18113BBB" w:rsidR="00F7240C" w:rsidRPr="005C67C7" w:rsidRDefault="00F7240C"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2</w:t>
            </w:r>
          </w:p>
        </w:tc>
        <w:tc>
          <w:tcPr>
            <w:tcW w:w="8867" w:type="dxa"/>
          </w:tcPr>
          <w:p w14:paraId="380B3DB5" w14:textId="173C5585" w:rsidR="00F7240C" w:rsidRPr="005C67C7" w:rsidRDefault="00F7240C" w:rsidP="005C67C7">
            <w:pPr>
              <w:spacing w:before="40" w:after="40" w:line="240" w:lineRule="auto"/>
              <w:rPr>
                <w:rFonts w:ascii="Arial Narrow" w:hAnsi="Arial Narrow"/>
                <w:sz w:val="20"/>
                <w:szCs w:val="20"/>
                <w:lang w:val="en-GB" w:eastAsia="ja-JP"/>
              </w:rPr>
            </w:pPr>
            <w:r w:rsidRPr="00F7240C">
              <w:rPr>
                <w:rFonts w:ascii="Arial Narrow" w:hAnsi="Arial Narrow"/>
                <w:sz w:val="20"/>
                <w:szCs w:val="20"/>
                <w:lang w:val="en-GB" w:eastAsia="ja-JP"/>
              </w:rPr>
              <w:t>Liver ultrasound should be the first-line test to diagnose hepatic steatosis in people at high risk of MAFLD. (Evidence quality: Moderate; Grade of recommendation: Strong)</w:t>
            </w:r>
          </w:p>
        </w:tc>
      </w:tr>
      <w:tr w:rsidR="00F7240C" w:rsidRPr="005C67C7" w14:paraId="56DE716A" w14:textId="77777777" w:rsidTr="005C67C7">
        <w:tc>
          <w:tcPr>
            <w:tcW w:w="704" w:type="dxa"/>
            <w:tcBorders>
              <w:right w:val="nil"/>
            </w:tcBorders>
          </w:tcPr>
          <w:p w14:paraId="346D1611" w14:textId="77777777" w:rsidR="00F7240C" w:rsidRPr="005C67C7" w:rsidRDefault="00F7240C" w:rsidP="005C67C7">
            <w:pPr>
              <w:spacing w:before="40" w:after="40" w:line="240" w:lineRule="auto"/>
              <w:rPr>
                <w:rFonts w:ascii="Arial Narrow" w:hAnsi="Arial Narrow"/>
                <w:sz w:val="20"/>
                <w:szCs w:val="20"/>
                <w:lang w:val="en-GB" w:eastAsia="ja-JP"/>
              </w:rPr>
            </w:pPr>
          </w:p>
        </w:tc>
        <w:tc>
          <w:tcPr>
            <w:tcW w:w="8867" w:type="dxa"/>
            <w:tcBorders>
              <w:left w:val="nil"/>
            </w:tcBorders>
          </w:tcPr>
          <w:p w14:paraId="57F46BF5" w14:textId="20139850" w:rsidR="00F7240C" w:rsidRPr="005C67C7" w:rsidRDefault="00F7240C"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What co-morbid conditions should be assessed in people with MAFLD?</w:t>
            </w:r>
          </w:p>
        </w:tc>
      </w:tr>
      <w:tr w:rsidR="00F7240C" w:rsidRPr="00F7240C" w14:paraId="551FB42A" w14:textId="77777777" w:rsidTr="00F7240C">
        <w:tc>
          <w:tcPr>
            <w:tcW w:w="704" w:type="dxa"/>
          </w:tcPr>
          <w:p w14:paraId="7B97A0FA" w14:textId="07997D45" w:rsidR="00F7240C" w:rsidRPr="00F7240C" w:rsidRDefault="00F7240C"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3</w:t>
            </w:r>
          </w:p>
        </w:tc>
        <w:tc>
          <w:tcPr>
            <w:tcW w:w="8867" w:type="dxa"/>
          </w:tcPr>
          <w:p w14:paraId="0307965A" w14:textId="1D0C7B26" w:rsidR="00F7240C" w:rsidRPr="00F7240C" w:rsidRDefault="00F7240C" w:rsidP="005C67C7">
            <w:pPr>
              <w:spacing w:before="40" w:after="40" w:line="240" w:lineRule="auto"/>
              <w:rPr>
                <w:rFonts w:ascii="Arial Narrow" w:hAnsi="Arial Narrow"/>
                <w:sz w:val="20"/>
                <w:szCs w:val="20"/>
                <w:lang w:val="en-GB" w:eastAsia="ja-JP"/>
              </w:rPr>
            </w:pPr>
            <w:r w:rsidRPr="00F7240C">
              <w:rPr>
                <w:rFonts w:ascii="Arial Narrow" w:hAnsi="Arial Narrow"/>
                <w:sz w:val="20"/>
                <w:szCs w:val="20"/>
                <w:lang w:val="en-GB" w:eastAsia="ja-JP"/>
              </w:rPr>
              <w:t>People with obesity and MAFLD should be assessed in accordance with the Australian Obesity Management Algorithm. (Evidence quality: Low; Grade of recommendation: Strong)</w:t>
            </w:r>
          </w:p>
        </w:tc>
      </w:tr>
      <w:tr w:rsidR="00F7240C" w:rsidRPr="00F7240C" w14:paraId="696D8AFA" w14:textId="77777777" w:rsidTr="00F7240C">
        <w:tc>
          <w:tcPr>
            <w:tcW w:w="704" w:type="dxa"/>
          </w:tcPr>
          <w:p w14:paraId="3C4F9550" w14:textId="023B6CA5" w:rsidR="00F7240C" w:rsidRPr="00F7240C" w:rsidRDefault="00F7240C"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4</w:t>
            </w:r>
          </w:p>
        </w:tc>
        <w:tc>
          <w:tcPr>
            <w:tcW w:w="8867" w:type="dxa"/>
          </w:tcPr>
          <w:p w14:paraId="541FF7AD" w14:textId="5436CFFE" w:rsidR="00F7240C" w:rsidRPr="00F7240C" w:rsidRDefault="00F7240C" w:rsidP="005C67C7">
            <w:pPr>
              <w:spacing w:before="40" w:after="40" w:line="240" w:lineRule="auto"/>
              <w:rPr>
                <w:rFonts w:ascii="Arial Narrow" w:hAnsi="Arial Narrow"/>
                <w:sz w:val="20"/>
                <w:szCs w:val="20"/>
                <w:lang w:val="en-GB" w:eastAsia="ja-JP"/>
              </w:rPr>
            </w:pPr>
            <w:r w:rsidRPr="00F7240C">
              <w:rPr>
                <w:rFonts w:ascii="Arial Narrow" w:hAnsi="Arial Narrow"/>
                <w:sz w:val="20"/>
                <w:szCs w:val="20"/>
                <w:lang w:val="en-GB" w:eastAsia="ja-JP"/>
              </w:rPr>
              <w:t>People with MAFLD should be assessed for undiagnosed type 2 diabetes using measurement of fasting blood glucose or HbA1c levels. (Evidence quality: Moderate; Grade of recommendation: Strong)</w:t>
            </w:r>
          </w:p>
        </w:tc>
      </w:tr>
      <w:tr w:rsidR="00F7240C" w:rsidRPr="00F7240C" w14:paraId="2FA91D2F" w14:textId="77777777" w:rsidTr="00F7240C">
        <w:tc>
          <w:tcPr>
            <w:tcW w:w="704" w:type="dxa"/>
          </w:tcPr>
          <w:p w14:paraId="2A797E93" w14:textId="4DE35D73" w:rsidR="00F7240C" w:rsidRPr="00F7240C" w:rsidRDefault="00F7240C"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5</w:t>
            </w:r>
          </w:p>
        </w:tc>
        <w:tc>
          <w:tcPr>
            <w:tcW w:w="8867" w:type="dxa"/>
          </w:tcPr>
          <w:p w14:paraId="11F99A82" w14:textId="24C275E5" w:rsidR="00F7240C" w:rsidRPr="00F7240C" w:rsidRDefault="00F7240C" w:rsidP="005C67C7">
            <w:pPr>
              <w:spacing w:before="40" w:after="40" w:line="240" w:lineRule="auto"/>
              <w:rPr>
                <w:rFonts w:ascii="Arial Narrow" w:hAnsi="Arial Narrow"/>
                <w:sz w:val="20"/>
                <w:szCs w:val="20"/>
                <w:lang w:val="en-GB" w:eastAsia="ja-JP"/>
              </w:rPr>
            </w:pPr>
            <w:r w:rsidRPr="00F7240C">
              <w:rPr>
                <w:rFonts w:ascii="Arial Narrow" w:hAnsi="Arial Narrow"/>
                <w:sz w:val="20"/>
                <w:szCs w:val="20"/>
                <w:lang w:val="en-GB" w:eastAsia="ja-JP"/>
              </w:rPr>
              <w:t>People with MAFLD should be assessed and monitored for the presence and risk of future cardiovascular disease according to current Australian guidelines. (Evidence quality: High; Grade of recommendation: Strong)</w:t>
            </w:r>
          </w:p>
        </w:tc>
      </w:tr>
      <w:tr w:rsidR="00F7240C" w:rsidRPr="00F7240C" w14:paraId="2F60C596" w14:textId="77777777" w:rsidTr="00F7240C">
        <w:tc>
          <w:tcPr>
            <w:tcW w:w="704" w:type="dxa"/>
          </w:tcPr>
          <w:p w14:paraId="05D15125" w14:textId="69A163BB" w:rsidR="00F7240C" w:rsidRPr="00F7240C" w:rsidRDefault="00F7240C"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6</w:t>
            </w:r>
          </w:p>
        </w:tc>
        <w:tc>
          <w:tcPr>
            <w:tcW w:w="8867" w:type="dxa"/>
          </w:tcPr>
          <w:p w14:paraId="4A22AD57" w14:textId="07681B0A" w:rsidR="00F7240C" w:rsidRPr="00F7240C" w:rsidRDefault="00F7240C" w:rsidP="005C67C7">
            <w:pPr>
              <w:spacing w:before="40" w:after="40" w:line="240" w:lineRule="auto"/>
              <w:rPr>
                <w:rFonts w:ascii="Arial Narrow" w:hAnsi="Arial Narrow"/>
                <w:sz w:val="20"/>
                <w:szCs w:val="20"/>
                <w:lang w:val="en-GB" w:eastAsia="ja-JP"/>
              </w:rPr>
            </w:pPr>
            <w:r w:rsidRPr="00F7240C">
              <w:rPr>
                <w:rFonts w:ascii="Arial Narrow" w:hAnsi="Arial Narrow"/>
                <w:sz w:val="20"/>
                <w:szCs w:val="20"/>
                <w:lang w:val="en-GB" w:eastAsia="ja-JP"/>
              </w:rPr>
              <w:t>Baseline assessment for potential comorbid conditions of obstructive sleep apnoea and chronic kidney disease should be considered for people with MAFLD. (Evidence quality: Moderate; Grade of recommendation: Weak)</w:t>
            </w:r>
          </w:p>
        </w:tc>
      </w:tr>
      <w:tr w:rsidR="00F7240C" w:rsidRPr="00F7240C" w14:paraId="129E3291" w14:textId="77777777" w:rsidTr="001D3EF9">
        <w:tc>
          <w:tcPr>
            <w:tcW w:w="704" w:type="dxa"/>
            <w:tcBorders>
              <w:right w:val="nil"/>
            </w:tcBorders>
          </w:tcPr>
          <w:p w14:paraId="2E88E34F" w14:textId="77777777" w:rsidR="00F7240C" w:rsidRPr="00F7240C" w:rsidRDefault="00F7240C" w:rsidP="005C67C7">
            <w:pPr>
              <w:spacing w:before="40" w:after="40" w:line="240" w:lineRule="auto"/>
              <w:rPr>
                <w:rFonts w:ascii="Arial Narrow" w:hAnsi="Arial Narrow"/>
                <w:sz w:val="20"/>
                <w:szCs w:val="20"/>
                <w:lang w:val="en-GB" w:eastAsia="ja-JP"/>
              </w:rPr>
            </w:pPr>
          </w:p>
        </w:tc>
        <w:tc>
          <w:tcPr>
            <w:tcW w:w="8867" w:type="dxa"/>
            <w:tcBorders>
              <w:left w:val="nil"/>
            </w:tcBorders>
          </w:tcPr>
          <w:p w14:paraId="5485230B" w14:textId="5A124A02" w:rsidR="00F7240C" w:rsidRPr="005C67C7" w:rsidRDefault="00F7240C"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How should other aetiologies of liver disease be assessed in people with MAFLD?</w:t>
            </w:r>
          </w:p>
        </w:tc>
      </w:tr>
      <w:tr w:rsidR="00F7240C" w:rsidRPr="00F7240C" w14:paraId="4C7FA239" w14:textId="77777777" w:rsidTr="00F7240C">
        <w:tc>
          <w:tcPr>
            <w:tcW w:w="704" w:type="dxa"/>
          </w:tcPr>
          <w:p w14:paraId="5A06A8C9" w14:textId="4590DC35"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7</w:t>
            </w:r>
          </w:p>
        </w:tc>
        <w:tc>
          <w:tcPr>
            <w:tcW w:w="8867" w:type="dxa"/>
          </w:tcPr>
          <w:p w14:paraId="4C860521" w14:textId="1AE7FE69"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should be assessed for other common causes of fatty liver and liver disease. (Evidence quality: Low; Grade of recommendation: Strong)</w:t>
            </w:r>
          </w:p>
        </w:tc>
      </w:tr>
      <w:tr w:rsidR="00F7240C" w:rsidRPr="00F7240C" w14:paraId="74F3AB2E" w14:textId="77777777" w:rsidTr="00F7240C">
        <w:tc>
          <w:tcPr>
            <w:tcW w:w="704" w:type="dxa"/>
          </w:tcPr>
          <w:p w14:paraId="1472E276" w14:textId="19D69E58"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8</w:t>
            </w:r>
          </w:p>
        </w:tc>
        <w:tc>
          <w:tcPr>
            <w:tcW w:w="8867" w:type="dxa"/>
          </w:tcPr>
          <w:p w14:paraId="16667DC5" w14:textId="57813885"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should undergo screening for harmful alcohol use. (Evidence quality: Moderate; Grade of recommendation: Strong)</w:t>
            </w:r>
          </w:p>
        </w:tc>
      </w:tr>
      <w:tr w:rsidR="00F7240C" w:rsidRPr="00F7240C" w14:paraId="1AF7368E" w14:textId="77777777" w:rsidTr="00F7240C">
        <w:tc>
          <w:tcPr>
            <w:tcW w:w="704" w:type="dxa"/>
          </w:tcPr>
          <w:p w14:paraId="42FB01E4" w14:textId="40A5DFA7"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9</w:t>
            </w:r>
          </w:p>
        </w:tc>
        <w:tc>
          <w:tcPr>
            <w:tcW w:w="8867" w:type="dxa"/>
          </w:tcPr>
          <w:p w14:paraId="32845D2C" w14:textId="598DF844"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and elevated serum aminotransferase levels should undergo baseline evaluation for hepatitis B and C infection. (Evidence quality: Moderate. Grade of recommendation Strong)</w:t>
            </w:r>
          </w:p>
        </w:tc>
      </w:tr>
      <w:tr w:rsidR="00F7240C" w:rsidRPr="00F7240C" w14:paraId="26E15E2A" w14:textId="77777777" w:rsidTr="00F7240C">
        <w:tc>
          <w:tcPr>
            <w:tcW w:w="704" w:type="dxa"/>
          </w:tcPr>
          <w:p w14:paraId="18F4A9B3" w14:textId="002408C3"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10</w:t>
            </w:r>
          </w:p>
        </w:tc>
        <w:tc>
          <w:tcPr>
            <w:tcW w:w="8867" w:type="dxa"/>
          </w:tcPr>
          <w:p w14:paraId="7D1EEFC5" w14:textId="78BF8C9D"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and elevated serum aminotransferase levels should undergo evaluation for iron overload. (Evidence quality: Moderate. Grade of recommendation Strong)</w:t>
            </w:r>
          </w:p>
        </w:tc>
      </w:tr>
      <w:tr w:rsidR="00F7240C" w:rsidRPr="00F7240C" w14:paraId="6809D7EF" w14:textId="77777777" w:rsidTr="001D3EF9">
        <w:tc>
          <w:tcPr>
            <w:tcW w:w="704" w:type="dxa"/>
            <w:tcBorders>
              <w:right w:val="nil"/>
            </w:tcBorders>
          </w:tcPr>
          <w:p w14:paraId="2EE64601" w14:textId="77777777" w:rsidR="00F7240C" w:rsidRPr="005C67C7" w:rsidRDefault="00F7240C" w:rsidP="005C67C7">
            <w:pPr>
              <w:spacing w:before="40" w:after="40" w:line="240" w:lineRule="auto"/>
              <w:rPr>
                <w:rFonts w:ascii="Arial Narrow" w:hAnsi="Arial Narrow"/>
                <w:b/>
                <w:bCs/>
                <w:sz w:val="20"/>
                <w:szCs w:val="20"/>
                <w:lang w:val="en-GB" w:eastAsia="ja-JP"/>
              </w:rPr>
            </w:pPr>
          </w:p>
        </w:tc>
        <w:tc>
          <w:tcPr>
            <w:tcW w:w="8867" w:type="dxa"/>
            <w:tcBorders>
              <w:left w:val="nil"/>
            </w:tcBorders>
          </w:tcPr>
          <w:p w14:paraId="5318588C" w14:textId="5317A9E1" w:rsidR="00F7240C" w:rsidRPr="005C67C7" w:rsidRDefault="00E96050"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How should the severity of liver disease be assessed in people with MAFLD?</w:t>
            </w:r>
          </w:p>
        </w:tc>
      </w:tr>
      <w:tr w:rsidR="00F7240C" w:rsidRPr="00F7240C" w14:paraId="108A1184" w14:textId="77777777" w:rsidTr="00F7240C">
        <w:tc>
          <w:tcPr>
            <w:tcW w:w="704" w:type="dxa"/>
          </w:tcPr>
          <w:p w14:paraId="5CADED4D" w14:textId="047F0DDF"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11</w:t>
            </w:r>
          </w:p>
        </w:tc>
        <w:tc>
          <w:tcPr>
            <w:tcW w:w="8867" w:type="dxa"/>
          </w:tcPr>
          <w:p w14:paraId="17757805" w14:textId="37ACE349"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Non-invasive testing should be offered to people with MAFLD to assess their risk of liver fibrosis. (Evidence quality: Moderate; Grade of recommendation: Strong)</w:t>
            </w:r>
          </w:p>
        </w:tc>
      </w:tr>
      <w:tr w:rsidR="00F7240C" w:rsidRPr="00F7240C" w14:paraId="66410CE5" w14:textId="77777777" w:rsidTr="00F7240C">
        <w:tc>
          <w:tcPr>
            <w:tcW w:w="704" w:type="dxa"/>
          </w:tcPr>
          <w:p w14:paraId="1BCEA330" w14:textId="7B92DDD6"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12</w:t>
            </w:r>
          </w:p>
        </w:tc>
        <w:tc>
          <w:tcPr>
            <w:tcW w:w="8867" w:type="dxa"/>
          </w:tcPr>
          <w:p w14:paraId="61571EAF" w14:textId="331C8661"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A non-invasive test such as FIB-4, should be offered as an initial test to help “rule out” the risk of advanced liver fibrosis among people with MAFLD. (Evidence quality: Moderate; Grade of recommendation: Strong)</w:t>
            </w:r>
          </w:p>
        </w:tc>
      </w:tr>
      <w:tr w:rsidR="00F7240C" w:rsidRPr="00F7240C" w14:paraId="4529AE18" w14:textId="77777777" w:rsidTr="00F7240C">
        <w:tc>
          <w:tcPr>
            <w:tcW w:w="704" w:type="dxa"/>
          </w:tcPr>
          <w:p w14:paraId="0ED307BF" w14:textId="0FBFB95D"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13</w:t>
            </w:r>
          </w:p>
        </w:tc>
        <w:tc>
          <w:tcPr>
            <w:tcW w:w="8867" w:type="dxa"/>
          </w:tcPr>
          <w:p w14:paraId="50DCE428" w14:textId="13F86D4B"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A second-line assessment with liver elastography or a direct liver fibrosis serum test should be performed in people with MAFLD and a FIB-4 score between 1.3 and 2.7. If these are unavailable, referral to a clinician with expertise in liver disease should be considered. (Evidence quality: Low; Grade of recommendation: Strong)</w:t>
            </w:r>
          </w:p>
        </w:tc>
      </w:tr>
      <w:tr w:rsidR="00F7240C" w:rsidRPr="00F7240C" w14:paraId="10D0061F" w14:textId="77777777" w:rsidTr="00F7240C">
        <w:tc>
          <w:tcPr>
            <w:tcW w:w="704" w:type="dxa"/>
          </w:tcPr>
          <w:p w14:paraId="6B08A735" w14:textId="5CABAA8F"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14</w:t>
            </w:r>
          </w:p>
        </w:tc>
        <w:tc>
          <w:tcPr>
            <w:tcW w:w="8867" w:type="dxa"/>
          </w:tcPr>
          <w:p w14:paraId="460389F3" w14:textId="5683EA8A"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and a FIB-4 &gt; 2.7 or elevated results of a direct liver fibrosis serum test or liver elastogram, should be referred to a clinician with expertise in liver disease. (Evidence quality: Low; Grade of recommendation: Strong)</w:t>
            </w:r>
          </w:p>
        </w:tc>
      </w:tr>
      <w:tr w:rsidR="00F7240C" w:rsidRPr="00F7240C" w14:paraId="192A5114" w14:textId="77777777" w:rsidTr="00F7240C">
        <w:tc>
          <w:tcPr>
            <w:tcW w:w="704" w:type="dxa"/>
          </w:tcPr>
          <w:p w14:paraId="17879ABF" w14:textId="5E938DBD" w:rsidR="00F7240C" w:rsidRPr="00F7240C" w:rsidRDefault="00E96050"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15</w:t>
            </w:r>
          </w:p>
        </w:tc>
        <w:tc>
          <w:tcPr>
            <w:tcW w:w="8867" w:type="dxa"/>
          </w:tcPr>
          <w:p w14:paraId="48484FCD" w14:textId="69C8C790"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and clinical, laboratory or imaging evidence of cirrhosis should be referred to a clinician with expertise in liver disease. (Evidence quality: High; Grade of recommendation: Strong)</w:t>
            </w:r>
          </w:p>
        </w:tc>
      </w:tr>
      <w:tr w:rsidR="00F7240C" w:rsidRPr="00F7240C" w14:paraId="40E445FF" w14:textId="77777777" w:rsidTr="001D3EF9">
        <w:tc>
          <w:tcPr>
            <w:tcW w:w="704" w:type="dxa"/>
            <w:tcBorders>
              <w:right w:val="nil"/>
            </w:tcBorders>
          </w:tcPr>
          <w:p w14:paraId="07752B6F" w14:textId="77777777" w:rsidR="00F7240C" w:rsidRPr="00F7240C" w:rsidRDefault="00F7240C" w:rsidP="005C67C7">
            <w:pPr>
              <w:spacing w:before="40" w:after="40" w:line="240" w:lineRule="auto"/>
              <w:rPr>
                <w:rFonts w:ascii="Arial Narrow" w:hAnsi="Arial Narrow"/>
                <w:sz w:val="20"/>
                <w:szCs w:val="20"/>
                <w:lang w:val="en-GB" w:eastAsia="ja-JP"/>
              </w:rPr>
            </w:pPr>
          </w:p>
        </w:tc>
        <w:tc>
          <w:tcPr>
            <w:tcW w:w="8867" w:type="dxa"/>
            <w:tcBorders>
              <w:left w:val="nil"/>
            </w:tcBorders>
          </w:tcPr>
          <w:p w14:paraId="350FF985" w14:textId="6C3AE45C" w:rsidR="00F7240C" w:rsidRPr="005C67C7" w:rsidRDefault="00E96050"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How should liver fibrosis in people with MAFLD be monitored over time?</w:t>
            </w:r>
          </w:p>
        </w:tc>
      </w:tr>
      <w:tr w:rsidR="00F7240C" w:rsidRPr="00F7240C" w14:paraId="378EA54F" w14:textId="77777777" w:rsidTr="00F7240C">
        <w:tc>
          <w:tcPr>
            <w:tcW w:w="704" w:type="dxa"/>
          </w:tcPr>
          <w:p w14:paraId="105E29F2" w14:textId="27A9683E" w:rsidR="00F7240C" w:rsidRPr="00F7240C" w:rsidRDefault="001D3EF9"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16</w:t>
            </w:r>
          </w:p>
        </w:tc>
        <w:tc>
          <w:tcPr>
            <w:tcW w:w="8867" w:type="dxa"/>
          </w:tcPr>
          <w:p w14:paraId="077BE862" w14:textId="2A491EF3" w:rsidR="00F7240C" w:rsidRPr="00F7240C" w:rsidRDefault="00E96050" w:rsidP="005C67C7">
            <w:pPr>
              <w:spacing w:before="40" w:after="40" w:line="240" w:lineRule="auto"/>
              <w:rPr>
                <w:rFonts w:ascii="Arial Narrow" w:hAnsi="Arial Narrow"/>
                <w:sz w:val="20"/>
                <w:szCs w:val="20"/>
                <w:lang w:val="en-GB" w:eastAsia="ja-JP"/>
              </w:rPr>
            </w:pPr>
            <w:r w:rsidRPr="00E96050">
              <w:rPr>
                <w:rFonts w:ascii="Arial Narrow" w:hAnsi="Arial Narrow"/>
                <w:sz w:val="20"/>
                <w:szCs w:val="20"/>
                <w:lang w:val="en-GB" w:eastAsia="ja-JP"/>
              </w:rPr>
              <w:t>People with MAFLD who have an initial non-invasive fibrosis test showing a low risk of advanced fibrosis are recommended to undergo repeat non-invasive fibrosis testing in 3 years. (Evidence quality: Low; Grade of recommendation: Strong)</w:t>
            </w:r>
          </w:p>
        </w:tc>
      </w:tr>
      <w:tr w:rsidR="00F7240C" w:rsidRPr="00F7240C" w14:paraId="55261360" w14:textId="77777777" w:rsidTr="00F7240C">
        <w:tc>
          <w:tcPr>
            <w:tcW w:w="704" w:type="dxa"/>
          </w:tcPr>
          <w:p w14:paraId="766899E4" w14:textId="68DECF93" w:rsidR="00F7240C" w:rsidRPr="00F7240C" w:rsidRDefault="001D3EF9"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17</w:t>
            </w:r>
          </w:p>
        </w:tc>
        <w:tc>
          <w:tcPr>
            <w:tcW w:w="8867" w:type="dxa"/>
          </w:tcPr>
          <w:p w14:paraId="25E4C9FF" w14:textId="48021DC6" w:rsidR="00F7240C" w:rsidRPr="00F7240C" w:rsidRDefault="001D3EF9" w:rsidP="005C67C7">
            <w:pPr>
              <w:spacing w:before="40" w:after="40" w:line="240" w:lineRule="auto"/>
              <w:rPr>
                <w:rFonts w:ascii="Arial Narrow" w:hAnsi="Arial Narrow"/>
                <w:sz w:val="20"/>
                <w:szCs w:val="20"/>
                <w:lang w:val="en-GB" w:eastAsia="ja-JP"/>
              </w:rPr>
            </w:pPr>
            <w:r w:rsidRPr="001D3EF9">
              <w:rPr>
                <w:rFonts w:ascii="Arial Narrow" w:hAnsi="Arial Narrow"/>
                <w:sz w:val="20"/>
                <w:szCs w:val="20"/>
                <w:lang w:val="en-GB" w:eastAsia="ja-JP"/>
              </w:rPr>
              <w:t>People with MAFLD and a FIB-4 score between 1.3 and 2.7 who undergo elastography or a direct liver fibrosis serum test that shows a low risk of advanced liver fibrosis should be offered repeat testing with a FIB-4 at least every 3 years. (Evidence quality: Low; Grade of recommendation: Weak)</w:t>
            </w:r>
          </w:p>
        </w:tc>
      </w:tr>
      <w:tr w:rsidR="001D3EF9" w:rsidRPr="00F7240C" w14:paraId="4348A0E1" w14:textId="77777777" w:rsidTr="00F7240C">
        <w:tc>
          <w:tcPr>
            <w:tcW w:w="704" w:type="dxa"/>
          </w:tcPr>
          <w:p w14:paraId="1984D9DB" w14:textId="463E9F44" w:rsidR="001D3EF9" w:rsidRPr="00F7240C" w:rsidRDefault="001D3EF9"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lastRenderedPageBreak/>
              <w:t>18</w:t>
            </w:r>
          </w:p>
        </w:tc>
        <w:tc>
          <w:tcPr>
            <w:tcW w:w="8867" w:type="dxa"/>
          </w:tcPr>
          <w:p w14:paraId="18A66A4C" w14:textId="43C01635" w:rsidR="001D3EF9" w:rsidRPr="001D3EF9" w:rsidRDefault="001D3EF9" w:rsidP="005C67C7">
            <w:pPr>
              <w:spacing w:before="40" w:after="40" w:line="240" w:lineRule="auto"/>
              <w:rPr>
                <w:rFonts w:ascii="Arial Narrow" w:hAnsi="Arial Narrow"/>
                <w:sz w:val="20"/>
                <w:szCs w:val="20"/>
                <w:lang w:val="en-GB" w:eastAsia="ja-JP"/>
              </w:rPr>
            </w:pPr>
            <w:r w:rsidRPr="001D3EF9">
              <w:rPr>
                <w:rFonts w:ascii="Arial Narrow" w:hAnsi="Arial Narrow"/>
                <w:sz w:val="20"/>
                <w:szCs w:val="20"/>
                <w:lang w:val="en-GB" w:eastAsia="ja-JP"/>
              </w:rPr>
              <w:t>For people who are 75 years or older and have MAFLD, routine monitoring for fibrosis progression should be performed on a case-by-case basis, depending on their comorbid conditions and life expectancy. (Evidence quality: Low; Grade of recommendation: Strong)</w:t>
            </w:r>
          </w:p>
        </w:tc>
      </w:tr>
      <w:tr w:rsidR="001D3EF9" w:rsidRPr="00F7240C" w14:paraId="15D67656" w14:textId="77777777" w:rsidTr="00F7240C">
        <w:tc>
          <w:tcPr>
            <w:tcW w:w="704" w:type="dxa"/>
          </w:tcPr>
          <w:p w14:paraId="7C56B92F" w14:textId="67AEAC39" w:rsidR="001D3EF9" w:rsidRPr="00F7240C" w:rsidRDefault="001D3EF9"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19</w:t>
            </w:r>
          </w:p>
        </w:tc>
        <w:tc>
          <w:tcPr>
            <w:tcW w:w="8867" w:type="dxa"/>
          </w:tcPr>
          <w:p w14:paraId="260B2D52" w14:textId="4C6CDEB9" w:rsidR="001D3EF9" w:rsidRPr="001D3EF9" w:rsidRDefault="001D3EF9" w:rsidP="005C67C7">
            <w:pPr>
              <w:spacing w:before="40" w:after="40" w:line="240" w:lineRule="auto"/>
              <w:rPr>
                <w:rFonts w:ascii="Arial Narrow" w:hAnsi="Arial Narrow"/>
                <w:sz w:val="20"/>
                <w:szCs w:val="20"/>
                <w:lang w:val="en-GB" w:eastAsia="ja-JP"/>
              </w:rPr>
            </w:pPr>
            <w:r w:rsidRPr="001D3EF9">
              <w:rPr>
                <w:rFonts w:ascii="Arial Narrow" w:hAnsi="Arial Narrow"/>
                <w:sz w:val="20"/>
                <w:szCs w:val="20"/>
                <w:lang w:val="en-GB" w:eastAsia="ja-JP"/>
              </w:rPr>
              <w:t>People with cirrhosis who would be willing and suitable for HCC therapy should be undergoing 6-monthly surveillance for hepatocellular carcinoma using appropriate imaging with or without serum AFP testing. (Evidence quality: Low; Grade of recommendation: Strong)</w:t>
            </w:r>
          </w:p>
        </w:tc>
      </w:tr>
      <w:tr w:rsidR="001D3EF9" w:rsidRPr="00F7240C" w14:paraId="18A50AB8" w14:textId="77777777" w:rsidTr="001D3EF9">
        <w:tc>
          <w:tcPr>
            <w:tcW w:w="704" w:type="dxa"/>
            <w:tcBorders>
              <w:right w:val="nil"/>
            </w:tcBorders>
          </w:tcPr>
          <w:p w14:paraId="34E25F4D" w14:textId="77777777" w:rsidR="001D3EF9" w:rsidRDefault="001D3EF9" w:rsidP="005C67C7">
            <w:pPr>
              <w:spacing w:before="40" w:after="40" w:line="240" w:lineRule="auto"/>
              <w:rPr>
                <w:rFonts w:ascii="Arial Narrow" w:hAnsi="Arial Narrow"/>
                <w:sz w:val="20"/>
                <w:szCs w:val="20"/>
                <w:lang w:val="en-GB" w:eastAsia="ja-JP"/>
              </w:rPr>
            </w:pPr>
          </w:p>
        </w:tc>
        <w:tc>
          <w:tcPr>
            <w:tcW w:w="8867" w:type="dxa"/>
            <w:tcBorders>
              <w:left w:val="nil"/>
            </w:tcBorders>
          </w:tcPr>
          <w:p w14:paraId="6B6EE71C" w14:textId="0FCC0324" w:rsidR="001D3EF9" w:rsidRPr="005C67C7" w:rsidRDefault="001D3EF9" w:rsidP="005C67C7">
            <w:pPr>
              <w:spacing w:before="40" w:after="40" w:line="240" w:lineRule="auto"/>
              <w:rPr>
                <w:rFonts w:ascii="Arial Narrow" w:hAnsi="Arial Narrow"/>
                <w:b/>
                <w:bCs/>
                <w:sz w:val="20"/>
                <w:szCs w:val="20"/>
                <w:lang w:val="en-GB" w:eastAsia="ja-JP"/>
              </w:rPr>
            </w:pPr>
            <w:r w:rsidRPr="005C67C7">
              <w:rPr>
                <w:rFonts w:ascii="Arial Narrow" w:hAnsi="Arial Narrow"/>
                <w:b/>
                <w:bCs/>
                <w:sz w:val="20"/>
                <w:szCs w:val="20"/>
                <w:lang w:val="en-GB" w:eastAsia="ja-JP"/>
              </w:rPr>
              <w:t>How should co-morbid conditions be monitored over time in people with MAFLD?</w:t>
            </w:r>
          </w:p>
        </w:tc>
      </w:tr>
      <w:tr w:rsidR="001D3EF9" w:rsidRPr="00F7240C" w14:paraId="6038FF9F" w14:textId="77777777" w:rsidTr="00F7240C">
        <w:tc>
          <w:tcPr>
            <w:tcW w:w="704" w:type="dxa"/>
          </w:tcPr>
          <w:p w14:paraId="38277C23" w14:textId="462A6373" w:rsidR="001D3EF9" w:rsidRDefault="001D3EF9"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20</w:t>
            </w:r>
          </w:p>
        </w:tc>
        <w:tc>
          <w:tcPr>
            <w:tcW w:w="8867" w:type="dxa"/>
          </w:tcPr>
          <w:p w14:paraId="5DD219EA" w14:textId="12FC3134" w:rsidR="001D3EF9" w:rsidRPr="001D3EF9" w:rsidRDefault="001D3EF9" w:rsidP="005C67C7">
            <w:pPr>
              <w:spacing w:before="40" w:after="40" w:line="240" w:lineRule="auto"/>
              <w:rPr>
                <w:rFonts w:ascii="Arial Narrow" w:hAnsi="Arial Narrow"/>
                <w:sz w:val="20"/>
                <w:szCs w:val="20"/>
                <w:lang w:val="en-GB" w:eastAsia="ja-JP"/>
              </w:rPr>
            </w:pPr>
            <w:r w:rsidRPr="001D3EF9">
              <w:rPr>
                <w:rFonts w:ascii="Arial Narrow" w:hAnsi="Arial Narrow"/>
                <w:sz w:val="20"/>
                <w:szCs w:val="20"/>
                <w:lang w:val="en-GB" w:eastAsia="ja-JP"/>
              </w:rPr>
              <w:t>Weight, BMI and/or waist circumference should be monitored at least annually in people with MAFLD to guide management. (Evidence quality: Low; Grade of recommendation: Strong)</w:t>
            </w:r>
          </w:p>
        </w:tc>
      </w:tr>
      <w:tr w:rsidR="001D3EF9" w:rsidRPr="00F7240C" w14:paraId="3A705F07" w14:textId="77777777" w:rsidTr="00F7240C">
        <w:tc>
          <w:tcPr>
            <w:tcW w:w="704" w:type="dxa"/>
          </w:tcPr>
          <w:p w14:paraId="6949C74F" w14:textId="4D027CC3" w:rsidR="001D3EF9" w:rsidRDefault="001D3EF9" w:rsidP="005C67C7">
            <w:pPr>
              <w:spacing w:before="40" w:after="40" w:line="240" w:lineRule="auto"/>
              <w:rPr>
                <w:rFonts w:ascii="Arial Narrow" w:hAnsi="Arial Narrow"/>
                <w:sz w:val="20"/>
                <w:szCs w:val="20"/>
                <w:lang w:val="en-GB" w:eastAsia="ja-JP"/>
              </w:rPr>
            </w:pPr>
            <w:r>
              <w:rPr>
                <w:rFonts w:ascii="Arial Narrow" w:hAnsi="Arial Narrow"/>
                <w:sz w:val="20"/>
                <w:szCs w:val="20"/>
                <w:lang w:val="en-GB" w:eastAsia="ja-JP"/>
              </w:rPr>
              <w:t>21</w:t>
            </w:r>
          </w:p>
        </w:tc>
        <w:tc>
          <w:tcPr>
            <w:tcW w:w="8867" w:type="dxa"/>
          </w:tcPr>
          <w:p w14:paraId="4E7004AE" w14:textId="42F3192A" w:rsidR="001D3EF9" w:rsidRPr="001D3EF9" w:rsidRDefault="001D3EF9" w:rsidP="005C67C7">
            <w:pPr>
              <w:spacing w:before="40" w:after="40" w:line="240" w:lineRule="auto"/>
              <w:rPr>
                <w:rFonts w:ascii="Arial Narrow" w:hAnsi="Arial Narrow"/>
                <w:sz w:val="20"/>
                <w:szCs w:val="20"/>
                <w:lang w:val="en-GB" w:eastAsia="ja-JP"/>
              </w:rPr>
            </w:pPr>
            <w:r w:rsidRPr="001D3EF9">
              <w:rPr>
                <w:rFonts w:ascii="Arial Narrow" w:hAnsi="Arial Narrow"/>
                <w:sz w:val="20"/>
                <w:szCs w:val="20"/>
                <w:lang w:val="en-GB" w:eastAsia="ja-JP"/>
              </w:rPr>
              <w:t>People with MAFLD should be monitored for the development of type 2 diabetes according to current Australian guidelines. (Evidence quality: Moderate; Grade of recommendation: Strong)</w:t>
            </w:r>
          </w:p>
        </w:tc>
      </w:tr>
    </w:tbl>
    <w:p w14:paraId="15B0B0DA" w14:textId="3CD821FD" w:rsidR="00F7240C" w:rsidRPr="005C67C7" w:rsidRDefault="001D3EF9" w:rsidP="005C67C7">
      <w:pPr>
        <w:spacing w:after="0" w:line="240" w:lineRule="auto"/>
        <w:rPr>
          <w:rFonts w:ascii="Arial Narrow" w:hAnsi="Arial Narrow"/>
          <w:sz w:val="18"/>
          <w:szCs w:val="18"/>
          <w:lang w:val="en-GB" w:eastAsia="ja-JP"/>
        </w:rPr>
      </w:pPr>
      <w:r>
        <w:rPr>
          <w:rFonts w:ascii="Arial Narrow" w:hAnsi="Arial Narrow"/>
          <w:sz w:val="18"/>
          <w:szCs w:val="18"/>
          <w:lang w:val="en-GB" w:eastAsia="ja-JP"/>
        </w:rPr>
        <w:t xml:space="preserve">Source: </w:t>
      </w:r>
      <w:r w:rsidR="00E92C75">
        <w:rPr>
          <w:rFonts w:ascii="Arial Narrow" w:hAnsi="Arial Narrow"/>
          <w:sz w:val="18"/>
          <w:szCs w:val="18"/>
          <w:lang w:val="en-GB" w:eastAsia="ja-JP"/>
        </w:rPr>
        <w:t>GESA 2024, pp7-8</w:t>
      </w:r>
    </w:p>
    <w:p w14:paraId="1479725B" w14:textId="77777777" w:rsidR="007D1376" w:rsidRPr="007D1376" w:rsidRDefault="007D1376" w:rsidP="007D1376"/>
    <w:sectPr w:rsidR="007D1376" w:rsidRPr="007D1376"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AB7C" w14:textId="77777777" w:rsidR="0060236D" w:rsidRDefault="0060236D" w:rsidP="0016315C">
      <w:pPr>
        <w:spacing w:after="0" w:line="240" w:lineRule="auto"/>
      </w:pPr>
      <w:r>
        <w:separator/>
      </w:r>
    </w:p>
  </w:endnote>
  <w:endnote w:type="continuationSeparator" w:id="0">
    <w:p w14:paraId="2FAF1EB7" w14:textId="77777777" w:rsidR="0060236D" w:rsidRDefault="0060236D" w:rsidP="0016315C">
      <w:pPr>
        <w:spacing w:after="0" w:line="240" w:lineRule="auto"/>
      </w:pPr>
      <w:r>
        <w:continuationSeparator/>
      </w:r>
    </w:p>
  </w:endnote>
  <w:endnote w:type="continuationNotice" w:id="1">
    <w:p w14:paraId="0B0302A9" w14:textId="77777777" w:rsidR="0060236D" w:rsidRDefault="00602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56982633" w:rsidR="0016315C" w:rsidRPr="00685355" w:rsidRDefault="00022C35" w:rsidP="00BB0FFB">
    <w:pPr>
      <w:jc w:val="center"/>
    </w:pPr>
    <w:r>
      <w:t>R</w:t>
    </w:r>
    <w:r w:rsidR="00DA7056">
      <w:t>atified</w:t>
    </w:r>
    <w:r w:rsidR="00B87200">
      <w:t xml:space="preserve"> </w:t>
    </w:r>
    <w:r w:rsidR="60009B8A" w:rsidRPr="00AD5AA0">
      <w:t xml:space="preserve">PICO Confirmation – </w:t>
    </w:r>
    <w:r w:rsidR="00AD5AA0" w:rsidRPr="00AD5AA0">
      <w:t>April 2025</w:t>
    </w:r>
    <w:r w:rsidR="60009B8A" w:rsidRPr="00AD5AA0">
      <w:t xml:space="preserve"> PASC Meeting</w:t>
    </w:r>
    <w:r w:rsidR="00BB0FFB">
      <w:br/>
    </w:r>
    <w:r w:rsidR="00AD5AA0" w:rsidRPr="00AD5AA0">
      <w:t>1797</w:t>
    </w:r>
    <w:r w:rsidR="60009B8A" w:rsidRPr="00AD5AA0">
      <w:t xml:space="preserve"> – </w:t>
    </w:r>
    <w:r w:rsidR="00AD5AA0" w:rsidRPr="00AD5AA0">
      <w:t>Vibration-Controlled Transient Elastography (VCTE™) for identifying advanced fibrosis in patients with metabolic dysfunction-associated fatty liver disease (MAFLD)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B62F9" w14:textId="77777777" w:rsidR="0060236D" w:rsidRDefault="0060236D" w:rsidP="0016315C">
      <w:pPr>
        <w:spacing w:after="0" w:line="240" w:lineRule="auto"/>
      </w:pPr>
      <w:r>
        <w:separator/>
      </w:r>
    </w:p>
  </w:footnote>
  <w:footnote w:type="continuationSeparator" w:id="0">
    <w:p w14:paraId="4A3960F3" w14:textId="77777777" w:rsidR="0060236D" w:rsidRDefault="0060236D" w:rsidP="0016315C">
      <w:pPr>
        <w:spacing w:after="0" w:line="240" w:lineRule="auto"/>
      </w:pPr>
      <w:r>
        <w:continuationSeparator/>
      </w:r>
    </w:p>
  </w:footnote>
  <w:footnote w:type="continuationNotice" w:id="1">
    <w:p w14:paraId="0CF31BFB" w14:textId="77777777" w:rsidR="0060236D" w:rsidRDefault="0060236D">
      <w:pPr>
        <w:spacing w:after="0" w:line="240" w:lineRule="auto"/>
      </w:pPr>
    </w:p>
  </w:footnote>
  <w:footnote w:id="2">
    <w:p w14:paraId="7EBAC38D" w14:textId="447A86B4" w:rsidR="00492C51" w:rsidRPr="005C67C7" w:rsidRDefault="00492C51">
      <w:pPr>
        <w:pStyle w:val="FootnoteText"/>
        <w:rPr>
          <w:rFonts w:asciiTheme="minorHAnsi" w:hAnsiTheme="minorHAnsi" w:cstheme="minorHAnsi"/>
        </w:rPr>
      </w:pPr>
      <w:r w:rsidRPr="005C67C7">
        <w:rPr>
          <w:rStyle w:val="FootnoteReference"/>
          <w:rFonts w:asciiTheme="minorHAnsi" w:hAnsiTheme="minorHAnsi" w:cstheme="minorHAnsi"/>
        </w:rPr>
        <w:footnoteRef/>
      </w:r>
      <w:r w:rsidRPr="005C67C7">
        <w:rPr>
          <w:rFonts w:asciiTheme="minorHAnsi" w:hAnsiTheme="minorHAnsi" w:cstheme="minorHAnsi"/>
        </w:rPr>
        <w:t xml:space="preserve"> https://liver.org.au/health-professionals/fib-4-calculator/</w:t>
      </w:r>
    </w:p>
  </w:footnote>
  <w:footnote w:id="3">
    <w:p w14:paraId="4B433075" w14:textId="22C14698" w:rsidR="00E5489D" w:rsidRPr="008B40C7" w:rsidRDefault="00E5489D">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hyperlink r:id="rId1" w:history="1">
        <w:r w:rsidR="00131759" w:rsidRPr="008B40C7">
          <w:rPr>
            <w:rStyle w:val="Hyperlink"/>
            <w:rFonts w:asciiTheme="minorHAnsi" w:hAnsiTheme="minorHAnsi" w:cstheme="minorHAnsi"/>
            <w:sz w:val="18"/>
            <w:szCs w:val="18"/>
          </w:rPr>
          <w:t>https://www.msac.gov.au/applications/1446</w:t>
        </w:r>
      </w:hyperlink>
    </w:p>
  </w:footnote>
  <w:footnote w:id="4">
    <w:p w14:paraId="17FFC295" w14:textId="4342920A" w:rsidR="001103F6" w:rsidRPr="008B40C7" w:rsidRDefault="001103F6">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https://www.mskcc.org/cancer-care/patient-education/understanding-your-fibroscan-results</w:t>
      </w:r>
    </w:p>
  </w:footnote>
  <w:footnote w:id="5">
    <w:p w14:paraId="29806277" w14:textId="3CCD4CF8" w:rsidR="006C09B4" w:rsidRPr="008B40C7" w:rsidRDefault="006C09B4">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https://www.racgp.org.au/search?q=mafld#gsc.tab=0&amp;gsc.q=mafld&amp;gsc.page=1</w:t>
      </w:r>
    </w:p>
  </w:footnote>
  <w:footnote w:id="6">
    <w:p w14:paraId="4C7A5A64" w14:textId="54E2179E" w:rsidR="00D81AD7" w:rsidRPr="008B40C7" w:rsidRDefault="00D81AD7">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hyperlink r:id="rId2" w:history="1">
        <w:r w:rsidR="008B7150" w:rsidRPr="008B40C7">
          <w:rPr>
            <w:rStyle w:val="Hyperlink"/>
            <w:rFonts w:asciiTheme="minorHAnsi" w:hAnsiTheme="minorHAnsi" w:cstheme="minorHAnsi"/>
            <w:sz w:val="18"/>
            <w:szCs w:val="18"/>
          </w:rPr>
          <w:t>https://www9.health.gov.au/mbs/fullDisplay.cfm?type=item&amp;q=55036&amp;qt=item&amp;criteria=55036</w:t>
        </w:r>
      </w:hyperlink>
    </w:p>
  </w:footnote>
  <w:footnote w:id="7">
    <w:p w14:paraId="646FB83B" w14:textId="458B5677" w:rsidR="00897678" w:rsidRPr="008B40C7" w:rsidRDefault="00897678">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r w:rsidR="004817C8" w:rsidRPr="008B40C7">
        <w:rPr>
          <w:rFonts w:asciiTheme="minorHAnsi" w:hAnsiTheme="minorHAnsi" w:cstheme="minorHAnsi"/>
          <w:sz w:val="18"/>
          <w:szCs w:val="18"/>
        </w:rPr>
        <w:t>https://www9.health.gov.au/mbs/fullDisplay.cfm?type=item&amp;qt=ItemID&amp;q=23</w:t>
      </w:r>
    </w:p>
  </w:footnote>
  <w:footnote w:id="8">
    <w:p w14:paraId="0122DCC4" w14:textId="4A837630" w:rsidR="00897678" w:rsidRPr="008B40C7" w:rsidRDefault="00897678">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r w:rsidR="00644B7B" w:rsidRPr="008B40C7">
        <w:rPr>
          <w:rFonts w:asciiTheme="minorHAnsi" w:hAnsiTheme="minorHAnsi" w:cstheme="minorHAnsi"/>
          <w:sz w:val="18"/>
          <w:szCs w:val="18"/>
        </w:rPr>
        <w:t>https://www9.health.gov.au/mbs/fullDisplay.cfm?type=item&amp;qt=ItemID&amp;q=36</w:t>
      </w:r>
    </w:p>
  </w:footnote>
  <w:footnote w:id="9">
    <w:p w14:paraId="4F1EC669" w14:textId="550FECC5" w:rsidR="00897678" w:rsidRPr="008B40C7" w:rsidRDefault="00897678">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r w:rsidR="00266758" w:rsidRPr="008B40C7">
        <w:rPr>
          <w:rFonts w:asciiTheme="minorHAnsi" w:hAnsiTheme="minorHAnsi" w:cstheme="minorHAnsi"/>
          <w:sz w:val="18"/>
          <w:szCs w:val="18"/>
        </w:rPr>
        <w:t>https://www9.health.gov.au/mbs/fullDisplay.cfm?type=item&amp;qt=ItemID&amp;q=44</w:t>
      </w:r>
    </w:p>
  </w:footnote>
  <w:footnote w:id="10">
    <w:p w14:paraId="43C05589" w14:textId="775EECAF" w:rsidR="00C61725" w:rsidRPr="008B40C7" w:rsidRDefault="00C61725">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r w:rsidR="00266758" w:rsidRPr="008B40C7">
        <w:rPr>
          <w:rFonts w:asciiTheme="minorHAnsi" w:hAnsiTheme="minorHAnsi" w:cstheme="minorHAnsi"/>
          <w:sz w:val="18"/>
          <w:szCs w:val="18"/>
        </w:rPr>
        <w:t>https://www9.health.gov.au/mbs/fullDisplay.cfm?type=item&amp;qt=ItemID&amp;q=123</w:t>
      </w:r>
    </w:p>
  </w:footnote>
  <w:footnote w:id="11">
    <w:p w14:paraId="7AF99E10" w14:textId="66493B1F" w:rsidR="00D81AD7" w:rsidRPr="008B40C7" w:rsidRDefault="00D81AD7">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r w:rsidR="00B221CF" w:rsidRPr="008B40C7">
        <w:rPr>
          <w:rFonts w:asciiTheme="minorHAnsi" w:hAnsiTheme="minorHAnsi" w:cstheme="minorHAnsi"/>
          <w:sz w:val="18"/>
          <w:szCs w:val="18"/>
        </w:rPr>
        <w:t>https://www9.health.gov.au/mbs/fullDisplay.cfm?type=item&amp;qt=ItemID&amp;q=1</w:t>
      </w:r>
      <w:r w:rsidR="00A6175E" w:rsidRPr="008B40C7">
        <w:rPr>
          <w:rFonts w:asciiTheme="minorHAnsi" w:hAnsiTheme="minorHAnsi" w:cstheme="minorHAnsi"/>
          <w:sz w:val="18"/>
          <w:szCs w:val="18"/>
        </w:rPr>
        <w:t>1</w:t>
      </w:r>
      <w:r w:rsidR="00B221CF" w:rsidRPr="008B40C7">
        <w:rPr>
          <w:rFonts w:asciiTheme="minorHAnsi" w:hAnsiTheme="minorHAnsi" w:cstheme="minorHAnsi"/>
          <w:sz w:val="18"/>
          <w:szCs w:val="18"/>
        </w:rPr>
        <w:t>0</w:t>
      </w:r>
    </w:p>
  </w:footnote>
  <w:footnote w:id="12">
    <w:p w14:paraId="24912BA6" w14:textId="2FA34F29" w:rsidR="00D81AD7" w:rsidRDefault="00D81AD7">
      <w:pPr>
        <w:pStyle w:val="FootnoteText"/>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r w:rsidR="00B221CF" w:rsidRPr="008B40C7">
        <w:rPr>
          <w:rFonts w:asciiTheme="minorHAnsi" w:hAnsiTheme="minorHAnsi" w:cstheme="minorHAnsi"/>
          <w:sz w:val="18"/>
          <w:szCs w:val="18"/>
        </w:rPr>
        <w:t>https://www9.health.gov.au/mbs/fullDisplay.cfm?type=item&amp;qt=ItemID&amp;q=1</w:t>
      </w:r>
      <w:r w:rsidR="00A6175E" w:rsidRPr="008B40C7">
        <w:rPr>
          <w:rFonts w:asciiTheme="minorHAnsi" w:hAnsiTheme="minorHAnsi" w:cstheme="minorHAnsi"/>
          <w:sz w:val="18"/>
          <w:szCs w:val="18"/>
        </w:rPr>
        <w:t>16</w:t>
      </w:r>
    </w:p>
  </w:footnote>
  <w:footnote w:id="13">
    <w:p w14:paraId="207EEBA4" w14:textId="5B4E2469" w:rsidR="00CE65FD" w:rsidRPr="008B40C7" w:rsidRDefault="00CE65FD">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w:t>
      </w:r>
      <w:hyperlink r:id="rId3" w:history="1">
        <w:r w:rsidR="00AA5908" w:rsidRPr="008B40C7">
          <w:rPr>
            <w:rStyle w:val="Hyperlink"/>
            <w:rFonts w:asciiTheme="minorHAnsi" w:hAnsiTheme="minorHAnsi" w:cstheme="minorHAnsi"/>
            <w:sz w:val="18"/>
            <w:szCs w:val="18"/>
          </w:rPr>
          <w:t>https://www.msac.gov.au/sites/default/files/2024-10/guidelines-for-preparing-assessments-for-msac.pdf</w:t>
        </w:r>
      </w:hyperlink>
    </w:p>
  </w:footnote>
  <w:footnote w:id="14">
    <w:p w14:paraId="3E98D394" w14:textId="5A777E4D" w:rsidR="00B84875" w:rsidRPr="008B40C7" w:rsidRDefault="00B84875">
      <w:pPr>
        <w:pStyle w:val="FootnoteText"/>
        <w:rPr>
          <w:rFonts w:asciiTheme="minorHAnsi" w:hAnsiTheme="minorHAnsi" w:cstheme="minorHAnsi"/>
          <w:sz w:val="18"/>
          <w:szCs w:val="18"/>
        </w:rPr>
      </w:pPr>
      <w:r w:rsidRPr="008B40C7">
        <w:rPr>
          <w:rStyle w:val="FootnoteReference"/>
          <w:rFonts w:asciiTheme="minorHAnsi" w:hAnsiTheme="minorHAnsi" w:cstheme="minorHAnsi"/>
          <w:sz w:val="18"/>
          <w:szCs w:val="18"/>
        </w:rPr>
        <w:footnoteRef/>
      </w:r>
      <w:r w:rsidRPr="008B40C7">
        <w:rPr>
          <w:rFonts w:asciiTheme="minorHAnsi" w:hAnsiTheme="minorHAnsi" w:cstheme="minorHAnsi"/>
          <w:sz w:val="18"/>
          <w:szCs w:val="18"/>
        </w:rPr>
        <w:t xml:space="preserve"> https://www.sciencedirect.com/topics/medicine-and-dentistry/fibrotest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FD8"/>
    <w:multiLevelType w:val="hybridMultilevel"/>
    <w:tmpl w:val="F362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A2004"/>
    <w:multiLevelType w:val="hybridMultilevel"/>
    <w:tmpl w:val="9DA8A48E"/>
    <w:lvl w:ilvl="0" w:tplc="0E1E0B18">
      <w:start w:val="2"/>
      <w:numFmt w:val="bullet"/>
      <w:lvlText w:val="-"/>
      <w:lvlJc w:val="left"/>
      <w:pPr>
        <w:ind w:left="1080" w:hanging="72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C4DE5"/>
    <w:multiLevelType w:val="hybridMultilevel"/>
    <w:tmpl w:val="DEF4F3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74139"/>
    <w:multiLevelType w:val="hybridMultilevel"/>
    <w:tmpl w:val="C8784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41796"/>
    <w:multiLevelType w:val="hybridMultilevel"/>
    <w:tmpl w:val="1568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042A2"/>
    <w:multiLevelType w:val="hybridMultilevel"/>
    <w:tmpl w:val="E87C815E"/>
    <w:lvl w:ilvl="0" w:tplc="0C09000F">
      <w:start w:val="1"/>
      <w:numFmt w:val="decimal"/>
      <w:lvlText w:val="%1."/>
      <w:lvlJc w:val="left"/>
      <w:pPr>
        <w:ind w:left="720" w:hanging="360"/>
      </w:pPr>
    </w:lvl>
    <w:lvl w:ilvl="1" w:tplc="63844AB4">
      <w:start w:val="1"/>
      <w:numFmt w:val="lowerRoman"/>
      <w:lvlText w:val="(%2)"/>
      <w:lvlJc w:val="left"/>
      <w:pPr>
        <w:ind w:left="1800" w:hanging="720"/>
      </w:pPr>
      <w:rPr>
        <w:rFonts w:hint="default"/>
      </w:rPr>
    </w:lvl>
    <w:lvl w:ilvl="2" w:tplc="6750EAE6">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42BD5"/>
    <w:multiLevelType w:val="hybridMultilevel"/>
    <w:tmpl w:val="8E60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F5ECF"/>
    <w:multiLevelType w:val="hybridMultilevel"/>
    <w:tmpl w:val="60DC3AFC"/>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B023E"/>
    <w:multiLevelType w:val="hybridMultilevel"/>
    <w:tmpl w:val="4E76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C73F3"/>
    <w:multiLevelType w:val="hybridMultilevel"/>
    <w:tmpl w:val="2A2E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D57481"/>
    <w:multiLevelType w:val="hybridMultilevel"/>
    <w:tmpl w:val="A92C79E4"/>
    <w:lvl w:ilvl="0" w:tplc="F78C670E">
      <w:start w:val="1"/>
      <w:numFmt w:val="lowerRoman"/>
      <w:lvlText w:val="(%1)"/>
      <w:lvlJc w:val="left"/>
      <w:pPr>
        <w:ind w:left="1288" w:hanging="36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2" w15:restartNumberingAfterBreak="0">
    <w:nsid w:val="32E5480C"/>
    <w:multiLevelType w:val="hybridMultilevel"/>
    <w:tmpl w:val="BEEC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880C4"/>
    <w:multiLevelType w:val="hybridMultilevel"/>
    <w:tmpl w:val="1F2C5600"/>
    <w:lvl w:ilvl="0" w:tplc="923A687E">
      <w:start w:val="1"/>
      <w:numFmt w:val="decimal"/>
      <w:lvlText w:val="%1."/>
      <w:lvlJc w:val="left"/>
      <w:pPr>
        <w:ind w:left="720" w:hanging="360"/>
      </w:pPr>
    </w:lvl>
    <w:lvl w:ilvl="1" w:tplc="3F0E6970">
      <w:start w:val="1"/>
      <w:numFmt w:val="lowerLetter"/>
      <w:lvlText w:val="%2."/>
      <w:lvlJc w:val="left"/>
      <w:pPr>
        <w:ind w:left="1440" w:hanging="360"/>
      </w:pPr>
    </w:lvl>
    <w:lvl w:ilvl="2" w:tplc="75CC7B64">
      <w:start w:val="1"/>
      <w:numFmt w:val="lowerRoman"/>
      <w:lvlText w:val="%3."/>
      <w:lvlJc w:val="right"/>
      <w:pPr>
        <w:ind w:left="2160" w:hanging="180"/>
      </w:pPr>
    </w:lvl>
    <w:lvl w:ilvl="3" w:tplc="2B2A5AC2">
      <w:start w:val="1"/>
      <w:numFmt w:val="decimal"/>
      <w:lvlText w:val="%4."/>
      <w:lvlJc w:val="left"/>
      <w:pPr>
        <w:ind w:left="2880" w:hanging="360"/>
      </w:pPr>
    </w:lvl>
    <w:lvl w:ilvl="4" w:tplc="15D626F4">
      <w:start w:val="1"/>
      <w:numFmt w:val="lowerLetter"/>
      <w:lvlText w:val="%5."/>
      <w:lvlJc w:val="left"/>
      <w:pPr>
        <w:ind w:left="3600" w:hanging="360"/>
      </w:pPr>
    </w:lvl>
    <w:lvl w:ilvl="5" w:tplc="DEFE6B50">
      <w:start w:val="1"/>
      <w:numFmt w:val="lowerRoman"/>
      <w:lvlText w:val="%6."/>
      <w:lvlJc w:val="right"/>
      <w:pPr>
        <w:ind w:left="4320" w:hanging="180"/>
      </w:pPr>
    </w:lvl>
    <w:lvl w:ilvl="6" w:tplc="7D640354">
      <w:start w:val="1"/>
      <w:numFmt w:val="decimal"/>
      <w:lvlText w:val="%7."/>
      <w:lvlJc w:val="left"/>
      <w:pPr>
        <w:ind w:left="5040" w:hanging="360"/>
      </w:pPr>
    </w:lvl>
    <w:lvl w:ilvl="7" w:tplc="2F8EB86A">
      <w:start w:val="1"/>
      <w:numFmt w:val="lowerLetter"/>
      <w:lvlText w:val="%8."/>
      <w:lvlJc w:val="left"/>
      <w:pPr>
        <w:ind w:left="5760" w:hanging="360"/>
      </w:pPr>
    </w:lvl>
    <w:lvl w:ilvl="8" w:tplc="2D92BE66">
      <w:start w:val="1"/>
      <w:numFmt w:val="lowerRoman"/>
      <w:lvlText w:val="%9."/>
      <w:lvlJc w:val="right"/>
      <w:pPr>
        <w:ind w:left="6480" w:hanging="180"/>
      </w:pPr>
    </w:lvl>
  </w:abstractNum>
  <w:abstractNum w:abstractNumId="14" w15:restartNumberingAfterBreak="0">
    <w:nsid w:val="359B462A"/>
    <w:multiLevelType w:val="hybridMultilevel"/>
    <w:tmpl w:val="EB2824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E49310E"/>
    <w:multiLevelType w:val="hybridMultilevel"/>
    <w:tmpl w:val="21868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376A9A"/>
    <w:multiLevelType w:val="hybridMultilevel"/>
    <w:tmpl w:val="526416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AC423B"/>
    <w:multiLevelType w:val="hybridMultilevel"/>
    <w:tmpl w:val="4C48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0C083B"/>
    <w:multiLevelType w:val="hybridMultilevel"/>
    <w:tmpl w:val="812ACF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F30333"/>
    <w:multiLevelType w:val="hybridMultilevel"/>
    <w:tmpl w:val="5354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8841A1"/>
    <w:multiLevelType w:val="hybridMultilevel"/>
    <w:tmpl w:val="1AC07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2" w15:restartNumberingAfterBreak="0">
    <w:nsid w:val="596F510B"/>
    <w:multiLevelType w:val="hybridMultilevel"/>
    <w:tmpl w:val="BEF8C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1A356E"/>
    <w:multiLevelType w:val="hybridMultilevel"/>
    <w:tmpl w:val="7BACEFC2"/>
    <w:lvl w:ilvl="0" w:tplc="4E9C15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AB1FB9"/>
    <w:multiLevelType w:val="hybridMultilevel"/>
    <w:tmpl w:val="61B6D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74891"/>
    <w:multiLevelType w:val="hybridMultilevel"/>
    <w:tmpl w:val="30C43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7B4388"/>
    <w:multiLevelType w:val="hybridMultilevel"/>
    <w:tmpl w:val="1CB80D70"/>
    <w:lvl w:ilvl="0" w:tplc="0E1E0B18">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F61833"/>
    <w:multiLevelType w:val="hybridMultilevel"/>
    <w:tmpl w:val="FA1EDD9C"/>
    <w:lvl w:ilvl="0" w:tplc="0FAA4088">
      <w:start w:val="1"/>
      <w:numFmt w:val="lowerRoman"/>
      <w:lvlText w:val="(%1)"/>
      <w:lvlJc w:val="left"/>
      <w:pPr>
        <w:ind w:left="1080" w:hanging="72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4337D8"/>
    <w:multiLevelType w:val="hybridMultilevel"/>
    <w:tmpl w:val="8E9808F8"/>
    <w:lvl w:ilvl="0" w:tplc="D37A88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2440520">
    <w:abstractNumId w:val="21"/>
  </w:num>
  <w:num w:numId="2" w16cid:durableId="566457096">
    <w:abstractNumId w:val="12"/>
  </w:num>
  <w:num w:numId="3" w16cid:durableId="488909302">
    <w:abstractNumId w:val="22"/>
  </w:num>
  <w:num w:numId="4" w16cid:durableId="1521696843">
    <w:abstractNumId w:val="5"/>
  </w:num>
  <w:num w:numId="5" w16cid:durableId="481502565">
    <w:abstractNumId w:val="11"/>
  </w:num>
  <w:num w:numId="6" w16cid:durableId="619916220">
    <w:abstractNumId w:val="28"/>
  </w:num>
  <w:num w:numId="7" w16cid:durableId="2119517898">
    <w:abstractNumId w:val="27"/>
  </w:num>
  <w:num w:numId="8" w16cid:durableId="1320765127">
    <w:abstractNumId w:val="3"/>
  </w:num>
  <w:num w:numId="9" w16cid:durableId="1001005023">
    <w:abstractNumId w:val="0"/>
  </w:num>
  <w:num w:numId="10" w16cid:durableId="1620986425">
    <w:abstractNumId w:val="25"/>
  </w:num>
  <w:num w:numId="11" w16cid:durableId="1587030903">
    <w:abstractNumId w:val="4"/>
  </w:num>
  <w:num w:numId="12" w16cid:durableId="195050689">
    <w:abstractNumId w:val="2"/>
  </w:num>
  <w:num w:numId="13" w16cid:durableId="232008801">
    <w:abstractNumId w:val="7"/>
  </w:num>
  <w:num w:numId="14" w16cid:durableId="1108740688">
    <w:abstractNumId w:val="13"/>
  </w:num>
  <w:num w:numId="15" w16cid:durableId="1262840233">
    <w:abstractNumId w:val="6"/>
  </w:num>
  <w:num w:numId="16" w16cid:durableId="1520464785">
    <w:abstractNumId w:val="10"/>
  </w:num>
  <w:num w:numId="17" w16cid:durableId="1891071227">
    <w:abstractNumId w:val="24"/>
  </w:num>
  <w:num w:numId="18" w16cid:durableId="1171070480">
    <w:abstractNumId w:val="9"/>
  </w:num>
  <w:num w:numId="19" w16cid:durableId="1657034525">
    <w:abstractNumId w:val="17"/>
  </w:num>
  <w:num w:numId="20" w16cid:durableId="2124183611">
    <w:abstractNumId w:val="23"/>
  </w:num>
  <w:num w:numId="21" w16cid:durableId="1954897159">
    <w:abstractNumId w:val="26"/>
  </w:num>
  <w:num w:numId="22" w16cid:durableId="2131001144">
    <w:abstractNumId w:val="19"/>
  </w:num>
  <w:num w:numId="23" w16cid:durableId="1847208807">
    <w:abstractNumId w:val="15"/>
  </w:num>
  <w:num w:numId="24" w16cid:durableId="275449631">
    <w:abstractNumId w:val="18"/>
  </w:num>
  <w:num w:numId="25" w16cid:durableId="1733045137">
    <w:abstractNumId w:val="1"/>
  </w:num>
  <w:num w:numId="26" w16cid:durableId="1507600619">
    <w:abstractNumId w:val="16"/>
  </w:num>
  <w:num w:numId="27" w16cid:durableId="1588270341">
    <w:abstractNumId w:val="14"/>
  </w:num>
  <w:num w:numId="28" w16cid:durableId="1123116004">
    <w:abstractNumId w:val="8"/>
  </w:num>
  <w:num w:numId="29" w16cid:durableId="207011115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5A0"/>
    <w:rsid w:val="000009A1"/>
    <w:rsid w:val="00000CA8"/>
    <w:rsid w:val="00000D1B"/>
    <w:rsid w:val="00000FCC"/>
    <w:rsid w:val="00001883"/>
    <w:rsid w:val="00001B3E"/>
    <w:rsid w:val="00002455"/>
    <w:rsid w:val="000029A8"/>
    <w:rsid w:val="00002C08"/>
    <w:rsid w:val="00003328"/>
    <w:rsid w:val="000035FF"/>
    <w:rsid w:val="000045CB"/>
    <w:rsid w:val="0000489F"/>
    <w:rsid w:val="0000586D"/>
    <w:rsid w:val="00005956"/>
    <w:rsid w:val="0000623E"/>
    <w:rsid w:val="00006473"/>
    <w:rsid w:val="000064D6"/>
    <w:rsid w:val="00007236"/>
    <w:rsid w:val="00007376"/>
    <w:rsid w:val="000073AA"/>
    <w:rsid w:val="00007560"/>
    <w:rsid w:val="000076F4"/>
    <w:rsid w:val="000076FD"/>
    <w:rsid w:val="00007792"/>
    <w:rsid w:val="00007857"/>
    <w:rsid w:val="000101E6"/>
    <w:rsid w:val="00010B51"/>
    <w:rsid w:val="00010C08"/>
    <w:rsid w:val="000118C6"/>
    <w:rsid w:val="000119E8"/>
    <w:rsid w:val="0001215E"/>
    <w:rsid w:val="00012316"/>
    <w:rsid w:val="000123E7"/>
    <w:rsid w:val="00012723"/>
    <w:rsid w:val="00012BF5"/>
    <w:rsid w:val="00013509"/>
    <w:rsid w:val="00013840"/>
    <w:rsid w:val="000139FF"/>
    <w:rsid w:val="00014396"/>
    <w:rsid w:val="000143E5"/>
    <w:rsid w:val="00014755"/>
    <w:rsid w:val="00014899"/>
    <w:rsid w:val="000148C5"/>
    <w:rsid w:val="00014C6B"/>
    <w:rsid w:val="00014D19"/>
    <w:rsid w:val="00014F83"/>
    <w:rsid w:val="00014FC8"/>
    <w:rsid w:val="0001507D"/>
    <w:rsid w:val="00015120"/>
    <w:rsid w:val="00015548"/>
    <w:rsid w:val="00015F76"/>
    <w:rsid w:val="00016883"/>
    <w:rsid w:val="00016936"/>
    <w:rsid w:val="00016F8D"/>
    <w:rsid w:val="00017768"/>
    <w:rsid w:val="000177B3"/>
    <w:rsid w:val="00017A4D"/>
    <w:rsid w:val="000209BE"/>
    <w:rsid w:val="00020B2F"/>
    <w:rsid w:val="00020C8D"/>
    <w:rsid w:val="0002130A"/>
    <w:rsid w:val="000213F8"/>
    <w:rsid w:val="00022C35"/>
    <w:rsid w:val="00022FF5"/>
    <w:rsid w:val="000232F3"/>
    <w:rsid w:val="00023CEA"/>
    <w:rsid w:val="00024235"/>
    <w:rsid w:val="000243BF"/>
    <w:rsid w:val="000243EC"/>
    <w:rsid w:val="000246F4"/>
    <w:rsid w:val="00024978"/>
    <w:rsid w:val="00024CDC"/>
    <w:rsid w:val="00025B9C"/>
    <w:rsid w:val="00025E68"/>
    <w:rsid w:val="00025E86"/>
    <w:rsid w:val="00025F6F"/>
    <w:rsid w:val="0002601F"/>
    <w:rsid w:val="000260AD"/>
    <w:rsid w:val="00026822"/>
    <w:rsid w:val="00026DC8"/>
    <w:rsid w:val="00027901"/>
    <w:rsid w:val="00027D9F"/>
    <w:rsid w:val="00027FFC"/>
    <w:rsid w:val="00031087"/>
    <w:rsid w:val="000310F9"/>
    <w:rsid w:val="00031414"/>
    <w:rsid w:val="0003177C"/>
    <w:rsid w:val="00031E19"/>
    <w:rsid w:val="00031E91"/>
    <w:rsid w:val="00032320"/>
    <w:rsid w:val="000323B2"/>
    <w:rsid w:val="0003259D"/>
    <w:rsid w:val="00032672"/>
    <w:rsid w:val="000326D3"/>
    <w:rsid w:val="000328FD"/>
    <w:rsid w:val="00032A92"/>
    <w:rsid w:val="00032D96"/>
    <w:rsid w:val="00033133"/>
    <w:rsid w:val="000334BF"/>
    <w:rsid w:val="0003373F"/>
    <w:rsid w:val="0003378A"/>
    <w:rsid w:val="0003394A"/>
    <w:rsid w:val="00033B05"/>
    <w:rsid w:val="00033CAC"/>
    <w:rsid w:val="00033DAE"/>
    <w:rsid w:val="00033E62"/>
    <w:rsid w:val="00034289"/>
    <w:rsid w:val="00034348"/>
    <w:rsid w:val="00034691"/>
    <w:rsid w:val="000347EA"/>
    <w:rsid w:val="000354B3"/>
    <w:rsid w:val="0003609D"/>
    <w:rsid w:val="000360D2"/>
    <w:rsid w:val="0003622A"/>
    <w:rsid w:val="000362A9"/>
    <w:rsid w:val="00036577"/>
    <w:rsid w:val="00036999"/>
    <w:rsid w:val="00036F1B"/>
    <w:rsid w:val="000375F5"/>
    <w:rsid w:val="00037977"/>
    <w:rsid w:val="000379CE"/>
    <w:rsid w:val="00037BE7"/>
    <w:rsid w:val="000402DA"/>
    <w:rsid w:val="00040533"/>
    <w:rsid w:val="0004099C"/>
    <w:rsid w:val="00040BCF"/>
    <w:rsid w:val="00040BE4"/>
    <w:rsid w:val="00040FD5"/>
    <w:rsid w:val="000411E2"/>
    <w:rsid w:val="00041221"/>
    <w:rsid w:val="0004196B"/>
    <w:rsid w:val="00041E14"/>
    <w:rsid w:val="00042119"/>
    <w:rsid w:val="000425C1"/>
    <w:rsid w:val="0004282F"/>
    <w:rsid w:val="00042A9B"/>
    <w:rsid w:val="00042AB0"/>
    <w:rsid w:val="00042D62"/>
    <w:rsid w:val="00042E89"/>
    <w:rsid w:val="00042F03"/>
    <w:rsid w:val="000432E3"/>
    <w:rsid w:val="00043862"/>
    <w:rsid w:val="00043E83"/>
    <w:rsid w:val="0004405D"/>
    <w:rsid w:val="0004446A"/>
    <w:rsid w:val="00044842"/>
    <w:rsid w:val="00044DD5"/>
    <w:rsid w:val="00044E8B"/>
    <w:rsid w:val="000452A7"/>
    <w:rsid w:val="00045664"/>
    <w:rsid w:val="00045B11"/>
    <w:rsid w:val="00045EDA"/>
    <w:rsid w:val="00046069"/>
    <w:rsid w:val="000461A1"/>
    <w:rsid w:val="000462E1"/>
    <w:rsid w:val="0004672C"/>
    <w:rsid w:val="0004697F"/>
    <w:rsid w:val="00046ACE"/>
    <w:rsid w:val="00047133"/>
    <w:rsid w:val="0004776E"/>
    <w:rsid w:val="00047860"/>
    <w:rsid w:val="00047FD9"/>
    <w:rsid w:val="00050072"/>
    <w:rsid w:val="0005012B"/>
    <w:rsid w:val="00050445"/>
    <w:rsid w:val="00050C51"/>
    <w:rsid w:val="00051128"/>
    <w:rsid w:val="00051238"/>
    <w:rsid w:val="00051346"/>
    <w:rsid w:val="000518F7"/>
    <w:rsid w:val="0005199C"/>
    <w:rsid w:val="00051CA4"/>
    <w:rsid w:val="00051EB2"/>
    <w:rsid w:val="00052057"/>
    <w:rsid w:val="0005216F"/>
    <w:rsid w:val="00052358"/>
    <w:rsid w:val="00052783"/>
    <w:rsid w:val="00052818"/>
    <w:rsid w:val="00052DFA"/>
    <w:rsid w:val="00052E2D"/>
    <w:rsid w:val="00052EDB"/>
    <w:rsid w:val="00052F24"/>
    <w:rsid w:val="00053055"/>
    <w:rsid w:val="0005324B"/>
    <w:rsid w:val="0005328B"/>
    <w:rsid w:val="0005356A"/>
    <w:rsid w:val="000538EF"/>
    <w:rsid w:val="0005398E"/>
    <w:rsid w:val="00053AF2"/>
    <w:rsid w:val="00054238"/>
    <w:rsid w:val="00054359"/>
    <w:rsid w:val="000543BB"/>
    <w:rsid w:val="000548E2"/>
    <w:rsid w:val="00054909"/>
    <w:rsid w:val="00054A13"/>
    <w:rsid w:val="00055272"/>
    <w:rsid w:val="0005548E"/>
    <w:rsid w:val="0005574D"/>
    <w:rsid w:val="00055AF4"/>
    <w:rsid w:val="0005621F"/>
    <w:rsid w:val="000567D3"/>
    <w:rsid w:val="000570B4"/>
    <w:rsid w:val="000574BF"/>
    <w:rsid w:val="0005758A"/>
    <w:rsid w:val="00057AC8"/>
    <w:rsid w:val="00057E4E"/>
    <w:rsid w:val="000606B7"/>
    <w:rsid w:val="00060C10"/>
    <w:rsid w:val="00060F6E"/>
    <w:rsid w:val="00061538"/>
    <w:rsid w:val="00061B3C"/>
    <w:rsid w:val="00061E35"/>
    <w:rsid w:val="0006285D"/>
    <w:rsid w:val="00062870"/>
    <w:rsid w:val="00062F03"/>
    <w:rsid w:val="00063341"/>
    <w:rsid w:val="000635EC"/>
    <w:rsid w:val="0006375C"/>
    <w:rsid w:val="00063CC6"/>
    <w:rsid w:val="00063FEA"/>
    <w:rsid w:val="000640EF"/>
    <w:rsid w:val="000645EC"/>
    <w:rsid w:val="00064A00"/>
    <w:rsid w:val="00064B87"/>
    <w:rsid w:val="00064D57"/>
    <w:rsid w:val="00064E2B"/>
    <w:rsid w:val="0006543B"/>
    <w:rsid w:val="00066988"/>
    <w:rsid w:val="000673E9"/>
    <w:rsid w:val="0006799A"/>
    <w:rsid w:val="000707D1"/>
    <w:rsid w:val="00070ACB"/>
    <w:rsid w:val="00070D90"/>
    <w:rsid w:val="00070E24"/>
    <w:rsid w:val="000712EB"/>
    <w:rsid w:val="000713B5"/>
    <w:rsid w:val="00071613"/>
    <w:rsid w:val="00071BDC"/>
    <w:rsid w:val="00071D18"/>
    <w:rsid w:val="00071E30"/>
    <w:rsid w:val="00071E73"/>
    <w:rsid w:val="00072258"/>
    <w:rsid w:val="000722B3"/>
    <w:rsid w:val="00072658"/>
    <w:rsid w:val="00072C7A"/>
    <w:rsid w:val="000733AB"/>
    <w:rsid w:val="00073882"/>
    <w:rsid w:val="00073C2E"/>
    <w:rsid w:val="00073F95"/>
    <w:rsid w:val="000749F8"/>
    <w:rsid w:val="00074A58"/>
    <w:rsid w:val="00074DED"/>
    <w:rsid w:val="00075036"/>
    <w:rsid w:val="0007504E"/>
    <w:rsid w:val="0007522C"/>
    <w:rsid w:val="00075547"/>
    <w:rsid w:val="00075927"/>
    <w:rsid w:val="00075DAF"/>
    <w:rsid w:val="00075FDA"/>
    <w:rsid w:val="0007626A"/>
    <w:rsid w:val="000764E2"/>
    <w:rsid w:val="00076648"/>
    <w:rsid w:val="00076A06"/>
    <w:rsid w:val="00076B8E"/>
    <w:rsid w:val="0007714D"/>
    <w:rsid w:val="0007771F"/>
    <w:rsid w:val="00077732"/>
    <w:rsid w:val="00077840"/>
    <w:rsid w:val="00077FC5"/>
    <w:rsid w:val="00080022"/>
    <w:rsid w:val="000804BC"/>
    <w:rsid w:val="0008092D"/>
    <w:rsid w:val="00080DA6"/>
    <w:rsid w:val="000811C6"/>
    <w:rsid w:val="0008157D"/>
    <w:rsid w:val="00081591"/>
    <w:rsid w:val="0008165F"/>
    <w:rsid w:val="0008189E"/>
    <w:rsid w:val="00081E3C"/>
    <w:rsid w:val="00082BB5"/>
    <w:rsid w:val="00082CF8"/>
    <w:rsid w:val="00082FBF"/>
    <w:rsid w:val="000834F1"/>
    <w:rsid w:val="00083789"/>
    <w:rsid w:val="00083E22"/>
    <w:rsid w:val="00083F40"/>
    <w:rsid w:val="000845A3"/>
    <w:rsid w:val="000846D3"/>
    <w:rsid w:val="00084790"/>
    <w:rsid w:val="00085001"/>
    <w:rsid w:val="00085719"/>
    <w:rsid w:val="000857CD"/>
    <w:rsid w:val="00085BAA"/>
    <w:rsid w:val="00086809"/>
    <w:rsid w:val="0008698D"/>
    <w:rsid w:val="00086D1A"/>
    <w:rsid w:val="00086E52"/>
    <w:rsid w:val="000871AF"/>
    <w:rsid w:val="000871F9"/>
    <w:rsid w:val="00087AB2"/>
    <w:rsid w:val="00087E3F"/>
    <w:rsid w:val="00090244"/>
    <w:rsid w:val="000902F8"/>
    <w:rsid w:val="000903EE"/>
    <w:rsid w:val="00090887"/>
    <w:rsid w:val="0009096B"/>
    <w:rsid w:val="00090A39"/>
    <w:rsid w:val="00090D60"/>
    <w:rsid w:val="00090F83"/>
    <w:rsid w:val="00091450"/>
    <w:rsid w:val="00091528"/>
    <w:rsid w:val="0009168A"/>
    <w:rsid w:val="0009180A"/>
    <w:rsid w:val="000918A6"/>
    <w:rsid w:val="00092D8F"/>
    <w:rsid w:val="000931AD"/>
    <w:rsid w:val="000931B9"/>
    <w:rsid w:val="000938C9"/>
    <w:rsid w:val="000939E0"/>
    <w:rsid w:val="000947C2"/>
    <w:rsid w:val="00094856"/>
    <w:rsid w:val="000948E6"/>
    <w:rsid w:val="000951E3"/>
    <w:rsid w:val="00095A32"/>
    <w:rsid w:val="00095B16"/>
    <w:rsid w:val="00095C13"/>
    <w:rsid w:val="000963A5"/>
    <w:rsid w:val="0009687B"/>
    <w:rsid w:val="000970A6"/>
    <w:rsid w:val="00097106"/>
    <w:rsid w:val="00097321"/>
    <w:rsid w:val="00097528"/>
    <w:rsid w:val="00097910"/>
    <w:rsid w:val="00097DED"/>
    <w:rsid w:val="00097EB4"/>
    <w:rsid w:val="00097F0F"/>
    <w:rsid w:val="00097F9F"/>
    <w:rsid w:val="000A0004"/>
    <w:rsid w:val="000A01CE"/>
    <w:rsid w:val="000A04D8"/>
    <w:rsid w:val="000A05A4"/>
    <w:rsid w:val="000A06B8"/>
    <w:rsid w:val="000A0814"/>
    <w:rsid w:val="000A162E"/>
    <w:rsid w:val="000A18CF"/>
    <w:rsid w:val="000A19F6"/>
    <w:rsid w:val="000A1B74"/>
    <w:rsid w:val="000A2026"/>
    <w:rsid w:val="000A2101"/>
    <w:rsid w:val="000A24CE"/>
    <w:rsid w:val="000A2526"/>
    <w:rsid w:val="000A28ED"/>
    <w:rsid w:val="000A2BF5"/>
    <w:rsid w:val="000A30BE"/>
    <w:rsid w:val="000A3242"/>
    <w:rsid w:val="000A326E"/>
    <w:rsid w:val="000A373C"/>
    <w:rsid w:val="000A42E8"/>
    <w:rsid w:val="000A46A9"/>
    <w:rsid w:val="000A47DA"/>
    <w:rsid w:val="000A481E"/>
    <w:rsid w:val="000A4851"/>
    <w:rsid w:val="000A4A3F"/>
    <w:rsid w:val="000A4D4E"/>
    <w:rsid w:val="000A537D"/>
    <w:rsid w:val="000A5528"/>
    <w:rsid w:val="000A5649"/>
    <w:rsid w:val="000A5771"/>
    <w:rsid w:val="000A5A18"/>
    <w:rsid w:val="000A62FD"/>
    <w:rsid w:val="000A65D7"/>
    <w:rsid w:val="000A718C"/>
    <w:rsid w:val="000A7550"/>
    <w:rsid w:val="000A76DD"/>
    <w:rsid w:val="000B0148"/>
    <w:rsid w:val="000B0990"/>
    <w:rsid w:val="000B141C"/>
    <w:rsid w:val="000B164E"/>
    <w:rsid w:val="000B1E87"/>
    <w:rsid w:val="000B2057"/>
    <w:rsid w:val="000B23DB"/>
    <w:rsid w:val="000B379D"/>
    <w:rsid w:val="000B3B32"/>
    <w:rsid w:val="000B3D4E"/>
    <w:rsid w:val="000B3F31"/>
    <w:rsid w:val="000B465D"/>
    <w:rsid w:val="000B4AB8"/>
    <w:rsid w:val="000B4BA1"/>
    <w:rsid w:val="000B4BF9"/>
    <w:rsid w:val="000B4F33"/>
    <w:rsid w:val="000B4FF5"/>
    <w:rsid w:val="000B517F"/>
    <w:rsid w:val="000B5256"/>
    <w:rsid w:val="000B53EC"/>
    <w:rsid w:val="000B5C14"/>
    <w:rsid w:val="000B6208"/>
    <w:rsid w:val="000B670C"/>
    <w:rsid w:val="000B6E98"/>
    <w:rsid w:val="000B743B"/>
    <w:rsid w:val="000B7D6A"/>
    <w:rsid w:val="000C0023"/>
    <w:rsid w:val="000C0174"/>
    <w:rsid w:val="000C04F0"/>
    <w:rsid w:val="000C0B6D"/>
    <w:rsid w:val="000C0C94"/>
    <w:rsid w:val="000C1C9F"/>
    <w:rsid w:val="000C27DD"/>
    <w:rsid w:val="000C2B41"/>
    <w:rsid w:val="000C2E89"/>
    <w:rsid w:val="000C3085"/>
    <w:rsid w:val="000C36D4"/>
    <w:rsid w:val="000C3B69"/>
    <w:rsid w:val="000C4118"/>
    <w:rsid w:val="000C444D"/>
    <w:rsid w:val="000C4D8B"/>
    <w:rsid w:val="000C5542"/>
    <w:rsid w:val="000C5683"/>
    <w:rsid w:val="000C5EE1"/>
    <w:rsid w:val="000C61CF"/>
    <w:rsid w:val="000C6726"/>
    <w:rsid w:val="000C692E"/>
    <w:rsid w:val="000C695A"/>
    <w:rsid w:val="000C6965"/>
    <w:rsid w:val="000C6B60"/>
    <w:rsid w:val="000C6B82"/>
    <w:rsid w:val="000C6BFE"/>
    <w:rsid w:val="000C713D"/>
    <w:rsid w:val="000C7444"/>
    <w:rsid w:val="000C762E"/>
    <w:rsid w:val="000C7AF6"/>
    <w:rsid w:val="000D0176"/>
    <w:rsid w:val="000D06B4"/>
    <w:rsid w:val="000D0A66"/>
    <w:rsid w:val="000D0DCA"/>
    <w:rsid w:val="000D192F"/>
    <w:rsid w:val="000D1A5A"/>
    <w:rsid w:val="000D1D5A"/>
    <w:rsid w:val="000D1FCF"/>
    <w:rsid w:val="000D20B2"/>
    <w:rsid w:val="000D2AEF"/>
    <w:rsid w:val="000D2F57"/>
    <w:rsid w:val="000D3118"/>
    <w:rsid w:val="000D33FE"/>
    <w:rsid w:val="000D342C"/>
    <w:rsid w:val="000D348E"/>
    <w:rsid w:val="000D37B5"/>
    <w:rsid w:val="000D39C1"/>
    <w:rsid w:val="000D3A70"/>
    <w:rsid w:val="000D3D7F"/>
    <w:rsid w:val="000D4178"/>
    <w:rsid w:val="000D41BA"/>
    <w:rsid w:val="000D43A2"/>
    <w:rsid w:val="000D45EA"/>
    <w:rsid w:val="000D47EA"/>
    <w:rsid w:val="000D4922"/>
    <w:rsid w:val="000D4AC1"/>
    <w:rsid w:val="000D4BCC"/>
    <w:rsid w:val="000D52EB"/>
    <w:rsid w:val="000D5728"/>
    <w:rsid w:val="000D5911"/>
    <w:rsid w:val="000D67F3"/>
    <w:rsid w:val="000D6B6C"/>
    <w:rsid w:val="000D6C0D"/>
    <w:rsid w:val="000D7AE0"/>
    <w:rsid w:val="000E07F2"/>
    <w:rsid w:val="000E0E00"/>
    <w:rsid w:val="000E15C6"/>
    <w:rsid w:val="000E1BC4"/>
    <w:rsid w:val="000E1E4C"/>
    <w:rsid w:val="000E287D"/>
    <w:rsid w:val="000E2ADE"/>
    <w:rsid w:val="000E2D43"/>
    <w:rsid w:val="000E3102"/>
    <w:rsid w:val="000E3747"/>
    <w:rsid w:val="000E38E0"/>
    <w:rsid w:val="000E397F"/>
    <w:rsid w:val="000E39A3"/>
    <w:rsid w:val="000E3B17"/>
    <w:rsid w:val="000E3BB4"/>
    <w:rsid w:val="000E3C77"/>
    <w:rsid w:val="000E3DDF"/>
    <w:rsid w:val="000E487A"/>
    <w:rsid w:val="000E48C4"/>
    <w:rsid w:val="000E4B06"/>
    <w:rsid w:val="000E4B68"/>
    <w:rsid w:val="000E4D53"/>
    <w:rsid w:val="000E4EA0"/>
    <w:rsid w:val="000E54B3"/>
    <w:rsid w:val="000E58D7"/>
    <w:rsid w:val="000E5F37"/>
    <w:rsid w:val="000E5F82"/>
    <w:rsid w:val="000E623D"/>
    <w:rsid w:val="000E6DF6"/>
    <w:rsid w:val="000E706D"/>
    <w:rsid w:val="000E781F"/>
    <w:rsid w:val="000E79B6"/>
    <w:rsid w:val="000E7CEA"/>
    <w:rsid w:val="000F001A"/>
    <w:rsid w:val="000F02E3"/>
    <w:rsid w:val="000F07FC"/>
    <w:rsid w:val="000F09D4"/>
    <w:rsid w:val="000F0B30"/>
    <w:rsid w:val="000F0FD5"/>
    <w:rsid w:val="000F1D24"/>
    <w:rsid w:val="000F2CED"/>
    <w:rsid w:val="000F2FB3"/>
    <w:rsid w:val="000F30BB"/>
    <w:rsid w:val="000F3857"/>
    <w:rsid w:val="000F3926"/>
    <w:rsid w:val="000F3A0B"/>
    <w:rsid w:val="000F3D57"/>
    <w:rsid w:val="000F3DC4"/>
    <w:rsid w:val="000F3FF8"/>
    <w:rsid w:val="000F4096"/>
    <w:rsid w:val="000F436E"/>
    <w:rsid w:val="000F4564"/>
    <w:rsid w:val="000F4666"/>
    <w:rsid w:val="000F47D9"/>
    <w:rsid w:val="000F4DC6"/>
    <w:rsid w:val="000F4DCA"/>
    <w:rsid w:val="000F575F"/>
    <w:rsid w:val="000F5856"/>
    <w:rsid w:val="000F5BE2"/>
    <w:rsid w:val="000F63FB"/>
    <w:rsid w:val="000F6B2C"/>
    <w:rsid w:val="000F6B46"/>
    <w:rsid w:val="000F6CD1"/>
    <w:rsid w:val="000F6E57"/>
    <w:rsid w:val="000F714C"/>
    <w:rsid w:val="000F715B"/>
    <w:rsid w:val="000F7302"/>
    <w:rsid w:val="000F74D8"/>
    <w:rsid w:val="000F7C35"/>
    <w:rsid w:val="000F7F4A"/>
    <w:rsid w:val="0010089B"/>
    <w:rsid w:val="0010096F"/>
    <w:rsid w:val="00101086"/>
    <w:rsid w:val="00101134"/>
    <w:rsid w:val="00101329"/>
    <w:rsid w:val="00101389"/>
    <w:rsid w:val="00102403"/>
    <w:rsid w:val="00102A48"/>
    <w:rsid w:val="00102A65"/>
    <w:rsid w:val="00103251"/>
    <w:rsid w:val="00103411"/>
    <w:rsid w:val="00103F37"/>
    <w:rsid w:val="00103FED"/>
    <w:rsid w:val="00104102"/>
    <w:rsid w:val="0010442F"/>
    <w:rsid w:val="0010491A"/>
    <w:rsid w:val="00104BA0"/>
    <w:rsid w:val="00104BCF"/>
    <w:rsid w:val="00104DDA"/>
    <w:rsid w:val="00104EED"/>
    <w:rsid w:val="00105392"/>
    <w:rsid w:val="00105647"/>
    <w:rsid w:val="001057D2"/>
    <w:rsid w:val="00105B39"/>
    <w:rsid w:val="00105F9B"/>
    <w:rsid w:val="00106312"/>
    <w:rsid w:val="001067FF"/>
    <w:rsid w:val="001068DE"/>
    <w:rsid w:val="00107455"/>
    <w:rsid w:val="001100B9"/>
    <w:rsid w:val="001103F6"/>
    <w:rsid w:val="0011046F"/>
    <w:rsid w:val="00110790"/>
    <w:rsid w:val="00110C07"/>
    <w:rsid w:val="00111145"/>
    <w:rsid w:val="00111921"/>
    <w:rsid w:val="00111D7A"/>
    <w:rsid w:val="001120F0"/>
    <w:rsid w:val="00112B4C"/>
    <w:rsid w:val="00112CF4"/>
    <w:rsid w:val="00112DDD"/>
    <w:rsid w:val="00113012"/>
    <w:rsid w:val="00113363"/>
    <w:rsid w:val="00113540"/>
    <w:rsid w:val="00113E54"/>
    <w:rsid w:val="001146BA"/>
    <w:rsid w:val="0011483A"/>
    <w:rsid w:val="00114B7B"/>
    <w:rsid w:val="00114BB7"/>
    <w:rsid w:val="00114E6C"/>
    <w:rsid w:val="00115662"/>
    <w:rsid w:val="0011589C"/>
    <w:rsid w:val="00115CF8"/>
    <w:rsid w:val="001162D3"/>
    <w:rsid w:val="00116450"/>
    <w:rsid w:val="001165F8"/>
    <w:rsid w:val="00116806"/>
    <w:rsid w:val="00116AD7"/>
    <w:rsid w:val="00116B60"/>
    <w:rsid w:val="00117101"/>
    <w:rsid w:val="0011718D"/>
    <w:rsid w:val="00117781"/>
    <w:rsid w:val="00117A15"/>
    <w:rsid w:val="00117A98"/>
    <w:rsid w:val="00117DCD"/>
    <w:rsid w:val="00120866"/>
    <w:rsid w:val="0012095D"/>
    <w:rsid w:val="00120A1F"/>
    <w:rsid w:val="00120C50"/>
    <w:rsid w:val="00120C58"/>
    <w:rsid w:val="00120F8A"/>
    <w:rsid w:val="00121046"/>
    <w:rsid w:val="00121274"/>
    <w:rsid w:val="001219FE"/>
    <w:rsid w:val="00121FA8"/>
    <w:rsid w:val="00122440"/>
    <w:rsid w:val="001224DD"/>
    <w:rsid w:val="001225AD"/>
    <w:rsid w:val="0012288F"/>
    <w:rsid w:val="00122CB2"/>
    <w:rsid w:val="00123031"/>
    <w:rsid w:val="00123037"/>
    <w:rsid w:val="0012304A"/>
    <w:rsid w:val="00123186"/>
    <w:rsid w:val="00123427"/>
    <w:rsid w:val="00123429"/>
    <w:rsid w:val="001237BE"/>
    <w:rsid w:val="00123882"/>
    <w:rsid w:val="0012390F"/>
    <w:rsid w:val="00123BE2"/>
    <w:rsid w:val="00123D39"/>
    <w:rsid w:val="00123DA4"/>
    <w:rsid w:val="00123F0F"/>
    <w:rsid w:val="00123FC6"/>
    <w:rsid w:val="001244CA"/>
    <w:rsid w:val="00124789"/>
    <w:rsid w:val="00124D79"/>
    <w:rsid w:val="00124F3D"/>
    <w:rsid w:val="00125751"/>
    <w:rsid w:val="00125BCA"/>
    <w:rsid w:val="00125CFE"/>
    <w:rsid w:val="001260B2"/>
    <w:rsid w:val="00126AC1"/>
    <w:rsid w:val="00126EAB"/>
    <w:rsid w:val="0012704D"/>
    <w:rsid w:val="0012771F"/>
    <w:rsid w:val="001305BF"/>
    <w:rsid w:val="00130A75"/>
    <w:rsid w:val="00131759"/>
    <w:rsid w:val="001317CE"/>
    <w:rsid w:val="001317EC"/>
    <w:rsid w:val="0013183F"/>
    <w:rsid w:val="00131909"/>
    <w:rsid w:val="00131B17"/>
    <w:rsid w:val="001324A0"/>
    <w:rsid w:val="00132634"/>
    <w:rsid w:val="00133108"/>
    <w:rsid w:val="0013310F"/>
    <w:rsid w:val="001332AF"/>
    <w:rsid w:val="001336FB"/>
    <w:rsid w:val="00133E47"/>
    <w:rsid w:val="0013454E"/>
    <w:rsid w:val="001348C3"/>
    <w:rsid w:val="0013515D"/>
    <w:rsid w:val="001352A3"/>
    <w:rsid w:val="001354B6"/>
    <w:rsid w:val="00135600"/>
    <w:rsid w:val="0013564A"/>
    <w:rsid w:val="00135B31"/>
    <w:rsid w:val="00135B74"/>
    <w:rsid w:val="00135DC3"/>
    <w:rsid w:val="00135F0D"/>
    <w:rsid w:val="00136102"/>
    <w:rsid w:val="0013650E"/>
    <w:rsid w:val="00136FDC"/>
    <w:rsid w:val="00137119"/>
    <w:rsid w:val="001373B2"/>
    <w:rsid w:val="0013755A"/>
    <w:rsid w:val="00137643"/>
    <w:rsid w:val="00137856"/>
    <w:rsid w:val="0013791E"/>
    <w:rsid w:val="00137DAE"/>
    <w:rsid w:val="00137E14"/>
    <w:rsid w:val="001400BF"/>
    <w:rsid w:val="0014014B"/>
    <w:rsid w:val="001402D5"/>
    <w:rsid w:val="00140504"/>
    <w:rsid w:val="0014054C"/>
    <w:rsid w:val="00140751"/>
    <w:rsid w:val="00141397"/>
    <w:rsid w:val="00141628"/>
    <w:rsid w:val="0014168F"/>
    <w:rsid w:val="0014191A"/>
    <w:rsid w:val="00141AEA"/>
    <w:rsid w:val="00141C84"/>
    <w:rsid w:val="001422A8"/>
    <w:rsid w:val="001424E7"/>
    <w:rsid w:val="001425E8"/>
    <w:rsid w:val="00142A48"/>
    <w:rsid w:val="00143391"/>
    <w:rsid w:val="00143453"/>
    <w:rsid w:val="001434F5"/>
    <w:rsid w:val="001436DB"/>
    <w:rsid w:val="0014383C"/>
    <w:rsid w:val="00143CFA"/>
    <w:rsid w:val="0014402F"/>
    <w:rsid w:val="00144A84"/>
    <w:rsid w:val="00144D19"/>
    <w:rsid w:val="001451D4"/>
    <w:rsid w:val="00145884"/>
    <w:rsid w:val="001458CE"/>
    <w:rsid w:val="001459D3"/>
    <w:rsid w:val="00145B03"/>
    <w:rsid w:val="00145C00"/>
    <w:rsid w:val="00145C9A"/>
    <w:rsid w:val="00145CEA"/>
    <w:rsid w:val="0014639D"/>
    <w:rsid w:val="0014688E"/>
    <w:rsid w:val="001469E7"/>
    <w:rsid w:val="0014771E"/>
    <w:rsid w:val="00147F52"/>
    <w:rsid w:val="001502D1"/>
    <w:rsid w:val="001504E5"/>
    <w:rsid w:val="0015065A"/>
    <w:rsid w:val="00150A88"/>
    <w:rsid w:val="00150E46"/>
    <w:rsid w:val="00151552"/>
    <w:rsid w:val="001516D6"/>
    <w:rsid w:val="001518FF"/>
    <w:rsid w:val="00151C4E"/>
    <w:rsid w:val="00152010"/>
    <w:rsid w:val="001521D6"/>
    <w:rsid w:val="0015264D"/>
    <w:rsid w:val="00152883"/>
    <w:rsid w:val="001528CE"/>
    <w:rsid w:val="001539FB"/>
    <w:rsid w:val="00153CCD"/>
    <w:rsid w:val="00154233"/>
    <w:rsid w:val="0015436C"/>
    <w:rsid w:val="00154826"/>
    <w:rsid w:val="00155330"/>
    <w:rsid w:val="0015567A"/>
    <w:rsid w:val="001557A8"/>
    <w:rsid w:val="00155C8B"/>
    <w:rsid w:val="00156109"/>
    <w:rsid w:val="0015623F"/>
    <w:rsid w:val="00156566"/>
    <w:rsid w:val="00156647"/>
    <w:rsid w:val="00156DE9"/>
    <w:rsid w:val="00156F2C"/>
    <w:rsid w:val="001572F6"/>
    <w:rsid w:val="001575C1"/>
    <w:rsid w:val="0015793A"/>
    <w:rsid w:val="00157B86"/>
    <w:rsid w:val="001605B2"/>
    <w:rsid w:val="001606A6"/>
    <w:rsid w:val="001608F0"/>
    <w:rsid w:val="00161037"/>
    <w:rsid w:val="00161188"/>
    <w:rsid w:val="00161727"/>
    <w:rsid w:val="00161CA1"/>
    <w:rsid w:val="00161D30"/>
    <w:rsid w:val="001621E8"/>
    <w:rsid w:val="00162477"/>
    <w:rsid w:val="001624E5"/>
    <w:rsid w:val="00162860"/>
    <w:rsid w:val="00162886"/>
    <w:rsid w:val="00162C40"/>
    <w:rsid w:val="00162DF7"/>
    <w:rsid w:val="0016315C"/>
    <w:rsid w:val="001631A3"/>
    <w:rsid w:val="00163B29"/>
    <w:rsid w:val="00163ED6"/>
    <w:rsid w:val="00164005"/>
    <w:rsid w:val="001640C9"/>
    <w:rsid w:val="001642D8"/>
    <w:rsid w:val="0016440E"/>
    <w:rsid w:val="0016457C"/>
    <w:rsid w:val="00164EA7"/>
    <w:rsid w:val="00165213"/>
    <w:rsid w:val="0016571C"/>
    <w:rsid w:val="00165804"/>
    <w:rsid w:val="001660E9"/>
    <w:rsid w:val="0016612B"/>
    <w:rsid w:val="00166182"/>
    <w:rsid w:val="00166E4F"/>
    <w:rsid w:val="00166F0B"/>
    <w:rsid w:val="0016786F"/>
    <w:rsid w:val="00167A0B"/>
    <w:rsid w:val="00167BDE"/>
    <w:rsid w:val="0017023C"/>
    <w:rsid w:val="001706CB"/>
    <w:rsid w:val="00171590"/>
    <w:rsid w:val="00171855"/>
    <w:rsid w:val="00172125"/>
    <w:rsid w:val="001728E3"/>
    <w:rsid w:val="001730C8"/>
    <w:rsid w:val="00173763"/>
    <w:rsid w:val="00173810"/>
    <w:rsid w:val="00173850"/>
    <w:rsid w:val="00173D92"/>
    <w:rsid w:val="00173F74"/>
    <w:rsid w:val="00174939"/>
    <w:rsid w:val="00174BC8"/>
    <w:rsid w:val="00174C67"/>
    <w:rsid w:val="00174FF6"/>
    <w:rsid w:val="00175056"/>
    <w:rsid w:val="00175282"/>
    <w:rsid w:val="001756CD"/>
    <w:rsid w:val="00175710"/>
    <w:rsid w:val="00175DC5"/>
    <w:rsid w:val="00176160"/>
    <w:rsid w:val="001762E0"/>
    <w:rsid w:val="00176470"/>
    <w:rsid w:val="00176949"/>
    <w:rsid w:val="00176EE5"/>
    <w:rsid w:val="001772A1"/>
    <w:rsid w:val="001773BE"/>
    <w:rsid w:val="001776B6"/>
    <w:rsid w:val="00177F70"/>
    <w:rsid w:val="00180208"/>
    <w:rsid w:val="0018046F"/>
    <w:rsid w:val="00180846"/>
    <w:rsid w:val="00180BB8"/>
    <w:rsid w:val="00180F30"/>
    <w:rsid w:val="001812DC"/>
    <w:rsid w:val="0018208F"/>
    <w:rsid w:val="00182685"/>
    <w:rsid w:val="00182C42"/>
    <w:rsid w:val="00182E1A"/>
    <w:rsid w:val="001832D6"/>
    <w:rsid w:val="00183844"/>
    <w:rsid w:val="00183D4E"/>
    <w:rsid w:val="00184204"/>
    <w:rsid w:val="0018426F"/>
    <w:rsid w:val="00184789"/>
    <w:rsid w:val="00184CD8"/>
    <w:rsid w:val="00184DA6"/>
    <w:rsid w:val="00185155"/>
    <w:rsid w:val="001856F1"/>
    <w:rsid w:val="001859F3"/>
    <w:rsid w:val="00185EB0"/>
    <w:rsid w:val="001863B7"/>
    <w:rsid w:val="00186B5D"/>
    <w:rsid w:val="00186E40"/>
    <w:rsid w:val="0018788D"/>
    <w:rsid w:val="00187A50"/>
    <w:rsid w:val="00187D5C"/>
    <w:rsid w:val="00190441"/>
    <w:rsid w:val="0019051B"/>
    <w:rsid w:val="001908C1"/>
    <w:rsid w:val="00190950"/>
    <w:rsid w:val="00191401"/>
    <w:rsid w:val="001918DB"/>
    <w:rsid w:val="0019193B"/>
    <w:rsid w:val="00191C33"/>
    <w:rsid w:val="00192110"/>
    <w:rsid w:val="001929C8"/>
    <w:rsid w:val="00192AE8"/>
    <w:rsid w:val="00193449"/>
    <w:rsid w:val="001936EA"/>
    <w:rsid w:val="00193CDD"/>
    <w:rsid w:val="00194912"/>
    <w:rsid w:val="00194957"/>
    <w:rsid w:val="00194AA0"/>
    <w:rsid w:val="00194C05"/>
    <w:rsid w:val="00194F9C"/>
    <w:rsid w:val="001953E6"/>
    <w:rsid w:val="0019543B"/>
    <w:rsid w:val="001956D5"/>
    <w:rsid w:val="00195719"/>
    <w:rsid w:val="00195872"/>
    <w:rsid w:val="00195F31"/>
    <w:rsid w:val="00196236"/>
    <w:rsid w:val="001963B0"/>
    <w:rsid w:val="001966FC"/>
    <w:rsid w:val="001967B7"/>
    <w:rsid w:val="001967FC"/>
    <w:rsid w:val="0019689D"/>
    <w:rsid w:val="001968C8"/>
    <w:rsid w:val="00196A56"/>
    <w:rsid w:val="00196DB3"/>
    <w:rsid w:val="00197274"/>
    <w:rsid w:val="00197A62"/>
    <w:rsid w:val="00197D54"/>
    <w:rsid w:val="001A021F"/>
    <w:rsid w:val="001A04A1"/>
    <w:rsid w:val="001A0707"/>
    <w:rsid w:val="001A0F32"/>
    <w:rsid w:val="001A0F3C"/>
    <w:rsid w:val="001A1992"/>
    <w:rsid w:val="001A1BC0"/>
    <w:rsid w:val="001A1CF7"/>
    <w:rsid w:val="001A1E51"/>
    <w:rsid w:val="001A21C7"/>
    <w:rsid w:val="001A2249"/>
    <w:rsid w:val="001A254C"/>
    <w:rsid w:val="001A32DB"/>
    <w:rsid w:val="001A3435"/>
    <w:rsid w:val="001A356C"/>
    <w:rsid w:val="001A374D"/>
    <w:rsid w:val="001A4A66"/>
    <w:rsid w:val="001A4BC4"/>
    <w:rsid w:val="001A4DB6"/>
    <w:rsid w:val="001A5813"/>
    <w:rsid w:val="001A59EF"/>
    <w:rsid w:val="001A5D2F"/>
    <w:rsid w:val="001A6288"/>
    <w:rsid w:val="001A6661"/>
    <w:rsid w:val="001A67F1"/>
    <w:rsid w:val="001A6EDB"/>
    <w:rsid w:val="001A6FFE"/>
    <w:rsid w:val="001B087C"/>
    <w:rsid w:val="001B0C01"/>
    <w:rsid w:val="001B0D66"/>
    <w:rsid w:val="001B0DF7"/>
    <w:rsid w:val="001B148B"/>
    <w:rsid w:val="001B15AE"/>
    <w:rsid w:val="001B16C6"/>
    <w:rsid w:val="001B17F2"/>
    <w:rsid w:val="001B19DE"/>
    <w:rsid w:val="001B2042"/>
    <w:rsid w:val="001B210A"/>
    <w:rsid w:val="001B28F0"/>
    <w:rsid w:val="001B29BD"/>
    <w:rsid w:val="001B2B77"/>
    <w:rsid w:val="001B324C"/>
    <w:rsid w:val="001B4215"/>
    <w:rsid w:val="001B42E9"/>
    <w:rsid w:val="001B437A"/>
    <w:rsid w:val="001B4881"/>
    <w:rsid w:val="001B490C"/>
    <w:rsid w:val="001B4A63"/>
    <w:rsid w:val="001B5BA3"/>
    <w:rsid w:val="001B60FF"/>
    <w:rsid w:val="001B62C8"/>
    <w:rsid w:val="001B62FC"/>
    <w:rsid w:val="001B64F3"/>
    <w:rsid w:val="001B68EB"/>
    <w:rsid w:val="001B6A60"/>
    <w:rsid w:val="001B6E8F"/>
    <w:rsid w:val="001B792C"/>
    <w:rsid w:val="001B7DE2"/>
    <w:rsid w:val="001C0106"/>
    <w:rsid w:val="001C06E0"/>
    <w:rsid w:val="001C0815"/>
    <w:rsid w:val="001C0D27"/>
    <w:rsid w:val="001C178E"/>
    <w:rsid w:val="001C1908"/>
    <w:rsid w:val="001C2478"/>
    <w:rsid w:val="001C2818"/>
    <w:rsid w:val="001C2871"/>
    <w:rsid w:val="001C2BC2"/>
    <w:rsid w:val="001C2D46"/>
    <w:rsid w:val="001C31A0"/>
    <w:rsid w:val="001C36FA"/>
    <w:rsid w:val="001C37C8"/>
    <w:rsid w:val="001C3DE6"/>
    <w:rsid w:val="001C4A71"/>
    <w:rsid w:val="001C4A72"/>
    <w:rsid w:val="001C4D2F"/>
    <w:rsid w:val="001C502F"/>
    <w:rsid w:val="001C54D2"/>
    <w:rsid w:val="001C5CAA"/>
    <w:rsid w:val="001C5DB6"/>
    <w:rsid w:val="001C6588"/>
    <w:rsid w:val="001C70DF"/>
    <w:rsid w:val="001C70E0"/>
    <w:rsid w:val="001C7807"/>
    <w:rsid w:val="001C7F74"/>
    <w:rsid w:val="001D05CD"/>
    <w:rsid w:val="001D0693"/>
    <w:rsid w:val="001D07B0"/>
    <w:rsid w:val="001D0A9B"/>
    <w:rsid w:val="001D0D30"/>
    <w:rsid w:val="001D1467"/>
    <w:rsid w:val="001D14E4"/>
    <w:rsid w:val="001D1DC9"/>
    <w:rsid w:val="001D2073"/>
    <w:rsid w:val="001D21BA"/>
    <w:rsid w:val="001D23A0"/>
    <w:rsid w:val="001D247E"/>
    <w:rsid w:val="001D2E39"/>
    <w:rsid w:val="001D3EF9"/>
    <w:rsid w:val="001D438B"/>
    <w:rsid w:val="001D4B70"/>
    <w:rsid w:val="001D512B"/>
    <w:rsid w:val="001D5162"/>
    <w:rsid w:val="001D5732"/>
    <w:rsid w:val="001D594F"/>
    <w:rsid w:val="001D5F50"/>
    <w:rsid w:val="001D6413"/>
    <w:rsid w:val="001D686D"/>
    <w:rsid w:val="001D6AC4"/>
    <w:rsid w:val="001D721C"/>
    <w:rsid w:val="001D74E7"/>
    <w:rsid w:val="001E0022"/>
    <w:rsid w:val="001E03CE"/>
    <w:rsid w:val="001E03D7"/>
    <w:rsid w:val="001E0400"/>
    <w:rsid w:val="001E05EA"/>
    <w:rsid w:val="001E06B2"/>
    <w:rsid w:val="001E097C"/>
    <w:rsid w:val="001E0C49"/>
    <w:rsid w:val="001E0C90"/>
    <w:rsid w:val="001E104E"/>
    <w:rsid w:val="001E19E3"/>
    <w:rsid w:val="001E1CD0"/>
    <w:rsid w:val="001E1E5E"/>
    <w:rsid w:val="001E2115"/>
    <w:rsid w:val="001E2136"/>
    <w:rsid w:val="001E24C3"/>
    <w:rsid w:val="001E2B85"/>
    <w:rsid w:val="001E308F"/>
    <w:rsid w:val="001E3712"/>
    <w:rsid w:val="001E376F"/>
    <w:rsid w:val="001E4088"/>
    <w:rsid w:val="001E4332"/>
    <w:rsid w:val="001E4503"/>
    <w:rsid w:val="001E4BE9"/>
    <w:rsid w:val="001E4FF2"/>
    <w:rsid w:val="001E5128"/>
    <w:rsid w:val="001E5779"/>
    <w:rsid w:val="001E5F9C"/>
    <w:rsid w:val="001E6120"/>
    <w:rsid w:val="001E61F4"/>
    <w:rsid w:val="001E6664"/>
    <w:rsid w:val="001E6798"/>
    <w:rsid w:val="001E6E7A"/>
    <w:rsid w:val="001E6EB3"/>
    <w:rsid w:val="001E6FAA"/>
    <w:rsid w:val="001E727D"/>
    <w:rsid w:val="001E7A90"/>
    <w:rsid w:val="001E7FB7"/>
    <w:rsid w:val="001F03E0"/>
    <w:rsid w:val="001F0406"/>
    <w:rsid w:val="001F0F23"/>
    <w:rsid w:val="001F1555"/>
    <w:rsid w:val="001F1816"/>
    <w:rsid w:val="001F18B6"/>
    <w:rsid w:val="001F1954"/>
    <w:rsid w:val="001F19EB"/>
    <w:rsid w:val="001F1B20"/>
    <w:rsid w:val="001F23E1"/>
    <w:rsid w:val="001F24BA"/>
    <w:rsid w:val="001F2799"/>
    <w:rsid w:val="001F2DBB"/>
    <w:rsid w:val="001F2E08"/>
    <w:rsid w:val="001F309C"/>
    <w:rsid w:val="001F39D3"/>
    <w:rsid w:val="001F3CBC"/>
    <w:rsid w:val="001F41D6"/>
    <w:rsid w:val="001F45CF"/>
    <w:rsid w:val="001F495D"/>
    <w:rsid w:val="001F4A90"/>
    <w:rsid w:val="001F4AB6"/>
    <w:rsid w:val="001F4CA8"/>
    <w:rsid w:val="001F560D"/>
    <w:rsid w:val="001F564A"/>
    <w:rsid w:val="001F586E"/>
    <w:rsid w:val="001F6533"/>
    <w:rsid w:val="001F6FF0"/>
    <w:rsid w:val="001F7072"/>
    <w:rsid w:val="001F7110"/>
    <w:rsid w:val="001F762E"/>
    <w:rsid w:val="001F7974"/>
    <w:rsid w:val="001F7B01"/>
    <w:rsid w:val="001F7C41"/>
    <w:rsid w:val="001F7C6E"/>
    <w:rsid w:val="001F7D82"/>
    <w:rsid w:val="00200116"/>
    <w:rsid w:val="002006C9"/>
    <w:rsid w:val="00200CF6"/>
    <w:rsid w:val="0020112B"/>
    <w:rsid w:val="0020135A"/>
    <w:rsid w:val="002021EA"/>
    <w:rsid w:val="002024D7"/>
    <w:rsid w:val="0020297E"/>
    <w:rsid w:val="00202B71"/>
    <w:rsid w:val="00202D65"/>
    <w:rsid w:val="00203232"/>
    <w:rsid w:val="002035F1"/>
    <w:rsid w:val="0020382D"/>
    <w:rsid w:val="00203BE6"/>
    <w:rsid w:val="0020443A"/>
    <w:rsid w:val="00205341"/>
    <w:rsid w:val="0020534C"/>
    <w:rsid w:val="00205CB3"/>
    <w:rsid w:val="00205D75"/>
    <w:rsid w:val="00205EF7"/>
    <w:rsid w:val="0020603B"/>
    <w:rsid w:val="002062D6"/>
    <w:rsid w:val="002063A3"/>
    <w:rsid w:val="0020645C"/>
    <w:rsid w:val="00206790"/>
    <w:rsid w:val="00206C4A"/>
    <w:rsid w:val="002072F0"/>
    <w:rsid w:val="002075B0"/>
    <w:rsid w:val="0020783A"/>
    <w:rsid w:val="00207BFF"/>
    <w:rsid w:val="00207C91"/>
    <w:rsid w:val="0021079A"/>
    <w:rsid w:val="0021087D"/>
    <w:rsid w:val="00210D00"/>
    <w:rsid w:val="002110FA"/>
    <w:rsid w:val="00211224"/>
    <w:rsid w:val="0021139B"/>
    <w:rsid w:val="00211B19"/>
    <w:rsid w:val="00211D9A"/>
    <w:rsid w:val="00211F9B"/>
    <w:rsid w:val="002122C8"/>
    <w:rsid w:val="0021231A"/>
    <w:rsid w:val="00212657"/>
    <w:rsid w:val="0021348E"/>
    <w:rsid w:val="00213498"/>
    <w:rsid w:val="0021353D"/>
    <w:rsid w:val="00213BC9"/>
    <w:rsid w:val="00213F14"/>
    <w:rsid w:val="0021405F"/>
    <w:rsid w:val="00214D45"/>
    <w:rsid w:val="00214F34"/>
    <w:rsid w:val="002150CA"/>
    <w:rsid w:val="00215197"/>
    <w:rsid w:val="00215D1F"/>
    <w:rsid w:val="00215FB3"/>
    <w:rsid w:val="00215FEF"/>
    <w:rsid w:val="002161C6"/>
    <w:rsid w:val="0021644D"/>
    <w:rsid w:val="00216574"/>
    <w:rsid w:val="002166CD"/>
    <w:rsid w:val="002169CE"/>
    <w:rsid w:val="00216B6C"/>
    <w:rsid w:val="00216DC9"/>
    <w:rsid w:val="00216F40"/>
    <w:rsid w:val="002171AC"/>
    <w:rsid w:val="00217948"/>
    <w:rsid w:val="00220215"/>
    <w:rsid w:val="00220308"/>
    <w:rsid w:val="002203F9"/>
    <w:rsid w:val="00220E2F"/>
    <w:rsid w:val="0022109E"/>
    <w:rsid w:val="002210BD"/>
    <w:rsid w:val="00221196"/>
    <w:rsid w:val="002218F3"/>
    <w:rsid w:val="002225B1"/>
    <w:rsid w:val="00222727"/>
    <w:rsid w:val="002227A7"/>
    <w:rsid w:val="00222C6D"/>
    <w:rsid w:val="00222F95"/>
    <w:rsid w:val="002230F5"/>
    <w:rsid w:val="002231E2"/>
    <w:rsid w:val="0022372F"/>
    <w:rsid w:val="002238DF"/>
    <w:rsid w:val="00223D71"/>
    <w:rsid w:val="00224106"/>
    <w:rsid w:val="002248F0"/>
    <w:rsid w:val="00225100"/>
    <w:rsid w:val="00226193"/>
    <w:rsid w:val="00226531"/>
    <w:rsid w:val="00226869"/>
    <w:rsid w:val="00226A5C"/>
    <w:rsid w:val="00226D33"/>
    <w:rsid w:val="002270D8"/>
    <w:rsid w:val="00227B44"/>
    <w:rsid w:val="00227B59"/>
    <w:rsid w:val="00227C6C"/>
    <w:rsid w:val="00227F6E"/>
    <w:rsid w:val="002302FB"/>
    <w:rsid w:val="00230360"/>
    <w:rsid w:val="002303CE"/>
    <w:rsid w:val="002306AD"/>
    <w:rsid w:val="002306BB"/>
    <w:rsid w:val="0023080B"/>
    <w:rsid w:val="00231623"/>
    <w:rsid w:val="002318A8"/>
    <w:rsid w:val="002325C9"/>
    <w:rsid w:val="002327F2"/>
    <w:rsid w:val="00232E63"/>
    <w:rsid w:val="00232FCF"/>
    <w:rsid w:val="00233B63"/>
    <w:rsid w:val="0023403C"/>
    <w:rsid w:val="002344EA"/>
    <w:rsid w:val="0023463B"/>
    <w:rsid w:val="002346F7"/>
    <w:rsid w:val="00234A90"/>
    <w:rsid w:val="00235268"/>
    <w:rsid w:val="002357BA"/>
    <w:rsid w:val="00235959"/>
    <w:rsid w:val="00235AFC"/>
    <w:rsid w:val="00235B21"/>
    <w:rsid w:val="00236595"/>
    <w:rsid w:val="0023666F"/>
    <w:rsid w:val="00237465"/>
    <w:rsid w:val="0023747E"/>
    <w:rsid w:val="0023751E"/>
    <w:rsid w:val="0024116B"/>
    <w:rsid w:val="002419E3"/>
    <w:rsid w:val="00241A50"/>
    <w:rsid w:val="00242074"/>
    <w:rsid w:val="00242528"/>
    <w:rsid w:val="0024313E"/>
    <w:rsid w:val="00243777"/>
    <w:rsid w:val="002437B1"/>
    <w:rsid w:val="002438F7"/>
    <w:rsid w:val="002439DE"/>
    <w:rsid w:val="00243BD1"/>
    <w:rsid w:val="00243DF5"/>
    <w:rsid w:val="002455DC"/>
    <w:rsid w:val="00245989"/>
    <w:rsid w:val="00245BE6"/>
    <w:rsid w:val="00245EE3"/>
    <w:rsid w:val="00246402"/>
    <w:rsid w:val="002464D4"/>
    <w:rsid w:val="00246592"/>
    <w:rsid w:val="0024663F"/>
    <w:rsid w:val="002466FA"/>
    <w:rsid w:val="00246AE3"/>
    <w:rsid w:val="00246BBA"/>
    <w:rsid w:val="00246D83"/>
    <w:rsid w:val="00246EA4"/>
    <w:rsid w:val="00246FF1"/>
    <w:rsid w:val="0024717D"/>
    <w:rsid w:val="0024759F"/>
    <w:rsid w:val="002502C5"/>
    <w:rsid w:val="002506A1"/>
    <w:rsid w:val="00250A41"/>
    <w:rsid w:val="00250F24"/>
    <w:rsid w:val="002515BD"/>
    <w:rsid w:val="002515CC"/>
    <w:rsid w:val="002518CB"/>
    <w:rsid w:val="00251F87"/>
    <w:rsid w:val="00252499"/>
    <w:rsid w:val="00252663"/>
    <w:rsid w:val="002528E5"/>
    <w:rsid w:val="00252BB5"/>
    <w:rsid w:val="00253729"/>
    <w:rsid w:val="002541A2"/>
    <w:rsid w:val="002542C0"/>
    <w:rsid w:val="00254782"/>
    <w:rsid w:val="002548B2"/>
    <w:rsid w:val="0025567C"/>
    <w:rsid w:val="00255891"/>
    <w:rsid w:val="00255B0D"/>
    <w:rsid w:val="00255DB4"/>
    <w:rsid w:val="00255F40"/>
    <w:rsid w:val="002560F5"/>
    <w:rsid w:val="00256529"/>
    <w:rsid w:val="00256961"/>
    <w:rsid w:val="002569D1"/>
    <w:rsid w:val="00256A14"/>
    <w:rsid w:val="002574BC"/>
    <w:rsid w:val="00257503"/>
    <w:rsid w:val="00257616"/>
    <w:rsid w:val="002577B6"/>
    <w:rsid w:val="0025799D"/>
    <w:rsid w:val="002579BE"/>
    <w:rsid w:val="00257A38"/>
    <w:rsid w:val="00257B0B"/>
    <w:rsid w:val="00257DA8"/>
    <w:rsid w:val="0026019E"/>
    <w:rsid w:val="002601F1"/>
    <w:rsid w:val="00260950"/>
    <w:rsid w:val="0026099B"/>
    <w:rsid w:val="0026120B"/>
    <w:rsid w:val="00261DCA"/>
    <w:rsid w:val="00261EC1"/>
    <w:rsid w:val="00262113"/>
    <w:rsid w:val="0026276F"/>
    <w:rsid w:val="00262EAF"/>
    <w:rsid w:val="002633C5"/>
    <w:rsid w:val="0026350F"/>
    <w:rsid w:val="002640F3"/>
    <w:rsid w:val="00264108"/>
    <w:rsid w:val="002641C8"/>
    <w:rsid w:val="002643DB"/>
    <w:rsid w:val="002644BF"/>
    <w:rsid w:val="0026475D"/>
    <w:rsid w:val="00264A43"/>
    <w:rsid w:val="00264D04"/>
    <w:rsid w:val="002655FC"/>
    <w:rsid w:val="002659CC"/>
    <w:rsid w:val="00265B3D"/>
    <w:rsid w:val="002661C8"/>
    <w:rsid w:val="002661FF"/>
    <w:rsid w:val="00266347"/>
    <w:rsid w:val="0026636C"/>
    <w:rsid w:val="002666B0"/>
    <w:rsid w:val="00266758"/>
    <w:rsid w:val="002667CA"/>
    <w:rsid w:val="002668AD"/>
    <w:rsid w:val="00266A02"/>
    <w:rsid w:val="00267585"/>
    <w:rsid w:val="002675DC"/>
    <w:rsid w:val="002709CA"/>
    <w:rsid w:val="00270BA1"/>
    <w:rsid w:val="00270C82"/>
    <w:rsid w:val="0027170F"/>
    <w:rsid w:val="00272042"/>
    <w:rsid w:val="00272131"/>
    <w:rsid w:val="0027219B"/>
    <w:rsid w:val="0027226E"/>
    <w:rsid w:val="002724A7"/>
    <w:rsid w:val="002729D0"/>
    <w:rsid w:val="002730CC"/>
    <w:rsid w:val="00273906"/>
    <w:rsid w:val="00273AD5"/>
    <w:rsid w:val="00273B8E"/>
    <w:rsid w:val="00273C60"/>
    <w:rsid w:val="00274163"/>
    <w:rsid w:val="002745CE"/>
    <w:rsid w:val="0027479B"/>
    <w:rsid w:val="002748E8"/>
    <w:rsid w:val="00274CA3"/>
    <w:rsid w:val="00274F7F"/>
    <w:rsid w:val="00274FF5"/>
    <w:rsid w:val="002751E7"/>
    <w:rsid w:val="0027524B"/>
    <w:rsid w:val="002753E1"/>
    <w:rsid w:val="0027557A"/>
    <w:rsid w:val="002757CF"/>
    <w:rsid w:val="002759BB"/>
    <w:rsid w:val="00275B1C"/>
    <w:rsid w:val="00276538"/>
    <w:rsid w:val="0027694D"/>
    <w:rsid w:val="00276A9E"/>
    <w:rsid w:val="00277090"/>
    <w:rsid w:val="0027745D"/>
    <w:rsid w:val="002774D2"/>
    <w:rsid w:val="00277D49"/>
    <w:rsid w:val="0028046D"/>
    <w:rsid w:val="002805E7"/>
    <w:rsid w:val="0028083E"/>
    <w:rsid w:val="00280B0B"/>
    <w:rsid w:val="00280EC7"/>
    <w:rsid w:val="00280F06"/>
    <w:rsid w:val="00281B26"/>
    <w:rsid w:val="00281E8F"/>
    <w:rsid w:val="00282178"/>
    <w:rsid w:val="00282219"/>
    <w:rsid w:val="00282613"/>
    <w:rsid w:val="00283322"/>
    <w:rsid w:val="00283907"/>
    <w:rsid w:val="00283BA3"/>
    <w:rsid w:val="0028435D"/>
    <w:rsid w:val="00284F17"/>
    <w:rsid w:val="002851C6"/>
    <w:rsid w:val="0028595A"/>
    <w:rsid w:val="00285960"/>
    <w:rsid w:val="002864A3"/>
    <w:rsid w:val="0028669E"/>
    <w:rsid w:val="00286FF6"/>
    <w:rsid w:val="00287534"/>
    <w:rsid w:val="002876FD"/>
    <w:rsid w:val="00287D9D"/>
    <w:rsid w:val="00287E7D"/>
    <w:rsid w:val="002903BF"/>
    <w:rsid w:val="002911DC"/>
    <w:rsid w:val="00291D89"/>
    <w:rsid w:val="00291FD7"/>
    <w:rsid w:val="002922EC"/>
    <w:rsid w:val="00292480"/>
    <w:rsid w:val="00292BAA"/>
    <w:rsid w:val="00292D42"/>
    <w:rsid w:val="00292DE0"/>
    <w:rsid w:val="00292F99"/>
    <w:rsid w:val="00292FB0"/>
    <w:rsid w:val="002932CD"/>
    <w:rsid w:val="00293CC2"/>
    <w:rsid w:val="00293D41"/>
    <w:rsid w:val="00294B2B"/>
    <w:rsid w:val="00294E43"/>
    <w:rsid w:val="00295042"/>
    <w:rsid w:val="002959E7"/>
    <w:rsid w:val="00295A0D"/>
    <w:rsid w:val="00295F31"/>
    <w:rsid w:val="0029616C"/>
    <w:rsid w:val="00296377"/>
    <w:rsid w:val="002964CE"/>
    <w:rsid w:val="00296618"/>
    <w:rsid w:val="00296E9C"/>
    <w:rsid w:val="00296F16"/>
    <w:rsid w:val="00296FAC"/>
    <w:rsid w:val="00297089"/>
    <w:rsid w:val="00297254"/>
    <w:rsid w:val="002976C4"/>
    <w:rsid w:val="00297CDC"/>
    <w:rsid w:val="002A0384"/>
    <w:rsid w:val="002A057A"/>
    <w:rsid w:val="002A0FBF"/>
    <w:rsid w:val="002A1E57"/>
    <w:rsid w:val="002A2140"/>
    <w:rsid w:val="002A2398"/>
    <w:rsid w:val="002A2857"/>
    <w:rsid w:val="002A2B78"/>
    <w:rsid w:val="002A305D"/>
    <w:rsid w:val="002A3230"/>
    <w:rsid w:val="002A325F"/>
    <w:rsid w:val="002A3306"/>
    <w:rsid w:val="002A3676"/>
    <w:rsid w:val="002A39C3"/>
    <w:rsid w:val="002A3A34"/>
    <w:rsid w:val="002A44DB"/>
    <w:rsid w:val="002A521B"/>
    <w:rsid w:val="002A53BE"/>
    <w:rsid w:val="002A5619"/>
    <w:rsid w:val="002A579C"/>
    <w:rsid w:val="002A5913"/>
    <w:rsid w:val="002A5AD6"/>
    <w:rsid w:val="002A5F5A"/>
    <w:rsid w:val="002A630D"/>
    <w:rsid w:val="002A643A"/>
    <w:rsid w:val="002A652A"/>
    <w:rsid w:val="002A6F8A"/>
    <w:rsid w:val="002A703D"/>
    <w:rsid w:val="002A73AC"/>
    <w:rsid w:val="002A7E5A"/>
    <w:rsid w:val="002B01BD"/>
    <w:rsid w:val="002B01C7"/>
    <w:rsid w:val="002B03D8"/>
    <w:rsid w:val="002B0669"/>
    <w:rsid w:val="002B07E2"/>
    <w:rsid w:val="002B0998"/>
    <w:rsid w:val="002B0CAB"/>
    <w:rsid w:val="002B0E24"/>
    <w:rsid w:val="002B103E"/>
    <w:rsid w:val="002B16BF"/>
    <w:rsid w:val="002B17E5"/>
    <w:rsid w:val="002B1987"/>
    <w:rsid w:val="002B1DAB"/>
    <w:rsid w:val="002B222D"/>
    <w:rsid w:val="002B2738"/>
    <w:rsid w:val="002B28E3"/>
    <w:rsid w:val="002B2EE1"/>
    <w:rsid w:val="002B37C4"/>
    <w:rsid w:val="002B3DAC"/>
    <w:rsid w:val="002B3E97"/>
    <w:rsid w:val="002B3FAF"/>
    <w:rsid w:val="002B3FF3"/>
    <w:rsid w:val="002B42DA"/>
    <w:rsid w:val="002B4520"/>
    <w:rsid w:val="002B47AE"/>
    <w:rsid w:val="002B48ED"/>
    <w:rsid w:val="002B4A65"/>
    <w:rsid w:val="002B4A79"/>
    <w:rsid w:val="002B4B0D"/>
    <w:rsid w:val="002B5223"/>
    <w:rsid w:val="002B5261"/>
    <w:rsid w:val="002B5490"/>
    <w:rsid w:val="002B5678"/>
    <w:rsid w:val="002B5DDD"/>
    <w:rsid w:val="002B5EA3"/>
    <w:rsid w:val="002B635E"/>
    <w:rsid w:val="002B68A1"/>
    <w:rsid w:val="002B6CF2"/>
    <w:rsid w:val="002B6F82"/>
    <w:rsid w:val="002B70E8"/>
    <w:rsid w:val="002B75C6"/>
    <w:rsid w:val="002B7FA6"/>
    <w:rsid w:val="002C016B"/>
    <w:rsid w:val="002C03B3"/>
    <w:rsid w:val="002C06FD"/>
    <w:rsid w:val="002C0AD1"/>
    <w:rsid w:val="002C104E"/>
    <w:rsid w:val="002C11AE"/>
    <w:rsid w:val="002C1950"/>
    <w:rsid w:val="002C1A19"/>
    <w:rsid w:val="002C1A48"/>
    <w:rsid w:val="002C1B74"/>
    <w:rsid w:val="002C1CC0"/>
    <w:rsid w:val="002C1FF9"/>
    <w:rsid w:val="002C2059"/>
    <w:rsid w:val="002C2357"/>
    <w:rsid w:val="002C2957"/>
    <w:rsid w:val="002C2DF1"/>
    <w:rsid w:val="002C3071"/>
    <w:rsid w:val="002C3943"/>
    <w:rsid w:val="002C3946"/>
    <w:rsid w:val="002C4404"/>
    <w:rsid w:val="002C442C"/>
    <w:rsid w:val="002C473D"/>
    <w:rsid w:val="002C4B56"/>
    <w:rsid w:val="002C527C"/>
    <w:rsid w:val="002C5473"/>
    <w:rsid w:val="002C5478"/>
    <w:rsid w:val="002C547B"/>
    <w:rsid w:val="002C57C5"/>
    <w:rsid w:val="002C59C1"/>
    <w:rsid w:val="002C60CD"/>
    <w:rsid w:val="002C69BF"/>
    <w:rsid w:val="002C6D86"/>
    <w:rsid w:val="002C7622"/>
    <w:rsid w:val="002C7C27"/>
    <w:rsid w:val="002C7E0C"/>
    <w:rsid w:val="002C7F1A"/>
    <w:rsid w:val="002D067D"/>
    <w:rsid w:val="002D06B0"/>
    <w:rsid w:val="002D09AA"/>
    <w:rsid w:val="002D1310"/>
    <w:rsid w:val="002D20CC"/>
    <w:rsid w:val="002D3292"/>
    <w:rsid w:val="002D38A2"/>
    <w:rsid w:val="002D3C90"/>
    <w:rsid w:val="002D3D36"/>
    <w:rsid w:val="002D426B"/>
    <w:rsid w:val="002D4810"/>
    <w:rsid w:val="002D4994"/>
    <w:rsid w:val="002D526A"/>
    <w:rsid w:val="002D52BC"/>
    <w:rsid w:val="002D5599"/>
    <w:rsid w:val="002D5B19"/>
    <w:rsid w:val="002D5D59"/>
    <w:rsid w:val="002D6D5C"/>
    <w:rsid w:val="002D6DF2"/>
    <w:rsid w:val="002D6E3E"/>
    <w:rsid w:val="002D7A7E"/>
    <w:rsid w:val="002D7D34"/>
    <w:rsid w:val="002D7F55"/>
    <w:rsid w:val="002E0038"/>
    <w:rsid w:val="002E009C"/>
    <w:rsid w:val="002E01DD"/>
    <w:rsid w:val="002E050C"/>
    <w:rsid w:val="002E08C3"/>
    <w:rsid w:val="002E0C55"/>
    <w:rsid w:val="002E0F32"/>
    <w:rsid w:val="002E1090"/>
    <w:rsid w:val="002E1477"/>
    <w:rsid w:val="002E1AC5"/>
    <w:rsid w:val="002E1DBA"/>
    <w:rsid w:val="002E1F88"/>
    <w:rsid w:val="002E21E4"/>
    <w:rsid w:val="002E21F7"/>
    <w:rsid w:val="002E26C4"/>
    <w:rsid w:val="002E2F52"/>
    <w:rsid w:val="002E3235"/>
    <w:rsid w:val="002E3546"/>
    <w:rsid w:val="002E3C20"/>
    <w:rsid w:val="002E3CAA"/>
    <w:rsid w:val="002E3E14"/>
    <w:rsid w:val="002E40BB"/>
    <w:rsid w:val="002E43F6"/>
    <w:rsid w:val="002E4504"/>
    <w:rsid w:val="002E4C9C"/>
    <w:rsid w:val="002E5226"/>
    <w:rsid w:val="002E523D"/>
    <w:rsid w:val="002E5B4F"/>
    <w:rsid w:val="002E5FA9"/>
    <w:rsid w:val="002E62C0"/>
    <w:rsid w:val="002E6D36"/>
    <w:rsid w:val="002E6EB5"/>
    <w:rsid w:val="002E6FDC"/>
    <w:rsid w:val="002E775A"/>
    <w:rsid w:val="002E7F12"/>
    <w:rsid w:val="002F0679"/>
    <w:rsid w:val="002F0E53"/>
    <w:rsid w:val="002F15C0"/>
    <w:rsid w:val="002F166E"/>
    <w:rsid w:val="002F1AE9"/>
    <w:rsid w:val="002F1AF6"/>
    <w:rsid w:val="002F1E3D"/>
    <w:rsid w:val="002F2580"/>
    <w:rsid w:val="002F2B81"/>
    <w:rsid w:val="002F2CEB"/>
    <w:rsid w:val="002F2D00"/>
    <w:rsid w:val="002F2DD4"/>
    <w:rsid w:val="002F3B1A"/>
    <w:rsid w:val="002F3D90"/>
    <w:rsid w:val="002F3E40"/>
    <w:rsid w:val="002F3F63"/>
    <w:rsid w:val="002F41B4"/>
    <w:rsid w:val="002F43B6"/>
    <w:rsid w:val="002F46E6"/>
    <w:rsid w:val="002F4F09"/>
    <w:rsid w:val="002F509B"/>
    <w:rsid w:val="002F510D"/>
    <w:rsid w:val="002F51C5"/>
    <w:rsid w:val="002F572E"/>
    <w:rsid w:val="002F57B2"/>
    <w:rsid w:val="002F5EFD"/>
    <w:rsid w:val="002F611C"/>
    <w:rsid w:val="002F6442"/>
    <w:rsid w:val="002F68B8"/>
    <w:rsid w:val="002F6A91"/>
    <w:rsid w:val="002F7356"/>
    <w:rsid w:val="002F74E7"/>
    <w:rsid w:val="002F76A2"/>
    <w:rsid w:val="00300048"/>
    <w:rsid w:val="00300105"/>
    <w:rsid w:val="003008A1"/>
    <w:rsid w:val="003008DA"/>
    <w:rsid w:val="003009BE"/>
    <w:rsid w:val="00300C08"/>
    <w:rsid w:val="003012DD"/>
    <w:rsid w:val="00301357"/>
    <w:rsid w:val="003013F6"/>
    <w:rsid w:val="00301CC0"/>
    <w:rsid w:val="00301DB8"/>
    <w:rsid w:val="00301F20"/>
    <w:rsid w:val="00301F84"/>
    <w:rsid w:val="00302267"/>
    <w:rsid w:val="0030249B"/>
    <w:rsid w:val="00302741"/>
    <w:rsid w:val="003029AC"/>
    <w:rsid w:val="0030321B"/>
    <w:rsid w:val="00303371"/>
    <w:rsid w:val="003043C9"/>
    <w:rsid w:val="00304BB1"/>
    <w:rsid w:val="00305787"/>
    <w:rsid w:val="003057DE"/>
    <w:rsid w:val="00305A5F"/>
    <w:rsid w:val="00305AD6"/>
    <w:rsid w:val="00305C7F"/>
    <w:rsid w:val="003063F6"/>
    <w:rsid w:val="00306A61"/>
    <w:rsid w:val="00306CD1"/>
    <w:rsid w:val="003074E2"/>
    <w:rsid w:val="0030758E"/>
    <w:rsid w:val="00307C44"/>
    <w:rsid w:val="00307D48"/>
    <w:rsid w:val="00307DA8"/>
    <w:rsid w:val="00310330"/>
    <w:rsid w:val="0031086D"/>
    <w:rsid w:val="00310BD3"/>
    <w:rsid w:val="00310F83"/>
    <w:rsid w:val="0031167D"/>
    <w:rsid w:val="00311A5C"/>
    <w:rsid w:val="00311C79"/>
    <w:rsid w:val="00311D8D"/>
    <w:rsid w:val="00312B64"/>
    <w:rsid w:val="00312C56"/>
    <w:rsid w:val="00312EB7"/>
    <w:rsid w:val="003133B8"/>
    <w:rsid w:val="003136DF"/>
    <w:rsid w:val="003139A0"/>
    <w:rsid w:val="00313CED"/>
    <w:rsid w:val="00313D47"/>
    <w:rsid w:val="003142C6"/>
    <w:rsid w:val="003146FA"/>
    <w:rsid w:val="0031482C"/>
    <w:rsid w:val="00314B35"/>
    <w:rsid w:val="00314EE6"/>
    <w:rsid w:val="00315227"/>
    <w:rsid w:val="0031536B"/>
    <w:rsid w:val="0031545D"/>
    <w:rsid w:val="00315677"/>
    <w:rsid w:val="00315922"/>
    <w:rsid w:val="00315BED"/>
    <w:rsid w:val="00315CA6"/>
    <w:rsid w:val="00315EFC"/>
    <w:rsid w:val="00316016"/>
    <w:rsid w:val="0031609D"/>
    <w:rsid w:val="0031654B"/>
    <w:rsid w:val="00317221"/>
    <w:rsid w:val="003175CD"/>
    <w:rsid w:val="003176EB"/>
    <w:rsid w:val="0031786B"/>
    <w:rsid w:val="00317BB6"/>
    <w:rsid w:val="00317E61"/>
    <w:rsid w:val="00320837"/>
    <w:rsid w:val="00320869"/>
    <w:rsid w:val="00320CA0"/>
    <w:rsid w:val="00320DFC"/>
    <w:rsid w:val="003216F5"/>
    <w:rsid w:val="0032191E"/>
    <w:rsid w:val="00321923"/>
    <w:rsid w:val="00321CBA"/>
    <w:rsid w:val="0032225E"/>
    <w:rsid w:val="003225C2"/>
    <w:rsid w:val="003225E5"/>
    <w:rsid w:val="00322680"/>
    <w:rsid w:val="00322A4A"/>
    <w:rsid w:val="00322DE3"/>
    <w:rsid w:val="00322E1C"/>
    <w:rsid w:val="00323AD3"/>
    <w:rsid w:val="00323B71"/>
    <w:rsid w:val="00323E7D"/>
    <w:rsid w:val="0032454A"/>
    <w:rsid w:val="00324A46"/>
    <w:rsid w:val="00324CA1"/>
    <w:rsid w:val="00324EF8"/>
    <w:rsid w:val="00324F30"/>
    <w:rsid w:val="00325575"/>
    <w:rsid w:val="0032573B"/>
    <w:rsid w:val="00325C06"/>
    <w:rsid w:val="00325DB3"/>
    <w:rsid w:val="00325DC1"/>
    <w:rsid w:val="00326682"/>
    <w:rsid w:val="00326DC5"/>
    <w:rsid w:val="00326E37"/>
    <w:rsid w:val="0032712F"/>
    <w:rsid w:val="00327751"/>
    <w:rsid w:val="00327E5B"/>
    <w:rsid w:val="00330130"/>
    <w:rsid w:val="00330B6F"/>
    <w:rsid w:val="00330E72"/>
    <w:rsid w:val="003311E4"/>
    <w:rsid w:val="0033131D"/>
    <w:rsid w:val="00331B51"/>
    <w:rsid w:val="00331B8A"/>
    <w:rsid w:val="00331DED"/>
    <w:rsid w:val="00331E2B"/>
    <w:rsid w:val="00331F34"/>
    <w:rsid w:val="00332472"/>
    <w:rsid w:val="003326B7"/>
    <w:rsid w:val="003327E5"/>
    <w:rsid w:val="0033379E"/>
    <w:rsid w:val="00333986"/>
    <w:rsid w:val="00333C9E"/>
    <w:rsid w:val="00334317"/>
    <w:rsid w:val="00334A61"/>
    <w:rsid w:val="00334B78"/>
    <w:rsid w:val="00334BF5"/>
    <w:rsid w:val="00335346"/>
    <w:rsid w:val="0033539F"/>
    <w:rsid w:val="003354D6"/>
    <w:rsid w:val="003358F3"/>
    <w:rsid w:val="00335B31"/>
    <w:rsid w:val="00335E1A"/>
    <w:rsid w:val="00335E9D"/>
    <w:rsid w:val="003360C0"/>
    <w:rsid w:val="0033615A"/>
    <w:rsid w:val="0033621E"/>
    <w:rsid w:val="0033630C"/>
    <w:rsid w:val="00336854"/>
    <w:rsid w:val="003369A9"/>
    <w:rsid w:val="0033743C"/>
    <w:rsid w:val="003374CA"/>
    <w:rsid w:val="00337DEC"/>
    <w:rsid w:val="00337E6D"/>
    <w:rsid w:val="003400CD"/>
    <w:rsid w:val="00340130"/>
    <w:rsid w:val="0034015E"/>
    <w:rsid w:val="00340A30"/>
    <w:rsid w:val="00340B6C"/>
    <w:rsid w:val="00340ED1"/>
    <w:rsid w:val="003410CB"/>
    <w:rsid w:val="00341B33"/>
    <w:rsid w:val="00341E38"/>
    <w:rsid w:val="00342004"/>
    <w:rsid w:val="003421FF"/>
    <w:rsid w:val="003427DA"/>
    <w:rsid w:val="00342839"/>
    <w:rsid w:val="00342CA3"/>
    <w:rsid w:val="00343077"/>
    <w:rsid w:val="00343940"/>
    <w:rsid w:val="00343C98"/>
    <w:rsid w:val="00343E30"/>
    <w:rsid w:val="00343FAF"/>
    <w:rsid w:val="003442FB"/>
    <w:rsid w:val="00344706"/>
    <w:rsid w:val="003448EB"/>
    <w:rsid w:val="0034495B"/>
    <w:rsid w:val="00344A16"/>
    <w:rsid w:val="00345200"/>
    <w:rsid w:val="00345703"/>
    <w:rsid w:val="00345AC5"/>
    <w:rsid w:val="00345C69"/>
    <w:rsid w:val="00345D57"/>
    <w:rsid w:val="00346743"/>
    <w:rsid w:val="00346D1B"/>
    <w:rsid w:val="00346E43"/>
    <w:rsid w:val="0034704A"/>
    <w:rsid w:val="00347A16"/>
    <w:rsid w:val="00347DC2"/>
    <w:rsid w:val="00350044"/>
    <w:rsid w:val="003501BD"/>
    <w:rsid w:val="003502E0"/>
    <w:rsid w:val="00350380"/>
    <w:rsid w:val="00350410"/>
    <w:rsid w:val="0035106F"/>
    <w:rsid w:val="00351081"/>
    <w:rsid w:val="0035116C"/>
    <w:rsid w:val="00351372"/>
    <w:rsid w:val="00351758"/>
    <w:rsid w:val="00351B92"/>
    <w:rsid w:val="00351E04"/>
    <w:rsid w:val="00351F36"/>
    <w:rsid w:val="00352344"/>
    <w:rsid w:val="00352591"/>
    <w:rsid w:val="0035281D"/>
    <w:rsid w:val="00352DE2"/>
    <w:rsid w:val="00352ED7"/>
    <w:rsid w:val="0035348F"/>
    <w:rsid w:val="00353704"/>
    <w:rsid w:val="00353A66"/>
    <w:rsid w:val="003545C6"/>
    <w:rsid w:val="00354D4F"/>
    <w:rsid w:val="00354E3A"/>
    <w:rsid w:val="00355611"/>
    <w:rsid w:val="00355BED"/>
    <w:rsid w:val="00355DFF"/>
    <w:rsid w:val="00355E25"/>
    <w:rsid w:val="00355E89"/>
    <w:rsid w:val="00355E98"/>
    <w:rsid w:val="003564BD"/>
    <w:rsid w:val="003566AC"/>
    <w:rsid w:val="00356A76"/>
    <w:rsid w:val="00356CF9"/>
    <w:rsid w:val="00356EAF"/>
    <w:rsid w:val="00356F7C"/>
    <w:rsid w:val="00357128"/>
    <w:rsid w:val="00357677"/>
    <w:rsid w:val="00357921"/>
    <w:rsid w:val="00357A0E"/>
    <w:rsid w:val="00357B9B"/>
    <w:rsid w:val="00357E19"/>
    <w:rsid w:val="003601AE"/>
    <w:rsid w:val="00360670"/>
    <w:rsid w:val="003607BE"/>
    <w:rsid w:val="00360A0D"/>
    <w:rsid w:val="0036194C"/>
    <w:rsid w:val="00361F20"/>
    <w:rsid w:val="00362597"/>
    <w:rsid w:val="00362807"/>
    <w:rsid w:val="00362FC4"/>
    <w:rsid w:val="00363201"/>
    <w:rsid w:val="003633AF"/>
    <w:rsid w:val="00363672"/>
    <w:rsid w:val="0036389C"/>
    <w:rsid w:val="00363FA8"/>
    <w:rsid w:val="00364078"/>
    <w:rsid w:val="00364121"/>
    <w:rsid w:val="00364BC0"/>
    <w:rsid w:val="00364BE6"/>
    <w:rsid w:val="00364D15"/>
    <w:rsid w:val="00364DAE"/>
    <w:rsid w:val="00364E1A"/>
    <w:rsid w:val="003657B5"/>
    <w:rsid w:val="00365AA8"/>
    <w:rsid w:val="00365BE6"/>
    <w:rsid w:val="00365F24"/>
    <w:rsid w:val="003664AC"/>
    <w:rsid w:val="00366D23"/>
    <w:rsid w:val="00366E0D"/>
    <w:rsid w:val="00367E91"/>
    <w:rsid w:val="0037000C"/>
    <w:rsid w:val="0037017E"/>
    <w:rsid w:val="003703BC"/>
    <w:rsid w:val="003705A6"/>
    <w:rsid w:val="003706B0"/>
    <w:rsid w:val="00370729"/>
    <w:rsid w:val="00370939"/>
    <w:rsid w:val="00370BE8"/>
    <w:rsid w:val="00370E1E"/>
    <w:rsid w:val="00371025"/>
    <w:rsid w:val="00371212"/>
    <w:rsid w:val="003713FA"/>
    <w:rsid w:val="00372237"/>
    <w:rsid w:val="003724D4"/>
    <w:rsid w:val="0037255F"/>
    <w:rsid w:val="00372C0D"/>
    <w:rsid w:val="00372C67"/>
    <w:rsid w:val="00372CD9"/>
    <w:rsid w:val="00372D32"/>
    <w:rsid w:val="0037325E"/>
    <w:rsid w:val="00373752"/>
    <w:rsid w:val="00373921"/>
    <w:rsid w:val="00373A22"/>
    <w:rsid w:val="00373C46"/>
    <w:rsid w:val="00373DE0"/>
    <w:rsid w:val="00373F2C"/>
    <w:rsid w:val="003741F0"/>
    <w:rsid w:val="003747B9"/>
    <w:rsid w:val="003747D4"/>
    <w:rsid w:val="003749F7"/>
    <w:rsid w:val="00374AE0"/>
    <w:rsid w:val="00374B72"/>
    <w:rsid w:val="003751D1"/>
    <w:rsid w:val="003751DE"/>
    <w:rsid w:val="0037657B"/>
    <w:rsid w:val="003765E2"/>
    <w:rsid w:val="003766B4"/>
    <w:rsid w:val="00376A11"/>
    <w:rsid w:val="00376F38"/>
    <w:rsid w:val="0037723A"/>
    <w:rsid w:val="003778FC"/>
    <w:rsid w:val="00377BE0"/>
    <w:rsid w:val="003801CE"/>
    <w:rsid w:val="003803B0"/>
    <w:rsid w:val="003804C5"/>
    <w:rsid w:val="00380AD8"/>
    <w:rsid w:val="00380CEA"/>
    <w:rsid w:val="00380DAD"/>
    <w:rsid w:val="00381540"/>
    <w:rsid w:val="00381681"/>
    <w:rsid w:val="003819BE"/>
    <w:rsid w:val="00381DA2"/>
    <w:rsid w:val="003821CC"/>
    <w:rsid w:val="003824B9"/>
    <w:rsid w:val="0038297F"/>
    <w:rsid w:val="00382CEE"/>
    <w:rsid w:val="00382F1D"/>
    <w:rsid w:val="00382F44"/>
    <w:rsid w:val="0038301C"/>
    <w:rsid w:val="003830AF"/>
    <w:rsid w:val="00383464"/>
    <w:rsid w:val="00383898"/>
    <w:rsid w:val="00383D82"/>
    <w:rsid w:val="00383F5D"/>
    <w:rsid w:val="00385181"/>
    <w:rsid w:val="0038562A"/>
    <w:rsid w:val="00385826"/>
    <w:rsid w:val="00386414"/>
    <w:rsid w:val="003868D8"/>
    <w:rsid w:val="00386D0C"/>
    <w:rsid w:val="00390118"/>
    <w:rsid w:val="003907C3"/>
    <w:rsid w:val="00390AC5"/>
    <w:rsid w:val="00390FBE"/>
    <w:rsid w:val="003910C7"/>
    <w:rsid w:val="00391281"/>
    <w:rsid w:val="003912AE"/>
    <w:rsid w:val="003921B8"/>
    <w:rsid w:val="00392390"/>
    <w:rsid w:val="0039298C"/>
    <w:rsid w:val="00393080"/>
    <w:rsid w:val="0039339C"/>
    <w:rsid w:val="00393987"/>
    <w:rsid w:val="00393A64"/>
    <w:rsid w:val="00393B1F"/>
    <w:rsid w:val="00393DAE"/>
    <w:rsid w:val="00393F0D"/>
    <w:rsid w:val="00393FAC"/>
    <w:rsid w:val="003940A5"/>
    <w:rsid w:val="0039446A"/>
    <w:rsid w:val="003947C9"/>
    <w:rsid w:val="00394AF1"/>
    <w:rsid w:val="00394E66"/>
    <w:rsid w:val="00394E94"/>
    <w:rsid w:val="00394F68"/>
    <w:rsid w:val="00394FBF"/>
    <w:rsid w:val="00395136"/>
    <w:rsid w:val="00395FF0"/>
    <w:rsid w:val="0039661D"/>
    <w:rsid w:val="00396704"/>
    <w:rsid w:val="0039681A"/>
    <w:rsid w:val="00396899"/>
    <w:rsid w:val="00396977"/>
    <w:rsid w:val="00396B6A"/>
    <w:rsid w:val="00396FA1"/>
    <w:rsid w:val="0039711A"/>
    <w:rsid w:val="00397424"/>
    <w:rsid w:val="00397549"/>
    <w:rsid w:val="003976FE"/>
    <w:rsid w:val="003A0199"/>
    <w:rsid w:val="003A060B"/>
    <w:rsid w:val="003A0973"/>
    <w:rsid w:val="003A0E81"/>
    <w:rsid w:val="003A10BE"/>
    <w:rsid w:val="003A11F9"/>
    <w:rsid w:val="003A1E02"/>
    <w:rsid w:val="003A1E91"/>
    <w:rsid w:val="003A241C"/>
    <w:rsid w:val="003A2430"/>
    <w:rsid w:val="003A2518"/>
    <w:rsid w:val="003A26E6"/>
    <w:rsid w:val="003A298E"/>
    <w:rsid w:val="003A335E"/>
    <w:rsid w:val="003A3522"/>
    <w:rsid w:val="003A3F4D"/>
    <w:rsid w:val="003A4066"/>
    <w:rsid w:val="003A4199"/>
    <w:rsid w:val="003A4630"/>
    <w:rsid w:val="003A498E"/>
    <w:rsid w:val="003A4D69"/>
    <w:rsid w:val="003A51A0"/>
    <w:rsid w:val="003A51F8"/>
    <w:rsid w:val="003A542B"/>
    <w:rsid w:val="003A57A7"/>
    <w:rsid w:val="003A5C0D"/>
    <w:rsid w:val="003A5DA1"/>
    <w:rsid w:val="003A5F62"/>
    <w:rsid w:val="003A61B7"/>
    <w:rsid w:val="003A668C"/>
    <w:rsid w:val="003A6AA4"/>
    <w:rsid w:val="003A7145"/>
    <w:rsid w:val="003A7569"/>
    <w:rsid w:val="003A75BF"/>
    <w:rsid w:val="003A7FC9"/>
    <w:rsid w:val="003B0371"/>
    <w:rsid w:val="003B03B6"/>
    <w:rsid w:val="003B0449"/>
    <w:rsid w:val="003B083A"/>
    <w:rsid w:val="003B0D89"/>
    <w:rsid w:val="003B0E81"/>
    <w:rsid w:val="003B1A47"/>
    <w:rsid w:val="003B1DA2"/>
    <w:rsid w:val="003B2052"/>
    <w:rsid w:val="003B2085"/>
    <w:rsid w:val="003B257E"/>
    <w:rsid w:val="003B26FA"/>
    <w:rsid w:val="003B2D14"/>
    <w:rsid w:val="003B2DC8"/>
    <w:rsid w:val="003B2ED2"/>
    <w:rsid w:val="003B30A3"/>
    <w:rsid w:val="003B33F4"/>
    <w:rsid w:val="003B354E"/>
    <w:rsid w:val="003B3834"/>
    <w:rsid w:val="003B398C"/>
    <w:rsid w:val="003B4468"/>
    <w:rsid w:val="003B4594"/>
    <w:rsid w:val="003B4F05"/>
    <w:rsid w:val="003B528C"/>
    <w:rsid w:val="003B5425"/>
    <w:rsid w:val="003B572D"/>
    <w:rsid w:val="003B59E9"/>
    <w:rsid w:val="003B5ED1"/>
    <w:rsid w:val="003B6241"/>
    <w:rsid w:val="003B65A9"/>
    <w:rsid w:val="003B6C53"/>
    <w:rsid w:val="003B746C"/>
    <w:rsid w:val="003B77A5"/>
    <w:rsid w:val="003B783B"/>
    <w:rsid w:val="003B7B2E"/>
    <w:rsid w:val="003B7EA6"/>
    <w:rsid w:val="003C0204"/>
    <w:rsid w:val="003C0529"/>
    <w:rsid w:val="003C1440"/>
    <w:rsid w:val="003C17B7"/>
    <w:rsid w:val="003C1913"/>
    <w:rsid w:val="003C1DB3"/>
    <w:rsid w:val="003C1DEC"/>
    <w:rsid w:val="003C21F8"/>
    <w:rsid w:val="003C21FD"/>
    <w:rsid w:val="003C227B"/>
    <w:rsid w:val="003C2760"/>
    <w:rsid w:val="003C2828"/>
    <w:rsid w:val="003C2C1B"/>
    <w:rsid w:val="003C2FEF"/>
    <w:rsid w:val="003C30BF"/>
    <w:rsid w:val="003C30CB"/>
    <w:rsid w:val="003C333A"/>
    <w:rsid w:val="003C35B5"/>
    <w:rsid w:val="003C360F"/>
    <w:rsid w:val="003C3AF3"/>
    <w:rsid w:val="003C3DE6"/>
    <w:rsid w:val="003C43AD"/>
    <w:rsid w:val="003C4FA3"/>
    <w:rsid w:val="003C4FAF"/>
    <w:rsid w:val="003C518E"/>
    <w:rsid w:val="003C54E4"/>
    <w:rsid w:val="003C5783"/>
    <w:rsid w:val="003C5C60"/>
    <w:rsid w:val="003C5D22"/>
    <w:rsid w:val="003C65A9"/>
    <w:rsid w:val="003C6F3A"/>
    <w:rsid w:val="003C737C"/>
    <w:rsid w:val="003C73C4"/>
    <w:rsid w:val="003C7448"/>
    <w:rsid w:val="003C7B0C"/>
    <w:rsid w:val="003C7BC0"/>
    <w:rsid w:val="003C7D8C"/>
    <w:rsid w:val="003C7D92"/>
    <w:rsid w:val="003C7ED2"/>
    <w:rsid w:val="003C7F56"/>
    <w:rsid w:val="003D0011"/>
    <w:rsid w:val="003D029D"/>
    <w:rsid w:val="003D046C"/>
    <w:rsid w:val="003D0CB0"/>
    <w:rsid w:val="003D0E9F"/>
    <w:rsid w:val="003D1A02"/>
    <w:rsid w:val="003D1BE4"/>
    <w:rsid w:val="003D2CC8"/>
    <w:rsid w:val="003D2F94"/>
    <w:rsid w:val="003D3412"/>
    <w:rsid w:val="003D3B0C"/>
    <w:rsid w:val="003D3BDE"/>
    <w:rsid w:val="003D3DCE"/>
    <w:rsid w:val="003D3E93"/>
    <w:rsid w:val="003D4115"/>
    <w:rsid w:val="003D50BE"/>
    <w:rsid w:val="003D5258"/>
    <w:rsid w:val="003D5A73"/>
    <w:rsid w:val="003D5B6E"/>
    <w:rsid w:val="003D5FF2"/>
    <w:rsid w:val="003D6289"/>
    <w:rsid w:val="003D665F"/>
    <w:rsid w:val="003D674C"/>
    <w:rsid w:val="003D692F"/>
    <w:rsid w:val="003D6B55"/>
    <w:rsid w:val="003D71FE"/>
    <w:rsid w:val="003D7357"/>
    <w:rsid w:val="003D744B"/>
    <w:rsid w:val="003D7F38"/>
    <w:rsid w:val="003D7F5A"/>
    <w:rsid w:val="003E0142"/>
    <w:rsid w:val="003E01FB"/>
    <w:rsid w:val="003E022C"/>
    <w:rsid w:val="003E1027"/>
    <w:rsid w:val="003E1208"/>
    <w:rsid w:val="003E14E4"/>
    <w:rsid w:val="003E15CC"/>
    <w:rsid w:val="003E1735"/>
    <w:rsid w:val="003E19C7"/>
    <w:rsid w:val="003E1BD3"/>
    <w:rsid w:val="003E28E7"/>
    <w:rsid w:val="003E2F14"/>
    <w:rsid w:val="003E3760"/>
    <w:rsid w:val="003E3800"/>
    <w:rsid w:val="003E3CDE"/>
    <w:rsid w:val="003E4C13"/>
    <w:rsid w:val="003E4EC5"/>
    <w:rsid w:val="003E4F21"/>
    <w:rsid w:val="003E5053"/>
    <w:rsid w:val="003E58E8"/>
    <w:rsid w:val="003E592B"/>
    <w:rsid w:val="003E5BD4"/>
    <w:rsid w:val="003E5E73"/>
    <w:rsid w:val="003E5F37"/>
    <w:rsid w:val="003E6C59"/>
    <w:rsid w:val="003E731E"/>
    <w:rsid w:val="003E732F"/>
    <w:rsid w:val="003E73D3"/>
    <w:rsid w:val="003E748C"/>
    <w:rsid w:val="003E7690"/>
    <w:rsid w:val="003E7A24"/>
    <w:rsid w:val="003E7A37"/>
    <w:rsid w:val="003F00FE"/>
    <w:rsid w:val="003F016C"/>
    <w:rsid w:val="003F0881"/>
    <w:rsid w:val="003F0A39"/>
    <w:rsid w:val="003F0EB3"/>
    <w:rsid w:val="003F14C5"/>
    <w:rsid w:val="003F195A"/>
    <w:rsid w:val="003F1B67"/>
    <w:rsid w:val="003F1D03"/>
    <w:rsid w:val="003F244A"/>
    <w:rsid w:val="003F279A"/>
    <w:rsid w:val="003F290F"/>
    <w:rsid w:val="003F2B17"/>
    <w:rsid w:val="003F2D96"/>
    <w:rsid w:val="003F2E03"/>
    <w:rsid w:val="003F3075"/>
    <w:rsid w:val="003F3165"/>
    <w:rsid w:val="003F31BD"/>
    <w:rsid w:val="003F327F"/>
    <w:rsid w:val="003F3291"/>
    <w:rsid w:val="003F3DCB"/>
    <w:rsid w:val="003F41AE"/>
    <w:rsid w:val="003F4534"/>
    <w:rsid w:val="003F4A5D"/>
    <w:rsid w:val="003F4E01"/>
    <w:rsid w:val="003F5C68"/>
    <w:rsid w:val="003F5E3C"/>
    <w:rsid w:val="003F607E"/>
    <w:rsid w:val="003F62C0"/>
    <w:rsid w:val="003F6485"/>
    <w:rsid w:val="003F65A9"/>
    <w:rsid w:val="003F6C82"/>
    <w:rsid w:val="003F6CF1"/>
    <w:rsid w:val="003F7051"/>
    <w:rsid w:val="003F7082"/>
    <w:rsid w:val="003F7B2B"/>
    <w:rsid w:val="003F7C79"/>
    <w:rsid w:val="003F7CD7"/>
    <w:rsid w:val="003F7D32"/>
    <w:rsid w:val="00401029"/>
    <w:rsid w:val="00401640"/>
    <w:rsid w:val="00401AE2"/>
    <w:rsid w:val="004021FE"/>
    <w:rsid w:val="0040221E"/>
    <w:rsid w:val="00402299"/>
    <w:rsid w:val="00402520"/>
    <w:rsid w:val="0040299B"/>
    <w:rsid w:val="0040299E"/>
    <w:rsid w:val="00402A04"/>
    <w:rsid w:val="00402C6C"/>
    <w:rsid w:val="00402DED"/>
    <w:rsid w:val="00402EEC"/>
    <w:rsid w:val="00403392"/>
    <w:rsid w:val="0040396B"/>
    <w:rsid w:val="00403AB5"/>
    <w:rsid w:val="00403EFD"/>
    <w:rsid w:val="0040482E"/>
    <w:rsid w:val="00404D10"/>
    <w:rsid w:val="00405099"/>
    <w:rsid w:val="0040526D"/>
    <w:rsid w:val="0040557B"/>
    <w:rsid w:val="00405C72"/>
    <w:rsid w:val="00405FA5"/>
    <w:rsid w:val="0040601F"/>
    <w:rsid w:val="0040639A"/>
    <w:rsid w:val="00406CA7"/>
    <w:rsid w:val="00407FCA"/>
    <w:rsid w:val="00410C8B"/>
    <w:rsid w:val="0041103D"/>
    <w:rsid w:val="004110DB"/>
    <w:rsid w:val="004114AC"/>
    <w:rsid w:val="0041168F"/>
    <w:rsid w:val="00412052"/>
    <w:rsid w:val="004122CA"/>
    <w:rsid w:val="0041271B"/>
    <w:rsid w:val="004128B3"/>
    <w:rsid w:val="00412A12"/>
    <w:rsid w:val="00412EAB"/>
    <w:rsid w:val="00413000"/>
    <w:rsid w:val="004132BD"/>
    <w:rsid w:val="00413414"/>
    <w:rsid w:val="00413831"/>
    <w:rsid w:val="004138AE"/>
    <w:rsid w:val="00413D56"/>
    <w:rsid w:val="00413DCF"/>
    <w:rsid w:val="00413F4F"/>
    <w:rsid w:val="00414923"/>
    <w:rsid w:val="00414B77"/>
    <w:rsid w:val="00414FF0"/>
    <w:rsid w:val="004150D5"/>
    <w:rsid w:val="00415520"/>
    <w:rsid w:val="004155DA"/>
    <w:rsid w:val="004159BD"/>
    <w:rsid w:val="00415AEB"/>
    <w:rsid w:val="00415D77"/>
    <w:rsid w:val="00416C3E"/>
    <w:rsid w:val="00416F7D"/>
    <w:rsid w:val="0041726B"/>
    <w:rsid w:val="0041735B"/>
    <w:rsid w:val="0041771C"/>
    <w:rsid w:val="00420168"/>
    <w:rsid w:val="00420215"/>
    <w:rsid w:val="00420795"/>
    <w:rsid w:val="00420796"/>
    <w:rsid w:val="00420F59"/>
    <w:rsid w:val="00420F86"/>
    <w:rsid w:val="004217C0"/>
    <w:rsid w:val="0042182E"/>
    <w:rsid w:val="004218AB"/>
    <w:rsid w:val="00421A0E"/>
    <w:rsid w:val="00421AC4"/>
    <w:rsid w:val="00421E09"/>
    <w:rsid w:val="00421E63"/>
    <w:rsid w:val="00422295"/>
    <w:rsid w:val="00422443"/>
    <w:rsid w:val="00422873"/>
    <w:rsid w:val="00422D4F"/>
    <w:rsid w:val="004237F3"/>
    <w:rsid w:val="004239F6"/>
    <w:rsid w:val="00423E2E"/>
    <w:rsid w:val="00423F35"/>
    <w:rsid w:val="00423FFD"/>
    <w:rsid w:val="004246B9"/>
    <w:rsid w:val="00424C36"/>
    <w:rsid w:val="00424D31"/>
    <w:rsid w:val="00424FCA"/>
    <w:rsid w:val="004250DB"/>
    <w:rsid w:val="00425CC3"/>
    <w:rsid w:val="004261D5"/>
    <w:rsid w:val="00426852"/>
    <w:rsid w:val="00426891"/>
    <w:rsid w:val="00427137"/>
    <w:rsid w:val="004271C8"/>
    <w:rsid w:val="0042758E"/>
    <w:rsid w:val="00427ADC"/>
    <w:rsid w:val="0043055C"/>
    <w:rsid w:val="00430ADE"/>
    <w:rsid w:val="00430C59"/>
    <w:rsid w:val="00430EC6"/>
    <w:rsid w:val="00431082"/>
    <w:rsid w:val="00431243"/>
    <w:rsid w:val="00432751"/>
    <w:rsid w:val="00433213"/>
    <w:rsid w:val="00433800"/>
    <w:rsid w:val="0043394C"/>
    <w:rsid w:val="00433ABA"/>
    <w:rsid w:val="00433C80"/>
    <w:rsid w:val="00433EFF"/>
    <w:rsid w:val="004345FA"/>
    <w:rsid w:val="00434617"/>
    <w:rsid w:val="004349A3"/>
    <w:rsid w:val="00434DD2"/>
    <w:rsid w:val="00435981"/>
    <w:rsid w:val="004359A1"/>
    <w:rsid w:val="00435CB5"/>
    <w:rsid w:val="00435EE8"/>
    <w:rsid w:val="00436131"/>
    <w:rsid w:val="00436342"/>
    <w:rsid w:val="0043692E"/>
    <w:rsid w:val="00436C08"/>
    <w:rsid w:val="00437346"/>
    <w:rsid w:val="004373E7"/>
    <w:rsid w:val="00440987"/>
    <w:rsid w:val="0044111B"/>
    <w:rsid w:val="0044129E"/>
    <w:rsid w:val="004415A7"/>
    <w:rsid w:val="00441681"/>
    <w:rsid w:val="00441766"/>
    <w:rsid w:val="00441779"/>
    <w:rsid w:val="004419C3"/>
    <w:rsid w:val="00441A74"/>
    <w:rsid w:val="0044223A"/>
    <w:rsid w:val="0044224C"/>
    <w:rsid w:val="004424A6"/>
    <w:rsid w:val="00442821"/>
    <w:rsid w:val="00442D58"/>
    <w:rsid w:val="00442E84"/>
    <w:rsid w:val="004431E6"/>
    <w:rsid w:val="00443846"/>
    <w:rsid w:val="00443FFC"/>
    <w:rsid w:val="00444129"/>
    <w:rsid w:val="004446C7"/>
    <w:rsid w:val="00444C32"/>
    <w:rsid w:val="00445049"/>
    <w:rsid w:val="004452EA"/>
    <w:rsid w:val="00445A58"/>
    <w:rsid w:val="00445CF1"/>
    <w:rsid w:val="00445EED"/>
    <w:rsid w:val="00446410"/>
    <w:rsid w:val="0044702C"/>
    <w:rsid w:val="004471BC"/>
    <w:rsid w:val="004472FB"/>
    <w:rsid w:val="00447431"/>
    <w:rsid w:val="00447972"/>
    <w:rsid w:val="00447D68"/>
    <w:rsid w:val="00447DBB"/>
    <w:rsid w:val="0045023D"/>
    <w:rsid w:val="004506D6"/>
    <w:rsid w:val="00451009"/>
    <w:rsid w:val="0045110A"/>
    <w:rsid w:val="00451B6B"/>
    <w:rsid w:val="00451D02"/>
    <w:rsid w:val="00451F68"/>
    <w:rsid w:val="0045292D"/>
    <w:rsid w:val="004529DE"/>
    <w:rsid w:val="00452E06"/>
    <w:rsid w:val="004532D0"/>
    <w:rsid w:val="0045403C"/>
    <w:rsid w:val="004540CD"/>
    <w:rsid w:val="00454132"/>
    <w:rsid w:val="004545CF"/>
    <w:rsid w:val="00454BEE"/>
    <w:rsid w:val="00454D51"/>
    <w:rsid w:val="00455426"/>
    <w:rsid w:val="00455933"/>
    <w:rsid w:val="00455DF9"/>
    <w:rsid w:val="00456FD8"/>
    <w:rsid w:val="0045723E"/>
    <w:rsid w:val="00457268"/>
    <w:rsid w:val="004577BA"/>
    <w:rsid w:val="0045794E"/>
    <w:rsid w:val="00457C3B"/>
    <w:rsid w:val="00457FC5"/>
    <w:rsid w:val="00460252"/>
    <w:rsid w:val="00460745"/>
    <w:rsid w:val="00460766"/>
    <w:rsid w:val="00460836"/>
    <w:rsid w:val="00460DDB"/>
    <w:rsid w:val="00460F08"/>
    <w:rsid w:val="00461C9E"/>
    <w:rsid w:val="00462098"/>
    <w:rsid w:val="004620CD"/>
    <w:rsid w:val="004622B9"/>
    <w:rsid w:val="004624C4"/>
    <w:rsid w:val="00462A31"/>
    <w:rsid w:val="00462B56"/>
    <w:rsid w:val="00462FBE"/>
    <w:rsid w:val="0046366E"/>
    <w:rsid w:val="00463B23"/>
    <w:rsid w:val="00463D06"/>
    <w:rsid w:val="00463DDE"/>
    <w:rsid w:val="0046428F"/>
    <w:rsid w:val="0046429B"/>
    <w:rsid w:val="004642A9"/>
    <w:rsid w:val="004647B7"/>
    <w:rsid w:val="00464ACB"/>
    <w:rsid w:val="00464B3C"/>
    <w:rsid w:val="00464FE0"/>
    <w:rsid w:val="00465280"/>
    <w:rsid w:val="00465611"/>
    <w:rsid w:val="0046599F"/>
    <w:rsid w:val="0046664D"/>
    <w:rsid w:val="00466978"/>
    <w:rsid w:val="00466FF8"/>
    <w:rsid w:val="00467E57"/>
    <w:rsid w:val="0047013F"/>
    <w:rsid w:val="004702DB"/>
    <w:rsid w:val="00470331"/>
    <w:rsid w:val="0047078D"/>
    <w:rsid w:val="00470F6D"/>
    <w:rsid w:val="00471274"/>
    <w:rsid w:val="0047150A"/>
    <w:rsid w:val="0047184E"/>
    <w:rsid w:val="00471EC6"/>
    <w:rsid w:val="00471F63"/>
    <w:rsid w:val="00472419"/>
    <w:rsid w:val="0047281D"/>
    <w:rsid w:val="00472966"/>
    <w:rsid w:val="004729C6"/>
    <w:rsid w:val="00473ADD"/>
    <w:rsid w:val="00473E32"/>
    <w:rsid w:val="00474313"/>
    <w:rsid w:val="0047431C"/>
    <w:rsid w:val="004744E3"/>
    <w:rsid w:val="0047458A"/>
    <w:rsid w:val="004753D8"/>
    <w:rsid w:val="0047579F"/>
    <w:rsid w:val="004759D6"/>
    <w:rsid w:val="00475DFA"/>
    <w:rsid w:val="00475E84"/>
    <w:rsid w:val="00476049"/>
    <w:rsid w:val="0047610A"/>
    <w:rsid w:val="004765BE"/>
    <w:rsid w:val="00476739"/>
    <w:rsid w:val="0047689C"/>
    <w:rsid w:val="00477221"/>
    <w:rsid w:val="00477818"/>
    <w:rsid w:val="00477EE1"/>
    <w:rsid w:val="004809B1"/>
    <w:rsid w:val="00481166"/>
    <w:rsid w:val="00481216"/>
    <w:rsid w:val="0048144A"/>
    <w:rsid w:val="004817AB"/>
    <w:rsid w:val="004817C8"/>
    <w:rsid w:val="00481A68"/>
    <w:rsid w:val="00482123"/>
    <w:rsid w:val="004826A1"/>
    <w:rsid w:val="004826DB"/>
    <w:rsid w:val="00482DA1"/>
    <w:rsid w:val="00482DCB"/>
    <w:rsid w:val="00483008"/>
    <w:rsid w:val="004842B5"/>
    <w:rsid w:val="00484976"/>
    <w:rsid w:val="00484DFE"/>
    <w:rsid w:val="00485677"/>
    <w:rsid w:val="00485688"/>
    <w:rsid w:val="00485B9B"/>
    <w:rsid w:val="00485BF2"/>
    <w:rsid w:val="004860FB"/>
    <w:rsid w:val="004866A3"/>
    <w:rsid w:val="00486BAB"/>
    <w:rsid w:val="0048737B"/>
    <w:rsid w:val="0048751F"/>
    <w:rsid w:val="004876A6"/>
    <w:rsid w:val="0048786D"/>
    <w:rsid w:val="00487E82"/>
    <w:rsid w:val="004903C3"/>
    <w:rsid w:val="004904D3"/>
    <w:rsid w:val="004906A5"/>
    <w:rsid w:val="0049096E"/>
    <w:rsid w:val="00490B51"/>
    <w:rsid w:val="00490DB2"/>
    <w:rsid w:val="00490FBB"/>
    <w:rsid w:val="00491A63"/>
    <w:rsid w:val="00491B6A"/>
    <w:rsid w:val="00491D3F"/>
    <w:rsid w:val="00491D8A"/>
    <w:rsid w:val="00491E90"/>
    <w:rsid w:val="00492354"/>
    <w:rsid w:val="00492422"/>
    <w:rsid w:val="00492885"/>
    <w:rsid w:val="00492A59"/>
    <w:rsid w:val="00492B6E"/>
    <w:rsid w:val="00492C51"/>
    <w:rsid w:val="0049309A"/>
    <w:rsid w:val="004942A8"/>
    <w:rsid w:val="004945C8"/>
    <w:rsid w:val="0049466E"/>
    <w:rsid w:val="0049565E"/>
    <w:rsid w:val="004956EF"/>
    <w:rsid w:val="00495F70"/>
    <w:rsid w:val="00496067"/>
    <w:rsid w:val="00496377"/>
    <w:rsid w:val="00496542"/>
    <w:rsid w:val="00496839"/>
    <w:rsid w:val="00496F90"/>
    <w:rsid w:val="00496FC1"/>
    <w:rsid w:val="004971C0"/>
    <w:rsid w:val="00497A29"/>
    <w:rsid w:val="00497A78"/>
    <w:rsid w:val="004A0246"/>
    <w:rsid w:val="004A028D"/>
    <w:rsid w:val="004A0300"/>
    <w:rsid w:val="004A05BC"/>
    <w:rsid w:val="004A0808"/>
    <w:rsid w:val="004A0AF7"/>
    <w:rsid w:val="004A0BFB"/>
    <w:rsid w:val="004A0D2E"/>
    <w:rsid w:val="004A0F05"/>
    <w:rsid w:val="004A114B"/>
    <w:rsid w:val="004A1867"/>
    <w:rsid w:val="004A1CEB"/>
    <w:rsid w:val="004A2658"/>
    <w:rsid w:val="004A26BE"/>
    <w:rsid w:val="004A2B16"/>
    <w:rsid w:val="004A2BAE"/>
    <w:rsid w:val="004A2CF7"/>
    <w:rsid w:val="004A357D"/>
    <w:rsid w:val="004A3F51"/>
    <w:rsid w:val="004A42E0"/>
    <w:rsid w:val="004A44DC"/>
    <w:rsid w:val="004A4C1B"/>
    <w:rsid w:val="004A53DD"/>
    <w:rsid w:val="004A56FE"/>
    <w:rsid w:val="004A59A7"/>
    <w:rsid w:val="004A6063"/>
    <w:rsid w:val="004A6142"/>
    <w:rsid w:val="004A64D2"/>
    <w:rsid w:val="004A6944"/>
    <w:rsid w:val="004A7390"/>
    <w:rsid w:val="004A754B"/>
    <w:rsid w:val="004A7A24"/>
    <w:rsid w:val="004B02A9"/>
    <w:rsid w:val="004B0C7D"/>
    <w:rsid w:val="004B0DB7"/>
    <w:rsid w:val="004B0EF9"/>
    <w:rsid w:val="004B1414"/>
    <w:rsid w:val="004B179C"/>
    <w:rsid w:val="004B1A6F"/>
    <w:rsid w:val="004B1C50"/>
    <w:rsid w:val="004B214C"/>
    <w:rsid w:val="004B23DC"/>
    <w:rsid w:val="004B2798"/>
    <w:rsid w:val="004B279B"/>
    <w:rsid w:val="004B30AF"/>
    <w:rsid w:val="004B3151"/>
    <w:rsid w:val="004B33D3"/>
    <w:rsid w:val="004B3661"/>
    <w:rsid w:val="004B3C81"/>
    <w:rsid w:val="004B3C85"/>
    <w:rsid w:val="004B3E08"/>
    <w:rsid w:val="004B4104"/>
    <w:rsid w:val="004B46EA"/>
    <w:rsid w:val="004B4DCC"/>
    <w:rsid w:val="004B5268"/>
    <w:rsid w:val="004B5370"/>
    <w:rsid w:val="004B588B"/>
    <w:rsid w:val="004B637A"/>
    <w:rsid w:val="004B665F"/>
    <w:rsid w:val="004B6D0D"/>
    <w:rsid w:val="004B6F9B"/>
    <w:rsid w:val="004B788E"/>
    <w:rsid w:val="004B7BF9"/>
    <w:rsid w:val="004B7C01"/>
    <w:rsid w:val="004B7D20"/>
    <w:rsid w:val="004C01A1"/>
    <w:rsid w:val="004C04E4"/>
    <w:rsid w:val="004C06A0"/>
    <w:rsid w:val="004C0B84"/>
    <w:rsid w:val="004C0E29"/>
    <w:rsid w:val="004C0EE7"/>
    <w:rsid w:val="004C0EEA"/>
    <w:rsid w:val="004C196B"/>
    <w:rsid w:val="004C19D0"/>
    <w:rsid w:val="004C2205"/>
    <w:rsid w:val="004C23CE"/>
    <w:rsid w:val="004C2828"/>
    <w:rsid w:val="004C2C5E"/>
    <w:rsid w:val="004C2D35"/>
    <w:rsid w:val="004C3009"/>
    <w:rsid w:val="004C347D"/>
    <w:rsid w:val="004C357F"/>
    <w:rsid w:val="004C36F7"/>
    <w:rsid w:val="004C42C4"/>
    <w:rsid w:val="004C46C4"/>
    <w:rsid w:val="004C4736"/>
    <w:rsid w:val="004C4B94"/>
    <w:rsid w:val="004C508C"/>
    <w:rsid w:val="004C54C2"/>
    <w:rsid w:val="004C6665"/>
    <w:rsid w:val="004C6C88"/>
    <w:rsid w:val="004C7458"/>
    <w:rsid w:val="004C74B9"/>
    <w:rsid w:val="004C7945"/>
    <w:rsid w:val="004C79F3"/>
    <w:rsid w:val="004C7DC2"/>
    <w:rsid w:val="004D02E0"/>
    <w:rsid w:val="004D0407"/>
    <w:rsid w:val="004D0E5B"/>
    <w:rsid w:val="004D2014"/>
    <w:rsid w:val="004D20F1"/>
    <w:rsid w:val="004D221F"/>
    <w:rsid w:val="004D2426"/>
    <w:rsid w:val="004D2FDE"/>
    <w:rsid w:val="004D31CA"/>
    <w:rsid w:val="004D3433"/>
    <w:rsid w:val="004D35E3"/>
    <w:rsid w:val="004D3B0E"/>
    <w:rsid w:val="004D3D53"/>
    <w:rsid w:val="004D3D88"/>
    <w:rsid w:val="004D420F"/>
    <w:rsid w:val="004D443D"/>
    <w:rsid w:val="004D4632"/>
    <w:rsid w:val="004D4D9D"/>
    <w:rsid w:val="004D532D"/>
    <w:rsid w:val="004D5BE0"/>
    <w:rsid w:val="004D5DFD"/>
    <w:rsid w:val="004D5FF9"/>
    <w:rsid w:val="004D6276"/>
    <w:rsid w:val="004D6335"/>
    <w:rsid w:val="004D6C46"/>
    <w:rsid w:val="004D6D12"/>
    <w:rsid w:val="004D7619"/>
    <w:rsid w:val="004D7736"/>
    <w:rsid w:val="004E0238"/>
    <w:rsid w:val="004E04AE"/>
    <w:rsid w:val="004E0630"/>
    <w:rsid w:val="004E0648"/>
    <w:rsid w:val="004E0660"/>
    <w:rsid w:val="004E06FE"/>
    <w:rsid w:val="004E099B"/>
    <w:rsid w:val="004E0A5F"/>
    <w:rsid w:val="004E0B3B"/>
    <w:rsid w:val="004E0E35"/>
    <w:rsid w:val="004E0FC2"/>
    <w:rsid w:val="004E15FD"/>
    <w:rsid w:val="004E161E"/>
    <w:rsid w:val="004E1671"/>
    <w:rsid w:val="004E1B94"/>
    <w:rsid w:val="004E1BF1"/>
    <w:rsid w:val="004E2056"/>
    <w:rsid w:val="004E2A0B"/>
    <w:rsid w:val="004E3478"/>
    <w:rsid w:val="004E3547"/>
    <w:rsid w:val="004E3ABF"/>
    <w:rsid w:val="004E3C44"/>
    <w:rsid w:val="004E3C45"/>
    <w:rsid w:val="004E426C"/>
    <w:rsid w:val="004E446A"/>
    <w:rsid w:val="004E4589"/>
    <w:rsid w:val="004E45EC"/>
    <w:rsid w:val="004E4E2C"/>
    <w:rsid w:val="004E56EA"/>
    <w:rsid w:val="004E602F"/>
    <w:rsid w:val="004E610A"/>
    <w:rsid w:val="004E629E"/>
    <w:rsid w:val="004E63DB"/>
    <w:rsid w:val="004E63EF"/>
    <w:rsid w:val="004E6738"/>
    <w:rsid w:val="004E6A83"/>
    <w:rsid w:val="004E6ACB"/>
    <w:rsid w:val="004E7447"/>
    <w:rsid w:val="004E74C1"/>
    <w:rsid w:val="004E765D"/>
    <w:rsid w:val="004E7693"/>
    <w:rsid w:val="004E7830"/>
    <w:rsid w:val="004E7A40"/>
    <w:rsid w:val="004F0494"/>
    <w:rsid w:val="004F05F3"/>
    <w:rsid w:val="004F0909"/>
    <w:rsid w:val="004F0DFE"/>
    <w:rsid w:val="004F126F"/>
    <w:rsid w:val="004F162F"/>
    <w:rsid w:val="004F16B2"/>
    <w:rsid w:val="004F170F"/>
    <w:rsid w:val="004F2426"/>
    <w:rsid w:val="004F25C1"/>
    <w:rsid w:val="004F28BC"/>
    <w:rsid w:val="004F2B01"/>
    <w:rsid w:val="004F2CDD"/>
    <w:rsid w:val="004F2E4A"/>
    <w:rsid w:val="004F334F"/>
    <w:rsid w:val="004F357C"/>
    <w:rsid w:val="004F3605"/>
    <w:rsid w:val="004F3CB5"/>
    <w:rsid w:val="004F3E10"/>
    <w:rsid w:val="004F4341"/>
    <w:rsid w:val="004F4A1E"/>
    <w:rsid w:val="004F5158"/>
    <w:rsid w:val="004F5565"/>
    <w:rsid w:val="004F5882"/>
    <w:rsid w:val="004F5B0F"/>
    <w:rsid w:val="004F5F08"/>
    <w:rsid w:val="004F5F57"/>
    <w:rsid w:val="004F6504"/>
    <w:rsid w:val="004F65F7"/>
    <w:rsid w:val="004F680F"/>
    <w:rsid w:val="004F69E2"/>
    <w:rsid w:val="004F6AB9"/>
    <w:rsid w:val="004F7202"/>
    <w:rsid w:val="004F7257"/>
    <w:rsid w:val="004F736D"/>
    <w:rsid w:val="005001DF"/>
    <w:rsid w:val="0050022A"/>
    <w:rsid w:val="00500277"/>
    <w:rsid w:val="005005F3"/>
    <w:rsid w:val="00500806"/>
    <w:rsid w:val="00500C2B"/>
    <w:rsid w:val="00500C33"/>
    <w:rsid w:val="00500F06"/>
    <w:rsid w:val="00500FB2"/>
    <w:rsid w:val="005010FE"/>
    <w:rsid w:val="0050157D"/>
    <w:rsid w:val="00501A8D"/>
    <w:rsid w:val="00502114"/>
    <w:rsid w:val="0050215E"/>
    <w:rsid w:val="00502178"/>
    <w:rsid w:val="0050249B"/>
    <w:rsid w:val="00502646"/>
    <w:rsid w:val="005027AA"/>
    <w:rsid w:val="005030AE"/>
    <w:rsid w:val="005030F6"/>
    <w:rsid w:val="00503144"/>
    <w:rsid w:val="00503E52"/>
    <w:rsid w:val="00503FC7"/>
    <w:rsid w:val="00504ADD"/>
    <w:rsid w:val="00504D39"/>
    <w:rsid w:val="00504E8E"/>
    <w:rsid w:val="0050568C"/>
    <w:rsid w:val="00506033"/>
    <w:rsid w:val="00506182"/>
    <w:rsid w:val="005061BF"/>
    <w:rsid w:val="0050629E"/>
    <w:rsid w:val="005066A6"/>
    <w:rsid w:val="005069D6"/>
    <w:rsid w:val="00506ED0"/>
    <w:rsid w:val="00507F6A"/>
    <w:rsid w:val="005104C9"/>
    <w:rsid w:val="00510F13"/>
    <w:rsid w:val="00510FC6"/>
    <w:rsid w:val="0051130D"/>
    <w:rsid w:val="005115A2"/>
    <w:rsid w:val="005119EE"/>
    <w:rsid w:val="00511A0B"/>
    <w:rsid w:val="00511A43"/>
    <w:rsid w:val="00511A73"/>
    <w:rsid w:val="00511AE6"/>
    <w:rsid w:val="00512220"/>
    <w:rsid w:val="00512700"/>
    <w:rsid w:val="005127C4"/>
    <w:rsid w:val="00512F91"/>
    <w:rsid w:val="00513113"/>
    <w:rsid w:val="0051318D"/>
    <w:rsid w:val="005131AE"/>
    <w:rsid w:val="0051385D"/>
    <w:rsid w:val="00513AA6"/>
    <w:rsid w:val="00513AD1"/>
    <w:rsid w:val="0051425B"/>
    <w:rsid w:val="00514D95"/>
    <w:rsid w:val="005154AA"/>
    <w:rsid w:val="005159ED"/>
    <w:rsid w:val="00515F18"/>
    <w:rsid w:val="00516BF9"/>
    <w:rsid w:val="005171DA"/>
    <w:rsid w:val="005176D0"/>
    <w:rsid w:val="00517CCE"/>
    <w:rsid w:val="00520619"/>
    <w:rsid w:val="00520BFE"/>
    <w:rsid w:val="00520D2D"/>
    <w:rsid w:val="00521B39"/>
    <w:rsid w:val="0052255E"/>
    <w:rsid w:val="005230F4"/>
    <w:rsid w:val="0052338F"/>
    <w:rsid w:val="00523447"/>
    <w:rsid w:val="00523602"/>
    <w:rsid w:val="00523D95"/>
    <w:rsid w:val="00523E2A"/>
    <w:rsid w:val="00523EE5"/>
    <w:rsid w:val="0052496B"/>
    <w:rsid w:val="00524E14"/>
    <w:rsid w:val="00525338"/>
    <w:rsid w:val="005254A9"/>
    <w:rsid w:val="00525B72"/>
    <w:rsid w:val="00525BF4"/>
    <w:rsid w:val="00525DF5"/>
    <w:rsid w:val="00525E50"/>
    <w:rsid w:val="00526158"/>
    <w:rsid w:val="0052633C"/>
    <w:rsid w:val="0052670D"/>
    <w:rsid w:val="00526BCD"/>
    <w:rsid w:val="005271AF"/>
    <w:rsid w:val="00527904"/>
    <w:rsid w:val="00527E67"/>
    <w:rsid w:val="0053012E"/>
    <w:rsid w:val="00530267"/>
    <w:rsid w:val="0053033E"/>
    <w:rsid w:val="00530A03"/>
    <w:rsid w:val="005311D2"/>
    <w:rsid w:val="005315A9"/>
    <w:rsid w:val="00531810"/>
    <w:rsid w:val="00531D5E"/>
    <w:rsid w:val="00531F45"/>
    <w:rsid w:val="005324FD"/>
    <w:rsid w:val="00532748"/>
    <w:rsid w:val="0053283D"/>
    <w:rsid w:val="00532B4E"/>
    <w:rsid w:val="00532C25"/>
    <w:rsid w:val="0053326B"/>
    <w:rsid w:val="00533725"/>
    <w:rsid w:val="005339D2"/>
    <w:rsid w:val="00533ECA"/>
    <w:rsid w:val="00534491"/>
    <w:rsid w:val="005346FC"/>
    <w:rsid w:val="00534926"/>
    <w:rsid w:val="00534EBB"/>
    <w:rsid w:val="005353DC"/>
    <w:rsid w:val="005355C2"/>
    <w:rsid w:val="00535607"/>
    <w:rsid w:val="00535763"/>
    <w:rsid w:val="00535C57"/>
    <w:rsid w:val="00535CAA"/>
    <w:rsid w:val="00535FA1"/>
    <w:rsid w:val="00536469"/>
    <w:rsid w:val="005368BB"/>
    <w:rsid w:val="00536B91"/>
    <w:rsid w:val="00536FC7"/>
    <w:rsid w:val="00536FCD"/>
    <w:rsid w:val="00537028"/>
    <w:rsid w:val="0053706D"/>
    <w:rsid w:val="00537150"/>
    <w:rsid w:val="005401DA"/>
    <w:rsid w:val="005402EA"/>
    <w:rsid w:val="005406E3"/>
    <w:rsid w:val="00540C40"/>
    <w:rsid w:val="00540E5C"/>
    <w:rsid w:val="00540F67"/>
    <w:rsid w:val="00542C0E"/>
    <w:rsid w:val="0054302D"/>
    <w:rsid w:val="005435C8"/>
    <w:rsid w:val="00543610"/>
    <w:rsid w:val="0054362F"/>
    <w:rsid w:val="00543C5F"/>
    <w:rsid w:val="00544131"/>
    <w:rsid w:val="00544173"/>
    <w:rsid w:val="00544284"/>
    <w:rsid w:val="00544961"/>
    <w:rsid w:val="00544DA0"/>
    <w:rsid w:val="00544E34"/>
    <w:rsid w:val="005451E1"/>
    <w:rsid w:val="005459CC"/>
    <w:rsid w:val="00545BB1"/>
    <w:rsid w:val="00545C11"/>
    <w:rsid w:val="00546088"/>
    <w:rsid w:val="00546262"/>
    <w:rsid w:val="0054670C"/>
    <w:rsid w:val="00546C57"/>
    <w:rsid w:val="00547001"/>
    <w:rsid w:val="00547470"/>
    <w:rsid w:val="00547AF3"/>
    <w:rsid w:val="00547EE4"/>
    <w:rsid w:val="0055089E"/>
    <w:rsid w:val="00550A0B"/>
    <w:rsid w:val="00550A3C"/>
    <w:rsid w:val="00551042"/>
    <w:rsid w:val="005510C4"/>
    <w:rsid w:val="00551227"/>
    <w:rsid w:val="0055128F"/>
    <w:rsid w:val="005518CA"/>
    <w:rsid w:val="00551E11"/>
    <w:rsid w:val="0055276D"/>
    <w:rsid w:val="00552A07"/>
    <w:rsid w:val="00552D49"/>
    <w:rsid w:val="005530D9"/>
    <w:rsid w:val="00553640"/>
    <w:rsid w:val="005538F0"/>
    <w:rsid w:val="00553E5A"/>
    <w:rsid w:val="00554141"/>
    <w:rsid w:val="0055474F"/>
    <w:rsid w:val="00554DA9"/>
    <w:rsid w:val="00555B6C"/>
    <w:rsid w:val="00555BE0"/>
    <w:rsid w:val="0055697B"/>
    <w:rsid w:val="005569A8"/>
    <w:rsid w:val="00556DBC"/>
    <w:rsid w:val="00557EAA"/>
    <w:rsid w:val="00560152"/>
    <w:rsid w:val="00560205"/>
    <w:rsid w:val="00560319"/>
    <w:rsid w:val="00560ED5"/>
    <w:rsid w:val="005615E3"/>
    <w:rsid w:val="005615E8"/>
    <w:rsid w:val="00561722"/>
    <w:rsid w:val="005619CB"/>
    <w:rsid w:val="00561C98"/>
    <w:rsid w:val="0056204C"/>
    <w:rsid w:val="0056211B"/>
    <w:rsid w:val="005621A3"/>
    <w:rsid w:val="0056255A"/>
    <w:rsid w:val="00562CB7"/>
    <w:rsid w:val="00563433"/>
    <w:rsid w:val="00564BCE"/>
    <w:rsid w:val="00564C1B"/>
    <w:rsid w:val="00564ED9"/>
    <w:rsid w:val="00565122"/>
    <w:rsid w:val="0056566A"/>
    <w:rsid w:val="00565800"/>
    <w:rsid w:val="00565976"/>
    <w:rsid w:val="00565D76"/>
    <w:rsid w:val="00565E4E"/>
    <w:rsid w:val="00566107"/>
    <w:rsid w:val="0056664D"/>
    <w:rsid w:val="00566A55"/>
    <w:rsid w:val="00566CDF"/>
    <w:rsid w:val="00566FBA"/>
    <w:rsid w:val="00567229"/>
    <w:rsid w:val="00567250"/>
    <w:rsid w:val="005672AE"/>
    <w:rsid w:val="0056756A"/>
    <w:rsid w:val="00567639"/>
    <w:rsid w:val="0056787F"/>
    <w:rsid w:val="00567897"/>
    <w:rsid w:val="00567A47"/>
    <w:rsid w:val="00570597"/>
    <w:rsid w:val="00571573"/>
    <w:rsid w:val="005716BD"/>
    <w:rsid w:val="00572585"/>
    <w:rsid w:val="0057266A"/>
    <w:rsid w:val="00572A94"/>
    <w:rsid w:val="00572AF2"/>
    <w:rsid w:val="005735AF"/>
    <w:rsid w:val="0057368B"/>
    <w:rsid w:val="005737B6"/>
    <w:rsid w:val="005744C0"/>
    <w:rsid w:val="0057459F"/>
    <w:rsid w:val="00574793"/>
    <w:rsid w:val="00574CB7"/>
    <w:rsid w:val="00574ED7"/>
    <w:rsid w:val="005754F3"/>
    <w:rsid w:val="00575885"/>
    <w:rsid w:val="0057593D"/>
    <w:rsid w:val="00576802"/>
    <w:rsid w:val="00576AE0"/>
    <w:rsid w:val="00576D70"/>
    <w:rsid w:val="00576DE0"/>
    <w:rsid w:val="005771DC"/>
    <w:rsid w:val="00577B51"/>
    <w:rsid w:val="00577CB4"/>
    <w:rsid w:val="00577CDB"/>
    <w:rsid w:val="00577F4C"/>
    <w:rsid w:val="005800FC"/>
    <w:rsid w:val="00580192"/>
    <w:rsid w:val="005801B7"/>
    <w:rsid w:val="00580303"/>
    <w:rsid w:val="00580B8B"/>
    <w:rsid w:val="00580E24"/>
    <w:rsid w:val="00580E87"/>
    <w:rsid w:val="005817D6"/>
    <w:rsid w:val="00581904"/>
    <w:rsid w:val="0058196D"/>
    <w:rsid w:val="005829E1"/>
    <w:rsid w:val="00582A5E"/>
    <w:rsid w:val="00582B6E"/>
    <w:rsid w:val="00582F9E"/>
    <w:rsid w:val="005832FE"/>
    <w:rsid w:val="0058393B"/>
    <w:rsid w:val="00583DB9"/>
    <w:rsid w:val="0058413B"/>
    <w:rsid w:val="005841D7"/>
    <w:rsid w:val="0058449E"/>
    <w:rsid w:val="005844E1"/>
    <w:rsid w:val="005851B5"/>
    <w:rsid w:val="005851CC"/>
    <w:rsid w:val="005853E3"/>
    <w:rsid w:val="005859C2"/>
    <w:rsid w:val="00585EF3"/>
    <w:rsid w:val="0058655C"/>
    <w:rsid w:val="00586A9A"/>
    <w:rsid w:val="00586B6D"/>
    <w:rsid w:val="00586DF0"/>
    <w:rsid w:val="005870BA"/>
    <w:rsid w:val="0058790E"/>
    <w:rsid w:val="00587C61"/>
    <w:rsid w:val="00590403"/>
    <w:rsid w:val="0059097A"/>
    <w:rsid w:val="00590B7B"/>
    <w:rsid w:val="005910D6"/>
    <w:rsid w:val="0059112A"/>
    <w:rsid w:val="005917F1"/>
    <w:rsid w:val="00591863"/>
    <w:rsid w:val="00591F93"/>
    <w:rsid w:val="005920E9"/>
    <w:rsid w:val="005924ED"/>
    <w:rsid w:val="00592507"/>
    <w:rsid w:val="00592710"/>
    <w:rsid w:val="00592719"/>
    <w:rsid w:val="0059319D"/>
    <w:rsid w:val="00593E26"/>
    <w:rsid w:val="00593F90"/>
    <w:rsid w:val="00594126"/>
    <w:rsid w:val="00594808"/>
    <w:rsid w:val="00594D76"/>
    <w:rsid w:val="0059532B"/>
    <w:rsid w:val="00595B26"/>
    <w:rsid w:val="00595E12"/>
    <w:rsid w:val="0059668C"/>
    <w:rsid w:val="00596A76"/>
    <w:rsid w:val="0059711F"/>
    <w:rsid w:val="005971FE"/>
    <w:rsid w:val="005977EF"/>
    <w:rsid w:val="00597A7E"/>
    <w:rsid w:val="00597B9F"/>
    <w:rsid w:val="00597BF2"/>
    <w:rsid w:val="00597FC1"/>
    <w:rsid w:val="005A0663"/>
    <w:rsid w:val="005A0C40"/>
    <w:rsid w:val="005A0D18"/>
    <w:rsid w:val="005A1559"/>
    <w:rsid w:val="005A1A5C"/>
    <w:rsid w:val="005A1CFB"/>
    <w:rsid w:val="005A1FB8"/>
    <w:rsid w:val="005A2106"/>
    <w:rsid w:val="005A2326"/>
    <w:rsid w:val="005A24C3"/>
    <w:rsid w:val="005A24D8"/>
    <w:rsid w:val="005A2A15"/>
    <w:rsid w:val="005A3B3F"/>
    <w:rsid w:val="005A3CE6"/>
    <w:rsid w:val="005A46D8"/>
    <w:rsid w:val="005A46ED"/>
    <w:rsid w:val="005A478F"/>
    <w:rsid w:val="005A4981"/>
    <w:rsid w:val="005A4AB8"/>
    <w:rsid w:val="005A4C9D"/>
    <w:rsid w:val="005A4F5E"/>
    <w:rsid w:val="005A5745"/>
    <w:rsid w:val="005A5A95"/>
    <w:rsid w:val="005A5B38"/>
    <w:rsid w:val="005A5EF3"/>
    <w:rsid w:val="005A61BB"/>
    <w:rsid w:val="005A6370"/>
    <w:rsid w:val="005A69BA"/>
    <w:rsid w:val="005A6C50"/>
    <w:rsid w:val="005A6E0B"/>
    <w:rsid w:val="005A6E1E"/>
    <w:rsid w:val="005A7511"/>
    <w:rsid w:val="005A768A"/>
    <w:rsid w:val="005A77A7"/>
    <w:rsid w:val="005A7D09"/>
    <w:rsid w:val="005B081E"/>
    <w:rsid w:val="005B0990"/>
    <w:rsid w:val="005B0F5D"/>
    <w:rsid w:val="005B12E1"/>
    <w:rsid w:val="005B15EA"/>
    <w:rsid w:val="005B18B9"/>
    <w:rsid w:val="005B1933"/>
    <w:rsid w:val="005B1BF2"/>
    <w:rsid w:val="005B1F28"/>
    <w:rsid w:val="005B21DE"/>
    <w:rsid w:val="005B2488"/>
    <w:rsid w:val="005B3163"/>
    <w:rsid w:val="005B38AE"/>
    <w:rsid w:val="005B40C0"/>
    <w:rsid w:val="005B450E"/>
    <w:rsid w:val="005B452A"/>
    <w:rsid w:val="005B4E51"/>
    <w:rsid w:val="005B53F0"/>
    <w:rsid w:val="005B5A4C"/>
    <w:rsid w:val="005B5BA6"/>
    <w:rsid w:val="005B5FE8"/>
    <w:rsid w:val="005B618F"/>
    <w:rsid w:val="005B67C8"/>
    <w:rsid w:val="005B6AFE"/>
    <w:rsid w:val="005B7150"/>
    <w:rsid w:val="005B75DE"/>
    <w:rsid w:val="005B76D8"/>
    <w:rsid w:val="005B7A86"/>
    <w:rsid w:val="005C0780"/>
    <w:rsid w:val="005C0993"/>
    <w:rsid w:val="005C0C41"/>
    <w:rsid w:val="005C0CA4"/>
    <w:rsid w:val="005C129B"/>
    <w:rsid w:val="005C151A"/>
    <w:rsid w:val="005C1E1F"/>
    <w:rsid w:val="005C286C"/>
    <w:rsid w:val="005C298E"/>
    <w:rsid w:val="005C32AF"/>
    <w:rsid w:val="005C33BA"/>
    <w:rsid w:val="005C3E4B"/>
    <w:rsid w:val="005C3F5D"/>
    <w:rsid w:val="005C4534"/>
    <w:rsid w:val="005C469A"/>
    <w:rsid w:val="005C46E1"/>
    <w:rsid w:val="005C4A6F"/>
    <w:rsid w:val="005C4C52"/>
    <w:rsid w:val="005C54EF"/>
    <w:rsid w:val="005C6497"/>
    <w:rsid w:val="005C64F9"/>
    <w:rsid w:val="005C67C7"/>
    <w:rsid w:val="005C7187"/>
    <w:rsid w:val="005C7555"/>
    <w:rsid w:val="005C7572"/>
    <w:rsid w:val="005C75F7"/>
    <w:rsid w:val="005C78DC"/>
    <w:rsid w:val="005C7950"/>
    <w:rsid w:val="005C7D8F"/>
    <w:rsid w:val="005C7FD7"/>
    <w:rsid w:val="005D03E3"/>
    <w:rsid w:val="005D0B84"/>
    <w:rsid w:val="005D1497"/>
    <w:rsid w:val="005D24D1"/>
    <w:rsid w:val="005D2F44"/>
    <w:rsid w:val="005D333F"/>
    <w:rsid w:val="005D358D"/>
    <w:rsid w:val="005D44A7"/>
    <w:rsid w:val="005D48F0"/>
    <w:rsid w:val="005D4CDE"/>
    <w:rsid w:val="005D4DF2"/>
    <w:rsid w:val="005D4F2F"/>
    <w:rsid w:val="005D4F40"/>
    <w:rsid w:val="005D4FD7"/>
    <w:rsid w:val="005D5408"/>
    <w:rsid w:val="005D5705"/>
    <w:rsid w:val="005D586F"/>
    <w:rsid w:val="005D631E"/>
    <w:rsid w:val="005D66F4"/>
    <w:rsid w:val="005D6C9B"/>
    <w:rsid w:val="005D6F68"/>
    <w:rsid w:val="005D7085"/>
    <w:rsid w:val="005D71AB"/>
    <w:rsid w:val="005D7246"/>
    <w:rsid w:val="005D76EF"/>
    <w:rsid w:val="005D7E3E"/>
    <w:rsid w:val="005D7E5D"/>
    <w:rsid w:val="005D7FCD"/>
    <w:rsid w:val="005D7FF4"/>
    <w:rsid w:val="005E00A5"/>
    <w:rsid w:val="005E0343"/>
    <w:rsid w:val="005E0AE1"/>
    <w:rsid w:val="005E108C"/>
    <w:rsid w:val="005E11DE"/>
    <w:rsid w:val="005E120C"/>
    <w:rsid w:val="005E1214"/>
    <w:rsid w:val="005E1286"/>
    <w:rsid w:val="005E140D"/>
    <w:rsid w:val="005E1AC4"/>
    <w:rsid w:val="005E1D5E"/>
    <w:rsid w:val="005E1E74"/>
    <w:rsid w:val="005E21C8"/>
    <w:rsid w:val="005E2523"/>
    <w:rsid w:val="005E2B89"/>
    <w:rsid w:val="005E2BBB"/>
    <w:rsid w:val="005E2C6E"/>
    <w:rsid w:val="005E4919"/>
    <w:rsid w:val="005E4F09"/>
    <w:rsid w:val="005E5235"/>
    <w:rsid w:val="005E5371"/>
    <w:rsid w:val="005E53B7"/>
    <w:rsid w:val="005E550A"/>
    <w:rsid w:val="005E551E"/>
    <w:rsid w:val="005E5973"/>
    <w:rsid w:val="005E5D4A"/>
    <w:rsid w:val="005E5F3F"/>
    <w:rsid w:val="005E619D"/>
    <w:rsid w:val="005E620D"/>
    <w:rsid w:val="005E622B"/>
    <w:rsid w:val="005E7188"/>
    <w:rsid w:val="005E779B"/>
    <w:rsid w:val="005E7952"/>
    <w:rsid w:val="005E79AB"/>
    <w:rsid w:val="005F0776"/>
    <w:rsid w:val="005F0B62"/>
    <w:rsid w:val="005F15CA"/>
    <w:rsid w:val="005F1719"/>
    <w:rsid w:val="005F19D5"/>
    <w:rsid w:val="005F19F2"/>
    <w:rsid w:val="005F1B3C"/>
    <w:rsid w:val="005F1C3C"/>
    <w:rsid w:val="005F1CBD"/>
    <w:rsid w:val="005F208D"/>
    <w:rsid w:val="005F2254"/>
    <w:rsid w:val="005F237B"/>
    <w:rsid w:val="005F268C"/>
    <w:rsid w:val="005F3112"/>
    <w:rsid w:val="005F3460"/>
    <w:rsid w:val="005F3A7A"/>
    <w:rsid w:val="005F44B8"/>
    <w:rsid w:val="005F4CEF"/>
    <w:rsid w:val="005F4F9B"/>
    <w:rsid w:val="005F5E13"/>
    <w:rsid w:val="005F62A8"/>
    <w:rsid w:val="005F6A93"/>
    <w:rsid w:val="005F6D53"/>
    <w:rsid w:val="005F7543"/>
    <w:rsid w:val="006000BC"/>
    <w:rsid w:val="00600406"/>
    <w:rsid w:val="006007DF"/>
    <w:rsid w:val="006009C7"/>
    <w:rsid w:val="006012AA"/>
    <w:rsid w:val="006012B3"/>
    <w:rsid w:val="006012BF"/>
    <w:rsid w:val="00601602"/>
    <w:rsid w:val="006017B6"/>
    <w:rsid w:val="00601DC9"/>
    <w:rsid w:val="00602042"/>
    <w:rsid w:val="0060208E"/>
    <w:rsid w:val="0060225A"/>
    <w:rsid w:val="0060236D"/>
    <w:rsid w:val="0060245B"/>
    <w:rsid w:val="00602DCF"/>
    <w:rsid w:val="00602FC9"/>
    <w:rsid w:val="0060308E"/>
    <w:rsid w:val="006031CB"/>
    <w:rsid w:val="0060359A"/>
    <w:rsid w:val="006036CA"/>
    <w:rsid w:val="00603825"/>
    <w:rsid w:val="0060390A"/>
    <w:rsid w:val="00603B29"/>
    <w:rsid w:val="006047E1"/>
    <w:rsid w:val="00604A45"/>
    <w:rsid w:val="0060517E"/>
    <w:rsid w:val="006051E5"/>
    <w:rsid w:val="00605E3B"/>
    <w:rsid w:val="006061E8"/>
    <w:rsid w:val="00606331"/>
    <w:rsid w:val="0060685A"/>
    <w:rsid w:val="00606A1E"/>
    <w:rsid w:val="00606A9C"/>
    <w:rsid w:val="00606B09"/>
    <w:rsid w:val="00606C3F"/>
    <w:rsid w:val="0060738C"/>
    <w:rsid w:val="006077C6"/>
    <w:rsid w:val="0060790F"/>
    <w:rsid w:val="006079FD"/>
    <w:rsid w:val="00610643"/>
    <w:rsid w:val="0061094A"/>
    <w:rsid w:val="00610998"/>
    <w:rsid w:val="00611281"/>
    <w:rsid w:val="00611309"/>
    <w:rsid w:val="006116AE"/>
    <w:rsid w:val="006118B4"/>
    <w:rsid w:val="00611938"/>
    <w:rsid w:val="00611A9A"/>
    <w:rsid w:val="00611B3C"/>
    <w:rsid w:val="00612291"/>
    <w:rsid w:val="0061230F"/>
    <w:rsid w:val="006124B0"/>
    <w:rsid w:val="006125F8"/>
    <w:rsid w:val="00612797"/>
    <w:rsid w:val="006127D8"/>
    <w:rsid w:val="006129BA"/>
    <w:rsid w:val="00612B97"/>
    <w:rsid w:val="00613181"/>
    <w:rsid w:val="00613510"/>
    <w:rsid w:val="00613FA6"/>
    <w:rsid w:val="00614367"/>
    <w:rsid w:val="00614B12"/>
    <w:rsid w:val="0061541C"/>
    <w:rsid w:val="00615423"/>
    <w:rsid w:val="0061552B"/>
    <w:rsid w:val="00615862"/>
    <w:rsid w:val="006166B6"/>
    <w:rsid w:val="0061721D"/>
    <w:rsid w:val="006174A7"/>
    <w:rsid w:val="00617565"/>
    <w:rsid w:val="00617C09"/>
    <w:rsid w:val="006205E6"/>
    <w:rsid w:val="00620CE8"/>
    <w:rsid w:val="00621160"/>
    <w:rsid w:val="006211C3"/>
    <w:rsid w:val="00621725"/>
    <w:rsid w:val="00621C82"/>
    <w:rsid w:val="00621E0E"/>
    <w:rsid w:val="006221DF"/>
    <w:rsid w:val="00622991"/>
    <w:rsid w:val="00622E64"/>
    <w:rsid w:val="00623484"/>
    <w:rsid w:val="006238FC"/>
    <w:rsid w:val="00623A1B"/>
    <w:rsid w:val="00623B6B"/>
    <w:rsid w:val="006242B5"/>
    <w:rsid w:val="0062456A"/>
    <w:rsid w:val="00624967"/>
    <w:rsid w:val="00624F90"/>
    <w:rsid w:val="0062515E"/>
    <w:rsid w:val="0062556B"/>
    <w:rsid w:val="00625935"/>
    <w:rsid w:val="00625BF6"/>
    <w:rsid w:val="0062614A"/>
    <w:rsid w:val="00626241"/>
    <w:rsid w:val="00626337"/>
    <w:rsid w:val="006267C2"/>
    <w:rsid w:val="00626DE7"/>
    <w:rsid w:val="00626EB5"/>
    <w:rsid w:val="006270C8"/>
    <w:rsid w:val="0062769F"/>
    <w:rsid w:val="006277D7"/>
    <w:rsid w:val="006279E0"/>
    <w:rsid w:val="0063008A"/>
    <w:rsid w:val="0063054E"/>
    <w:rsid w:val="00630783"/>
    <w:rsid w:val="00630EFE"/>
    <w:rsid w:val="0063100F"/>
    <w:rsid w:val="00631482"/>
    <w:rsid w:val="006315AF"/>
    <w:rsid w:val="00631A0B"/>
    <w:rsid w:val="00631C88"/>
    <w:rsid w:val="00631DE9"/>
    <w:rsid w:val="00632475"/>
    <w:rsid w:val="00632B45"/>
    <w:rsid w:val="00633C68"/>
    <w:rsid w:val="0063405D"/>
    <w:rsid w:val="006343DE"/>
    <w:rsid w:val="00634BFD"/>
    <w:rsid w:val="00634F00"/>
    <w:rsid w:val="00635294"/>
    <w:rsid w:val="00635BCA"/>
    <w:rsid w:val="006361A9"/>
    <w:rsid w:val="006365A3"/>
    <w:rsid w:val="00636731"/>
    <w:rsid w:val="00636936"/>
    <w:rsid w:val="00636A21"/>
    <w:rsid w:val="00636BFB"/>
    <w:rsid w:val="00636C63"/>
    <w:rsid w:val="00636E1B"/>
    <w:rsid w:val="0063748F"/>
    <w:rsid w:val="006374D9"/>
    <w:rsid w:val="00637D3C"/>
    <w:rsid w:val="00637F6F"/>
    <w:rsid w:val="00640139"/>
    <w:rsid w:val="006402CD"/>
    <w:rsid w:val="00640937"/>
    <w:rsid w:val="00640A05"/>
    <w:rsid w:val="00640CCF"/>
    <w:rsid w:val="0064100A"/>
    <w:rsid w:val="00641999"/>
    <w:rsid w:val="006428B8"/>
    <w:rsid w:val="00642FB0"/>
    <w:rsid w:val="0064380F"/>
    <w:rsid w:val="006439F9"/>
    <w:rsid w:val="00643AD9"/>
    <w:rsid w:val="006441FF"/>
    <w:rsid w:val="00644B7B"/>
    <w:rsid w:val="00644D6D"/>
    <w:rsid w:val="00644F1C"/>
    <w:rsid w:val="006450B6"/>
    <w:rsid w:val="00645129"/>
    <w:rsid w:val="006452DD"/>
    <w:rsid w:val="00646054"/>
    <w:rsid w:val="00646183"/>
    <w:rsid w:val="00646258"/>
    <w:rsid w:val="00646563"/>
    <w:rsid w:val="00646D63"/>
    <w:rsid w:val="00646DA1"/>
    <w:rsid w:val="0064764A"/>
    <w:rsid w:val="006478E7"/>
    <w:rsid w:val="00647C20"/>
    <w:rsid w:val="0065014B"/>
    <w:rsid w:val="00650439"/>
    <w:rsid w:val="0065059B"/>
    <w:rsid w:val="00650BE5"/>
    <w:rsid w:val="00650FB2"/>
    <w:rsid w:val="0065128D"/>
    <w:rsid w:val="00651428"/>
    <w:rsid w:val="0065163C"/>
    <w:rsid w:val="00651A78"/>
    <w:rsid w:val="00651D84"/>
    <w:rsid w:val="00651E62"/>
    <w:rsid w:val="0065205D"/>
    <w:rsid w:val="006522C5"/>
    <w:rsid w:val="006525F7"/>
    <w:rsid w:val="00652D7E"/>
    <w:rsid w:val="0065314B"/>
    <w:rsid w:val="00653841"/>
    <w:rsid w:val="00653971"/>
    <w:rsid w:val="00653993"/>
    <w:rsid w:val="00653B5B"/>
    <w:rsid w:val="006541B1"/>
    <w:rsid w:val="0065438A"/>
    <w:rsid w:val="0065467F"/>
    <w:rsid w:val="00654A32"/>
    <w:rsid w:val="006553CB"/>
    <w:rsid w:val="006559D1"/>
    <w:rsid w:val="00655DDE"/>
    <w:rsid w:val="006564A4"/>
    <w:rsid w:val="006569E5"/>
    <w:rsid w:val="006569FF"/>
    <w:rsid w:val="00656C9F"/>
    <w:rsid w:val="00657511"/>
    <w:rsid w:val="00657C13"/>
    <w:rsid w:val="0066083D"/>
    <w:rsid w:val="0066090E"/>
    <w:rsid w:val="0066193F"/>
    <w:rsid w:val="006620AC"/>
    <w:rsid w:val="0066238C"/>
    <w:rsid w:val="00662BFE"/>
    <w:rsid w:val="006634A2"/>
    <w:rsid w:val="00663973"/>
    <w:rsid w:val="00663D66"/>
    <w:rsid w:val="00663DDC"/>
    <w:rsid w:val="00663F50"/>
    <w:rsid w:val="0066432C"/>
    <w:rsid w:val="00664B3E"/>
    <w:rsid w:val="00664DBB"/>
    <w:rsid w:val="0066508D"/>
    <w:rsid w:val="006657C2"/>
    <w:rsid w:val="00665AE8"/>
    <w:rsid w:val="00665C82"/>
    <w:rsid w:val="00665CE8"/>
    <w:rsid w:val="00665D2B"/>
    <w:rsid w:val="00665D7B"/>
    <w:rsid w:val="006662A9"/>
    <w:rsid w:val="00666570"/>
    <w:rsid w:val="00666595"/>
    <w:rsid w:val="006665E8"/>
    <w:rsid w:val="00666643"/>
    <w:rsid w:val="0066673A"/>
    <w:rsid w:val="006667A4"/>
    <w:rsid w:val="00666EAC"/>
    <w:rsid w:val="00666F07"/>
    <w:rsid w:val="006672CB"/>
    <w:rsid w:val="006678A0"/>
    <w:rsid w:val="00667AF7"/>
    <w:rsid w:val="00667D13"/>
    <w:rsid w:val="00670084"/>
    <w:rsid w:val="006700B9"/>
    <w:rsid w:val="0067053D"/>
    <w:rsid w:val="00670663"/>
    <w:rsid w:val="0067073E"/>
    <w:rsid w:val="006707AF"/>
    <w:rsid w:val="006717DF"/>
    <w:rsid w:val="006719AD"/>
    <w:rsid w:val="00671E3D"/>
    <w:rsid w:val="0067224E"/>
    <w:rsid w:val="00672270"/>
    <w:rsid w:val="00672540"/>
    <w:rsid w:val="00672A3C"/>
    <w:rsid w:val="00672A50"/>
    <w:rsid w:val="00672A65"/>
    <w:rsid w:val="00672C12"/>
    <w:rsid w:val="00672C63"/>
    <w:rsid w:val="00673000"/>
    <w:rsid w:val="006731EB"/>
    <w:rsid w:val="0067335A"/>
    <w:rsid w:val="0067369A"/>
    <w:rsid w:val="00673A96"/>
    <w:rsid w:val="00673ADC"/>
    <w:rsid w:val="00673C99"/>
    <w:rsid w:val="006744F6"/>
    <w:rsid w:val="006744FA"/>
    <w:rsid w:val="006745A5"/>
    <w:rsid w:val="006749FD"/>
    <w:rsid w:val="0067522F"/>
    <w:rsid w:val="006753D4"/>
    <w:rsid w:val="006754A0"/>
    <w:rsid w:val="0067597C"/>
    <w:rsid w:val="00675A40"/>
    <w:rsid w:val="00675E06"/>
    <w:rsid w:val="006762C2"/>
    <w:rsid w:val="006766A1"/>
    <w:rsid w:val="00676FEE"/>
    <w:rsid w:val="0067745D"/>
    <w:rsid w:val="00677806"/>
    <w:rsid w:val="00677AE3"/>
    <w:rsid w:val="006801EF"/>
    <w:rsid w:val="0068046E"/>
    <w:rsid w:val="006804AF"/>
    <w:rsid w:val="00680A05"/>
    <w:rsid w:val="00680EF4"/>
    <w:rsid w:val="0068118D"/>
    <w:rsid w:val="00681419"/>
    <w:rsid w:val="006815FA"/>
    <w:rsid w:val="00681909"/>
    <w:rsid w:val="00681CC3"/>
    <w:rsid w:val="00682001"/>
    <w:rsid w:val="00682C5C"/>
    <w:rsid w:val="00683193"/>
    <w:rsid w:val="006833EB"/>
    <w:rsid w:val="006836CF"/>
    <w:rsid w:val="00683801"/>
    <w:rsid w:val="00684B41"/>
    <w:rsid w:val="00684B82"/>
    <w:rsid w:val="00684F2C"/>
    <w:rsid w:val="0068525C"/>
    <w:rsid w:val="00685355"/>
    <w:rsid w:val="006857A7"/>
    <w:rsid w:val="00685981"/>
    <w:rsid w:val="00685CBA"/>
    <w:rsid w:val="0068615F"/>
    <w:rsid w:val="0068625D"/>
    <w:rsid w:val="0068641B"/>
    <w:rsid w:val="00686792"/>
    <w:rsid w:val="00686DF1"/>
    <w:rsid w:val="00686EED"/>
    <w:rsid w:val="0068771B"/>
    <w:rsid w:val="00687769"/>
    <w:rsid w:val="00690298"/>
    <w:rsid w:val="006908F6"/>
    <w:rsid w:val="00691413"/>
    <w:rsid w:val="00691AB0"/>
    <w:rsid w:val="00691D11"/>
    <w:rsid w:val="00691DB5"/>
    <w:rsid w:val="00691F77"/>
    <w:rsid w:val="00692487"/>
    <w:rsid w:val="006926FD"/>
    <w:rsid w:val="00692770"/>
    <w:rsid w:val="00692A0F"/>
    <w:rsid w:val="00692AE6"/>
    <w:rsid w:val="00692E43"/>
    <w:rsid w:val="00692E6D"/>
    <w:rsid w:val="00692FD7"/>
    <w:rsid w:val="00693293"/>
    <w:rsid w:val="006937A3"/>
    <w:rsid w:val="00693CD6"/>
    <w:rsid w:val="00693EBF"/>
    <w:rsid w:val="0069402D"/>
    <w:rsid w:val="006943A1"/>
    <w:rsid w:val="0069460F"/>
    <w:rsid w:val="0069461C"/>
    <w:rsid w:val="00694925"/>
    <w:rsid w:val="00694A33"/>
    <w:rsid w:val="00694CB1"/>
    <w:rsid w:val="006957E2"/>
    <w:rsid w:val="0069581E"/>
    <w:rsid w:val="00695CF3"/>
    <w:rsid w:val="006967C6"/>
    <w:rsid w:val="00696844"/>
    <w:rsid w:val="00696964"/>
    <w:rsid w:val="006969A1"/>
    <w:rsid w:val="00696A88"/>
    <w:rsid w:val="00697024"/>
    <w:rsid w:val="0069749F"/>
    <w:rsid w:val="006977D1"/>
    <w:rsid w:val="00697B03"/>
    <w:rsid w:val="006A04F6"/>
    <w:rsid w:val="006A0BBA"/>
    <w:rsid w:val="006A128E"/>
    <w:rsid w:val="006A19C6"/>
    <w:rsid w:val="006A1D03"/>
    <w:rsid w:val="006A2440"/>
    <w:rsid w:val="006A25C8"/>
    <w:rsid w:val="006A2957"/>
    <w:rsid w:val="006A385D"/>
    <w:rsid w:val="006A3B2F"/>
    <w:rsid w:val="006A467F"/>
    <w:rsid w:val="006A49F2"/>
    <w:rsid w:val="006A4A48"/>
    <w:rsid w:val="006A4BBE"/>
    <w:rsid w:val="006A539B"/>
    <w:rsid w:val="006A5B46"/>
    <w:rsid w:val="006A5DA7"/>
    <w:rsid w:val="006A5FEE"/>
    <w:rsid w:val="006A604B"/>
    <w:rsid w:val="006A6BB7"/>
    <w:rsid w:val="006A731F"/>
    <w:rsid w:val="006A77A5"/>
    <w:rsid w:val="006A7979"/>
    <w:rsid w:val="006B025A"/>
    <w:rsid w:val="006B040A"/>
    <w:rsid w:val="006B05A5"/>
    <w:rsid w:val="006B0668"/>
    <w:rsid w:val="006B084C"/>
    <w:rsid w:val="006B0A7A"/>
    <w:rsid w:val="006B0C26"/>
    <w:rsid w:val="006B108C"/>
    <w:rsid w:val="006B1184"/>
    <w:rsid w:val="006B1413"/>
    <w:rsid w:val="006B1641"/>
    <w:rsid w:val="006B1C82"/>
    <w:rsid w:val="006B1FCD"/>
    <w:rsid w:val="006B2944"/>
    <w:rsid w:val="006B2C3B"/>
    <w:rsid w:val="006B2C92"/>
    <w:rsid w:val="006B2CA5"/>
    <w:rsid w:val="006B2F0E"/>
    <w:rsid w:val="006B3631"/>
    <w:rsid w:val="006B365F"/>
    <w:rsid w:val="006B3790"/>
    <w:rsid w:val="006B388D"/>
    <w:rsid w:val="006B3C6C"/>
    <w:rsid w:val="006B3D7E"/>
    <w:rsid w:val="006B3DBF"/>
    <w:rsid w:val="006B3EBC"/>
    <w:rsid w:val="006B40AC"/>
    <w:rsid w:val="006B433E"/>
    <w:rsid w:val="006B4626"/>
    <w:rsid w:val="006B4777"/>
    <w:rsid w:val="006B480B"/>
    <w:rsid w:val="006B4DF0"/>
    <w:rsid w:val="006B4E47"/>
    <w:rsid w:val="006B4EB6"/>
    <w:rsid w:val="006B5012"/>
    <w:rsid w:val="006B53D1"/>
    <w:rsid w:val="006B5961"/>
    <w:rsid w:val="006B5B04"/>
    <w:rsid w:val="006B5ED3"/>
    <w:rsid w:val="006B5FB8"/>
    <w:rsid w:val="006B6CDB"/>
    <w:rsid w:val="006B7433"/>
    <w:rsid w:val="006C040F"/>
    <w:rsid w:val="006C09B4"/>
    <w:rsid w:val="006C0A1E"/>
    <w:rsid w:val="006C103B"/>
    <w:rsid w:val="006C1346"/>
    <w:rsid w:val="006C13FF"/>
    <w:rsid w:val="006C1A07"/>
    <w:rsid w:val="006C2145"/>
    <w:rsid w:val="006C22A9"/>
    <w:rsid w:val="006C26B9"/>
    <w:rsid w:val="006C2DAF"/>
    <w:rsid w:val="006C302F"/>
    <w:rsid w:val="006C33C1"/>
    <w:rsid w:val="006C39E6"/>
    <w:rsid w:val="006C4385"/>
    <w:rsid w:val="006C471B"/>
    <w:rsid w:val="006C487F"/>
    <w:rsid w:val="006C4B91"/>
    <w:rsid w:val="006C4F36"/>
    <w:rsid w:val="006C531A"/>
    <w:rsid w:val="006C59D8"/>
    <w:rsid w:val="006C5E08"/>
    <w:rsid w:val="006C5FFC"/>
    <w:rsid w:val="006C61F8"/>
    <w:rsid w:val="006C6207"/>
    <w:rsid w:val="006C6AE7"/>
    <w:rsid w:val="006C6C2D"/>
    <w:rsid w:val="006C73E3"/>
    <w:rsid w:val="006C76CD"/>
    <w:rsid w:val="006C7757"/>
    <w:rsid w:val="006C7CD9"/>
    <w:rsid w:val="006C7EBD"/>
    <w:rsid w:val="006D0293"/>
    <w:rsid w:val="006D0B95"/>
    <w:rsid w:val="006D0F30"/>
    <w:rsid w:val="006D1AED"/>
    <w:rsid w:val="006D1EDE"/>
    <w:rsid w:val="006D2132"/>
    <w:rsid w:val="006D2839"/>
    <w:rsid w:val="006D29EB"/>
    <w:rsid w:val="006D2FED"/>
    <w:rsid w:val="006D32A4"/>
    <w:rsid w:val="006D3335"/>
    <w:rsid w:val="006D3525"/>
    <w:rsid w:val="006D37BC"/>
    <w:rsid w:val="006D3DEF"/>
    <w:rsid w:val="006D3F02"/>
    <w:rsid w:val="006D4864"/>
    <w:rsid w:val="006D4945"/>
    <w:rsid w:val="006D4C38"/>
    <w:rsid w:val="006D5570"/>
    <w:rsid w:val="006D5773"/>
    <w:rsid w:val="006D57DB"/>
    <w:rsid w:val="006D64E1"/>
    <w:rsid w:val="006D66BB"/>
    <w:rsid w:val="006D67E7"/>
    <w:rsid w:val="006D6FFF"/>
    <w:rsid w:val="006D74A3"/>
    <w:rsid w:val="006E077C"/>
    <w:rsid w:val="006E0B59"/>
    <w:rsid w:val="006E0E30"/>
    <w:rsid w:val="006E106F"/>
    <w:rsid w:val="006E1D1A"/>
    <w:rsid w:val="006E27BC"/>
    <w:rsid w:val="006E3238"/>
    <w:rsid w:val="006E3867"/>
    <w:rsid w:val="006E3DDA"/>
    <w:rsid w:val="006E40CA"/>
    <w:rsid w:val="006E4315"/>
    <w:rsid w:val="006E43FB"/>
    <w:rsid w:val="006E47CB"/>
    <w:rsid w:val="006E52FE"/>
    <w:rsid w:val="006E53E5"/>
    <w:rsid w:val="006E5EE7"/>
    <w:rsid w:val="006E5F39"/>
    <w:rsid w:val="006E6238"/>
    <w:rsid w:val="006E7270"/>
    <w:rsid w:val="006E73CD"/>
    <w:rsid w:val="006E7D6D"/>
    <w:rsid w:val="006E7D73"/>
    <w:rsid w:val="006E7F0C"/>
    <w:rsid w:val="006E7F92"/>
    <w:rsid w:val="006F01C4"/>
    <w:rsid w:val="006F02EF"/>
    <w:rsid w:val="006F041D"/>
    <w:rsid w:val="006F0458"/>
    <w:rsid w:val="006F0828"/>
    <w:rsid w:val="006F0997"/>
    <w:rsid w:val="006F0BEC"/>
    <w:rsid w:val="006F12A0"/>
    <w:rsid w:val="006F12A5"/>
    <w:rsid w:val="006F1CD6"/>
    <w:rsid w:val="006F1DA8"/>
    <w:rsid w:val="006F271F"/>
    <w:rsid w:val="006F2AF0"/>
    <w:rsid w:val="006F3298"/>
    <w:rsid w:val="006F3657"/>
    <w:rsid w:val="006F3668"/>
    <w:rsid w:val="006F39D6"/>
    <w:rsid w:val="006F3AE6"/>
    <w:rsid w:val="006F4150"/>
    <w:rsid w:val="006F4371"/>
    <w:rsid w:val="006F474D"/>
    <w:rsid w:val="006F485B"/>
    <w:rsid w:val="006F4F42"/>
    <w:rsid w:val="006F5C77"/>
    <w:rsid w:val="006F5D09"/>
    <w:rsid w:val="006F5EBB"/>
    <w:rsid w:val="006F6507"/>
    <w:rsid w:val="006F7170"/>
    <w:rsid w:val="006F79B7"/>
    <w:rsid w:val="006F7AE4"/>
    <w:rsid w:val="006F7FFA"/>
    <w:rsid w:val="007000A0"/>
    <w:rsid w:val="00700112"/>
    <w:rsid w:val="0070058A"/>
    <w:rsid w:val="007008C1"/>
    <w:rsid w:val="00700F4D"/>
    <w:rsid w:val="00701285"/>
    <w:rsid w:val="00701A4B"/>
    <w:rsid w:val="00701B36"/>
    <w:rsid w:val="00701DEF"/>
    <w:rsid w:val="007020D8"/>
    <w:rsid w:val="00702120"/>
    <w:rsid w:val="0070213D"/>
    <w:rsid w:val="007028C7"/>
    <w:rsid w:val="007029D9"/>
    <w:rsid w:val="00703048"/>
    <w:rsid w:val="00703223"/>
    <w:rsid w:val="00703BDF"/>
    <w:rsid w:val="007043CB"/>
    <w:rsid w:val="00704993"/>
    <w:rsid w:val="00704A89"/>
    <w:rsid w:val="00704D22"/>
    <w:rsid w:val="00705356"/>
    <w:rsid w:val="007053DF"/>
    <w:rsid w:val="0070542F"/>
    <w:rsid w:val="007059DB"/>
    <w:rsid w:val="007061D4"/>
    <w:rsid w:val="00706831"/>
    <w:rsid w:val="00706A6C"/>
    <w:rsid w:val="00707197"/>
    <w:rsid w:val="0070736B"/>
    <w:rsid w:val="00707879"/>
    <w:rsid w:val="007078C6"/>
    <w:rsid w:val="00710073"/>
    <w:rsid w:val="0071042B"/>
    <w:rsid w:val="007104FD"/>
    <w:rsid w:val="0071094A"/>
    <w:rsid w:val="00710FDE"/>
    <w:rsid w:val="0071186C"/>
    <w:rsid w:val="007119B8"/>
    <w:rsid w:val="00711B09"/>
    <w:rsid w:val="00711C05"/>
    <w:rsid w:val="00711D2C"/>
    <w:rsid w:val="00712168"/>
    <w:rsid w:val="007125A2"/>
    <w:rsid w:val="00712936"/>
    <w:rsid w:val="00712FAC"/>
    <w:rsid w:val="00712FCA"/>
    <w:rsid w:val="00713728"/>
    <w:rsid w:val="00713D9D"/>
    <w:rsid w:val="0071422F"/>
    <w:rsid w:val="00714BAA"/>
    <w:rsid w:val="00714C85"/>
    <w:rsid w:val="00714F5C"/>
    <w:rsid w:val="0071511D"/>
    <w:rsid w:val="007152AE"/>
    <w:rsid w:val="0071560B"/>
    <w:rsid w:val="0071581F"/>
    <w:rsid w:val="00715AE4"/>
    <w:rsid w:val="00715DD5"/>
    <w:rsid w:val="007161EB"/>
    <w:rsid w:val="0071644D"/>
    <w:rsid w:val="007167CA"/>
    <w:rsid w:val="00716E4D"/>
    <w:rsid w:val="00717443"/>
    <w:rsid w:val="00717741"/>
    <w:rsid w:val="007179B2"/>
    <w:rsid w:val="00717D9F"/>
    <w:rsid w:val="007200E2"/>
    <w:rsid w:val="007208BB"/>
    <w:rsid w:val="00720975"/>
    <w:rsid w:val="00720D57"/>
    <w:rsid w:val="00721456"/>
    <w:rsid w:val="007215A0"/>
    <w:rsid w:val="007218AB"/>
    <w:rsid w:val="0072196F"/>
    <w:rsid w:val="00721978"/>
    <w:rsid w:val="00722849"/>
    <w:rsid w:val="00722C52"/>
    <w:rsid w:val="007233DA"/>
    <w:rsid w:val="00723718"/>
    <w:rsid w:val="007246D9"/>
    <w:rsid w:val="0072474B"/>
    <w:rsid w:val="007250DA"/>
    <w:rsid w:val="0072549E"/>
    <w:rsid w:val="007255DD"/>
    <w:rsid w:val="00725E34"/>
    <w:rsid w:val="0072606D"/>
    <w:rsid w:val="00726F6F"/>
    <w:rsid w:val="007275A6"/>
    <w:rsid w:val="00727900"/>
    <w:rsid w:val="00727B13"/>
    <w:rsid w:val="00727E0E"/>
    <w:rsid w:val="00727FA5"/>
    <w:rsid w:val="00730044"/>
    <w:rsid w:val="0073061A"/>
    <w:rsid w:val="0073076F"/>
    <w:rsid w:val="00730BAC"/>
    <w:rsid w:val="00730E8F"/>
    <w:rsid w:val="00731618"/>
    <w:rsid w:val="007316D0"/>
    <w:rsid w:val="00731767"/>
    <w:rsid w:val="007319F7"/>
    <w:rsid w:val="007320B8"/>
    <w:rsid w:val="007322F6"/>
    <w:rsid w:val="00732997"/>
    <w:rsid w:val="00732B57"/>
    <w:rsid w:val="00733431"/>
    <w:rsid w:val="00733664"/>
    <w:rsid w:val="0073399E"/>
    <w:rsid w:val="00734E07"/>
    <w:rsid w:val="00734FE6"/>
    <w:rsid w:val="007351ED"/>
    <w:rsid w:val="00735553"/>
    <w:rsid w:val="00735BD8"/>
    <w:rsid w:val="00735F06"/>
    <w:rsid w:val="007360FF"/>
    <w:rsid w:val="00736212"/>
    <w:rsid w:val="0073629C"/>
    <w:rsid w:val="007365C6"/>
    <w:rsid w:val="00736C3F"/>
    <w:rsid w:val="0073788B"/>
    <w:rsid w:val="00737F66"/>
    <w:rsid w:val="00740472"/>
    <w:rsid w:val="00740977"/>
    <w:rsid w:val="007409DF"/>
    <w:rsid w:val="00740CF6"/>
    <w:rsid w:val="00740FA7"/>
    <w:rsid w:val="00741010"/>
    <w:rsid w:val="00741127"/>
    <w:rsid w:val="007413E2"/>
    <w:rsid w:val="00741690"/>
    <w:rsid w:val="00741856"/>
    <w:rsid w:val="00741AEF"/>
    <w:rsid w:val="00741E32"/>
    <w:rsid w:val="00741EA8"/>
    <w:rsid w:val="007420AA"/>
    <w:rsid w:val="00742119"/>
    <w:rsid w:val="007425AC"/>
    <w:rsid w:val="007425EB"/>
    <w:rsid w:val="007438C6"/>
    <w:rsid w:val="007439C5"/>
    <w:rsid w:val="0074402F"/>
    <w:rsid w:val="007449D5"/>
    <w:rsid w:val="00744CCD"/>
    <w:rsid w:val="00744DBF"/>
    <w:rsid w:val="00744F58"/>
    <w:rsid w:val="007451FD"/>
    <w:rsid w:val="00745271"/>
    <w:rsid w:val="00745883"/>
    <w:rsid w:val="0074597D"/>
    <w:rsid w:val="00745A57"/>
    <w:rsid w:val="00745C2E"/>
    <w:rsid w:val="0074612B"/>
    <w:rsid w:val="00746490"/>
    <w:rsid w:val="00746818"/>
    <w:rsid w:val="00746949"/>
    <w:rsid w:val="00746DE9"/>
    <w:rsid w:val="007477E4"/>
    <w:rsid w:val="0074799E"/>
    <w:rsid w:val="0075026E"/>
    <w:rsid w:val="0075042B"/>
    <w:rsid w:val="00750514"/>
    <w:rsid w:val="0075072D"/>
    <w:rsid w:val="0075081B"/>
    <w:rsid w:val="00750954"/>
    <w:rsid w:val="00750C7A"/>
    <w:rsid w:val="00750EBA"/>
    <w:rsid w:val="0075122A"/>
    <w:rsid w:val="00751BAD"/>
    <w:rsid w:val="00751C49"/>
    <w:rsid w:val="00752273"/>
    <w:rsid w:val="007523AD"/>
    <w:rsid w:val="00752D45"/>
    <w:rsid w:val="0075318A"/>
    <w:rsid w:val="0075333A"/>
    <w:rsid w:val="007536F1"/>
    <w:rsid w:val="007537CA"/>
    <w:rsid w:val="00753CF6"/>
    <w:rsid w:val="00753EAC"/>
    <w:rsid w:val="007544D5"/>
    <w:rsid w:val="0075483E"/>
    <w:rsid w:val="00754AF3"/>
    <w:rsid w:val="00754D68"/>
    <w:rsid w:val="00754DD0"/>
    <w:rsid w:val="00754F01"/>
    <w:rsid w:val="00755391"/>
    <w:rsid w:val="00755A73"/>
    <w:rsid w:val="00755B04"/>
    <w:rsid w:val="00755C85"/>
    <w:rsid w:val="0075661A"/>
    <w:rsid w:val="00756B55"/>
    <w:rsid w:val="00756C52"/>
    <w:rsid w:val="00756EAD"/>
    <w:rsid w:val="00757454"/>
    <w:rsid w:val="00757502"/>
    <w:rsid w:val="00757BB6"/>
    <w:rsid w:val="00757BE5"/>
    <w:rsid w:val="0076003D"/>
    <w:rsid w:val="00760D9A"/>
    <w:rsid w:val="00760DAF"/>
    <w:rsid w:val="00760FDD"/>
    <w:rsid w:val="00761417"/>
    <w:rsid w:val="00761754"/>
    <w:rsid w:val="00761CC5"/>
    <w:rsid w:val="0076213B"/>
    <w:rsid w:val="00762979"/>
    <w:rsid w:val="00762995"/>
    <w:rsid w:val="00762A9D"/>
    <w:rsid w:val="00762EB4"/>
    <w:rsid w:val="00763603"/>
    <w:rsid w:val="007638D6"/>
    <w:rsid w:val="00763AE1"/>
    <w:rsid w:val="00763B4E"/>
    <w:rsid w:val="00763D07"/>
    <w:rsid w:val="00763E71"/>
    <w:rsid w:val="007649F8"/>
    <w:rsid w:val="007655F9"/>
    <w:rsid w:val="007658B0"/>
    <w:rsid w:val="007661FC"/>
    <w:rsid w:val="00766F1C"/>
    <w:rsid w:val="0076740E"/>
    <w:rsid w:val="0076771C"/>
    <w:rsid w:val="00770292"/>
    <w:rsid w:val="00771083"/>
    <w:rsid w:val="007716BB"/>
    <w:rsid w:val="0077179E"/>
    <w:rsid w:val="007718AD"/>
    <w:rsid w:val="00771994"/>
    <w:rsid w:val="00771E50"/>
    <w:rsid w:val="007724C1"/>
    <w:rsid w:val="007729DE"/>
    <w:rsid w:val="00772B05"/>
    <w:rsid w:val="00773071"/>
    <w:rsid w:val="00773403"/>
    <w:rsid w:val="007738D0"/>
    <w:rsid w:val="00773C4D"/>
    <w:rsid w:val="00773EF5"/>
    <w:rsid w:val="00773F06"/>
    <w:rsid w:val="00774084"/>
    <w:rsid w:val="007743D5"/>
    <w:rsid w:val="00774B01"/>
    <w:rsid w:val="007752F4"/>
    <w:rsid w:val="00776579"/>
    <w:rsid w:val="00776F97"/>
    <w:rsid w:val="007770FA"/>
    <w:rsid w:val="00777A48"/>
    <w:rsid w:val="00777F44"/>
    <w:rsid w:val="0078040D"/>
    <w:rsid w:val="007805F3"/>
    <w:rsid w:val="00780CE3"/>
    <w:rsid w:val="00780F1D"/>
    <w:rsid w:val="007817BE"/>
    <w:rsid w:val="00781910"/>
    <w:rsid w:val="00781B6F"/>
    <w:rsid w:val="00781EEA"/>
    <w:rsid w:val="0078216E"/>
    <w:rsid w:val="00782204"/>
    <w:rsid w:val="00782C06"/>
    <w:rsid w:val="00782FCA"/>
    <w:rsid w:val="00783094"/>
    <w:rsid w:val="00783151"/>
    <w:rsid w:val="0078350E"/>
    <w:rsid w:val="007839C5"/>
    <w:rsid w:val="00784020"/>
    <w:rsid w:val="007847BA"/>
    <w:rsid w:val="0078483B"/>
    <w:rsid w:val="00784A96"/>
    <w:rsid w:val="00784ED1"/>
    <w:rsid w:val="00785593"/>
    <w:rsid w:val="007861BA"/>
    <w:rsid w:val="007861FF"/>
    <w:rsid w:val="007864DF"/>
    <w:rsid w:val="0078671D"/>
    <w:rsid w:val="00786779"/>
    <w:rsid w:val="007867BD"/>
    <w:rsid w:val="00786B64"/>
    <w:rsid w:val="00786BC0"/>
    <w:rsid w:val="00786BC1"/>
    <w:rsid w:val="0078753C"/>
    <w:rsid w:val="007876CF"/>
    <w:rsid w:val="0079019C"/>
    <w:rsid w:val="00790259"/>
    <w:rsid w:val="0079038F"/>
    <w:rsid w:val="007907FA"/>
    <w:rsid w:val="00790D01"/>
    <w:rsid w:val="00790E25"/>
    <w:rsid w:val="00791709"/>
    <w:rsid w:val="00792013"/>
    <w:rsid w:val="0079217B"/>
    <w:rsid w:val="0079262B"/>
    <w:rsid w:val="00792691"/>
    <w:rsid w:val="007928A6"/>
    <w:rsid w:val="0079293A"/>
    <w:rsid w:val="00792C28"/>
    <w:rsid w:val="00793305"/>
    <w:rsid w:val="00793391"/>
    <w:rsid w:val="00793588"/>
    <w:rsid w:val="0079358A"/>
    <w:rsid w:val="007936B7"/>
    <w:rsid w:val="00793A48"/>
    <w:rsid w:val="00793B73"/>
    <w:rsid w:val="007940AB"/>
    <w:rsid w:val="007941FC"/>
    <w:rsid w:val="007942AE"/>
    <w:rsid w:val="00794718"/>
    <w:rsid w:val="00794846"/>
    <w:rsid w:val="00794B7B"/>
    <w:rsid w:val="00794D57"/>
    <w:rsid w:val="007954A1"/>
    <w:rsid w:val="00795B22"/>
    <w:rsid w:val="00795DE4"/>
    <w:rsid w:val="007963D9"/>
    <w:rsid w:val="00796733"/>
    <w:rsid w:val="0079676F"/>
    <w:rsid w:val="00796838"/>
    <w:rsid w:val="00796A17"/>
    <w:rsid w:val="007970DA"/>
    <w:rsid w:val="00797FF6"/>
    <w:rsid w:val="007A006A"/>
    <w:rsid w:val="007A0176"/>
    <w:rsid w:val="007A0C78"/>
    <w:rsid w:val="007A0CC3"/>
    <w:rsid w:val="007A0D94"/>
    <w:rsid w:val="007A1422"/>
    <w:rsid w:val="007A1619"/>
    <w:rsid w:val="007A1EEE"/>
    <w:rsid w:val="007A205D"/>
    <w:rsid w:val="007A238B"/>
    <w:rsid w:val="007A2617"/>
    <w:rsid w:val="007A29EF"/>
    <w:rsid w:val="007A36CF"/>
    <w:rsid w:val="007A4DAC"/>
    <w:rsid w:val="007A4E60"/>
    <w:rsid w:val="007A4F19"/>
    <w:rsid w:val="007A51CD"/>
    <w:rsid w:val="007A55AF"/>
    <w:rsid w:val="007A5BC0"/>
    <w:rsid w:val="007A6615"/>
    <w:rsid w:val="007A66C8"/>
    <w:rsid w:val="007A6902"/>
    <w:rsid w:val="007A6B6C"/>
    <w:rsid w:val="007A7111"/>
    <w:rsid w:val="007A75B8"/>
    <w:rsid w:val="007A7B05"/>
    <w:rsid w:val="007A7B33"/>
    <w:rsid w:val="007B008C"/>
    <w:rsid w:val="007B018A"/>
    <w:rsid w:val="007B0198"/>
    <w:rsid w:val="007B0BEF"/>
    <w:rsid w:val="007B0FFA"/>
    <w:rsid w:val="007B104E"/>
    <w:rsid w:val="007B17AE"/>
    <w:rsid w:val="007B1B7B"/>
    <w:rsid w:val="007B2772"/>
    <w:rsid w:val="007B2D20"/>
    <w:rsid w:val="007B3281"/>
    <w:rsid w:val="007B3306"/>
    <w:rsid w:val="007B3975"/>
    <w:rsid w:val="007B3DAE"/>
    <w:rsid w:val="007B43FF"/>
    <w:rsid w:val="007B4601"/>
    <w:rsid w:val="007B4890"/>
    <w:rsid w:val="007B4B89"/>
    <w:rsid w:val="007B4C57"/>
    <w:rsid w:val="007B4D65"/>
    <w:rsid w:val="007B4E0A"/>
    <w:rsid w:val="007B517A"/>
    <w:rsid w:val="007B5334"/>
    <w:rsid w:val="007B54CD"/>
    <w:rsid w:val="007B576E"/>
    <w:rsid w:val="007B5B03"/>
    <w:rsid w:val="007B5BC9"/>
    <w:rsid w:val="007B5F24"/>
    <w:rsid w:val="007B61AB"/>
    <w:rsid w:val="007B6283"/>
    <w:rsid w:val="007B63A0"/>
    <w:rsid w:val="007B6549"/>
    <w:rsid w:val="007B6DA1"/>
    <w:rsid w:val="007B732F"/>
    <w:rsid w:val="007B7583"/>
    <w:rsid w:val="007B764E"/>
    <w:rsid w:val="007B76B7"/>
    <w:rsid w:val="007B76D5"/>
    <w:rsid w:val="007B7D45"/>
    <w:rsid w:val="007B7EB2"/>
    <w:rsid w:val="007C01B7"/>
    <w:rsid w:val="007C08E5"/>
    <w:rsid w:val="007C0B29"/>
    <w:rsid w:val="007C16AC"/>
    <w:rsid w:val="007C1939"/>
    <w:rsid w:val="007C1940"/>
    <w:rsid w:val="007C1B54"/>
    <w:rsid w:val="007C1E73"/>
    <w:rsid w:val="007C1F3A"/>
    <w:rsid w:val="007C2443"/>
    <w:rsid w:val="007C2557"/>
    <w:rsid w:val="007C25D7"/>
    <w:rsid w:val="007C290F"/>
    <w:rsid w:val="007C2E78"/>
    <w:rsid w:val="007C2EBB"/>
    <w:rsid w:val="007C32E9"/>
    <w:rsid w:val="007C439D"/>
    <w:rsid w:val="007C49D4"/>
    <w:rsid w:val="007C4E84"/>
    <w:rsid w:val="007C556F"/>
    <w:rsid w:val="007C6133"/>
    <w:rsid w:val="007C616A"/>
    <w:rsid w:val="007C6304"/>
    <w:rsid w:val="007C64F3"/>
    <w:rsid w:val="007C66B0"/>
    <w:rsid w:val="007C677B"/>
    <w:rsid w:val="007C754B"/>
    <w:rsid w:val="007C76EC"/>
    <w:rsid w:val="007C7828"/>
    <w:rsid w:val="007C7854"/>
    <w:rsid w:val="007C78CC"/>
    <w:rsid w:val="007C7A71"/>
    <w:rsid w:val="007D043F"/>
    <w:rsid w:val="007D05E1"/>
    <w:rsid w:val="007D06E8"/>
    <w:rsid w:val="007D1182"/>
    <w:rsid w:val="007D12C3"/>
    <w:rsid w:val="007D1376"/>
    <w:rsid w:val="007D1A61"/>
    <w:rsid w:val="007D2268"/>
    <w:rsid w:val="007D2937"/>
    <w:rsid w:val="007D3345"/>
    <w:rsid w:val="007D388C"/>
    <w:rsid w:val="007D3EF5"/>
    <w:rsid w:val="007D426E"/>
    <w:rsid w:val="007D4294"/>
    <w:rsid w:val="007D4493"/>
    <w:rsid w:val="007D4D84"/>
    <w:rsid w:val="007D4EBB"/>
    <w:rsid w:val="007D51C4"/>
    <w:rsid w:val="007D5473"/>
    <w:rsid w:val="007D549B"/>
    <w:rsid w:val="007D5EAC"/>
    <w:rsid w:val="007D6017"/>
    <w:rsid w:val="007D6B83"/>
    <w:rsid w:val="007D6DEE"/>
    <w:rsid w:val="007D6EB0"/>
    <w:rsid w:val="007D6FA2"/>
    <w:rsid w:val="007D7427"/>
    <w:rsid w:val="007D7769"/>
    <w:rsid w:val="007D7A96"/>
    <w:rsid w:val="007D7F29"/>
    <w:rsid w:val="007E0237"/>
    <w:rsid w:val="007E042F"/>
    <w:rsid w:val="007E0469"/>
    <w:rsid w:val="007E0B94"/>
    <w:rsid w:val="007E1010"/>
    <w:rsid w:val="007E13A4"/>
    <w:rsid w:val="007E23CE"/>
    <w:rsid w:val="007E2699"/>
    <w:rsid w:val="007E271D"/>
    <w:rsid w:val="007E3A29"/>
    <w:rsid w:val="007E3B29"/>
    <w:rsid w:val="007E3B52"/>
    <w:rsid w:val="007E3B63"/>
    <w:rsid w:val="007E3E91"/>
    <w:rsid w:val="007E433B"/>
    <w:rsid w:val="007E4C62"/>
    <w:rsid w:val="007E4DBB"/>
    <w:rsid w:val="007E50B0"/>
    <w:rsid w:val="007E545F"/>
    <w:rsid w:val="007E577B"/>
    <w:rsid w:val="007E5924"/>
    <w:rsid w:val="007E5C14"/>
    <w:rsid w:val="007E5DC3"/>
    <w:rsid w:val="007E5EE4"/>
    <w:rsid w:val="007E6074"/>
    <w:rsid w:val="007E66C5"/>
    <w:rsid w:val="007E6B7C"/>
    <w:rsid w:val="007E6E7F"/>
    <w:rsid w:val="007E7569"/>
    <w:rsid w:val="007E7733"/>
    <w:rsid w:val="007E7B83"/>
    <w:rsid w:val="007E7DF2"/>
    <w:rsid w:val="007E7F4F"/>
    <w:rsid w:val="007F010E"/>
    <w:rsid w:val="007F011C"/>
    <w:rsid w:val="007F061B"/>
    <w:rsid w:val="007F0634"/>
    <w:rsid w:val="007F09A8"/>
    <w:rsid w:val="007F0FBF"/>
    <w:rsid w:val="007F10AC"/>
    <w:rsid w:val="007F1559"/>
    <w:rsid w:val="007F176B"/>
    <w:rsid w:val="007F1D4A"/>
    <w:rsid w:val="007F2148"/>
    <w:rsid w:val="007F21A0"/>
    <w:rsid w:val="007F23FD"/>
    <w:rsid w:val="007F3294"/>
    <w:rsid w:val="007F34EC"/>
    <w:rsid w:val="007F35AC"/>
    <w:rsid w:val="007F428B"/>
    <w:rsid w:val="007F432E"/>
    <w:rsid w:val="007F451E"/>
    <w:rsid w:val="007F461D"/>
    <w:rsid w:val="007F4B44"/>
    <w:rsid w:val="007F4BE3"/>
    <w:rsid w:val="007F4FD8"/>
    <w:rsid w:val="007F5139"/>
    <w:rsid w:val="007F55CD"/>
    <w:rsid w:val="007F5912"/>
    <w:rsid w:val="007F5B5D"/>
    <w:rsid w:val="007F5B6E"/>
    <w:rsid w:val="007F66FF"/>
    <w:rsid w:val="007F68BE"/>
    <w:rsid w:val="007F6FBF"/>
    <w:rsid w:val="007F76BA"/>
    <w:rsid w:val="007F7ACB"/>
    <w:rsid w:val="007F7E41"/>
    <w:rsid w:val="00800479"/>
    <w:rsid w:val="00800610"/>
    <w:rsid w:val="0080096A"/>
    <w:rsid w:val="00800AAD"/>
    <w:rsid w:val="00800E10"/>
    <w:rsid w:val="00801001"/>
    <w:rsid w:val="00801084"/>
    <w:rsid w:val="00801369"/>
    <w:rsid w:val="00801AAC"/>
    <w:rsid w:val="00801B37"/>
    <w:rsid w:val="00801D12"/>
    <w:rsid w:val="00801DB1"/>
    <w:rsid w:val="008024E5"/>
    <w:rsid w:val="00802DBC"/>
    <w:rsid w:val="00802DE1"/>
    <w:rsid w:val="00802FD6"/>
    <w:rsid w:val="00803554"/>
    <w:rsid w:val="00803BD2"/>
    <w:rsid w:val="00803F66"/>
    <w:rsid w:val="008044E5"/>
    <w:rsid w:val="0080637D"/>
    <w:rsid w:val="008067F9"/>
    <w:rsid w:val="00806B2F"/>
    <w:rsid w:val="00806C3C"/>
    <w:rsid w:val="008076E0"/>
    <w:rsid w:val="00807730"/>
    <w:rsid w:val="00810691"/>
    <w:rsid w:val="00811237"/>
    <w:rsid w:val="00811FAB"/>
    <w:rsid w:val="008121D2"/>
    <w:rsid w:val="008125F8"/>
    <w:rsid w:val="00812993"/>
    <w:rsid w:val="00812A4D"/>
    <w:rsid w:val="00812E94"/>
    <w:rsid w:val="00812FFE"/>
    <w:rsid w:val="008130FE"/>
    <w:rsid w:val="00813655"/>
    <w:rsid w:val="00813731"/>
    <w:rsid w:val="00813976"/>
    <w:rsid w:val="00813DA3"/>
    <w:rsid w:val="00813E20"/>
    <w:rsid w:val="00814109"/>
    <w:rsid w:val="00814200"/>
    <w:rsid w:val="008144C3"/>
    <w:rsid w:val="00814BB2"/>
    <w:rsid w:val="00814C99"/>
    <w:rsid w:val="00814CEB"/>
    <w:rsid w:val="00814EF6"/>
    <w:rsid w:val="008150F3"/>
    <w:rsid w:val="0081516D"/>
    <w:rsid w:val="008156A0"/>
    <w:rsid w:val="00815C01"/>
    <w:rsid w:val="00816030"/>
    <w:rsid w:val="00816462"/>
    <w:rsid w:val="00816975"/>
    <w:rsid w:val="00816990"/>
    <w:rsid w:val="00816DFA"/>
    <w:rsid w:val="00816E30"/>
    <w:rsid w:val="00816FE1"/>
    <w:rsid w:val="00817D48"/>
    <w:rsid w:val="00820024"/>
    <w:rsid w:val="008206BC"/>
    <w:rsid w:val="00820718"/>
    <w:rsid w:val="00820C81"/>
    <w:rsid w:val="00821E8D"/>
    <w:rsid w:val="00821FC6"/>
    <w:rsid w:val="0082263D"/>
    <w:rsid w:val="008226A1"/>
    <w:rsid w:val="00822B5D"/>
    <w:rsid w:val="00822EE7"/>
    <w:rsid w:val="00823398"/>
    <w:rsid w:val="00823889"/>
    <w:rsid w:val="008238C9"/>
    <w:rsid w:val="00823A24"/>
    <w:rsid w:val="00823CCA"/>
    <w:rsid w:val="00824360"/>
    <w:rsid w:val="00824F66"/>
    <w:rsid w:val="00825282"/>
    <w:rsid w:val="008255F0"/>
    <w:rsid w:val="00825653"/>
    <w:rsid w:val="00825790"/>
    <w:rsid w:val="00826036"/>
    <w:rsid w:val="00826D51"/>
    <w:rsid w:val="00826DF6"/>
    <w:rsid w:val="00827A80"/>
    <w:rsid w:val="0083006F"/>
    <w:rsid w:val="008300E5"/>
    <w:rsid w:val="008303E0"/>
    <w:rsid w:val="008304AE"/>
    <w:rsid w:val="00830FCF"/>
    <w:rsid w:val="0083101D"/>
    <w:rsid w:val="008310F1"/>
    <w:rsid w:val="0083198A"/>
    <w:rsid w:val="00831DDF"/>
    <w:rsid w:val="00831E30"/>
    <w:rsid w:val="00831E33"/>
    <w:rsid w:val="00831FD8"/>
    <w:rsid w:val="00832544"/>
    <w:rsid w:val="00832836"/>
    <w:rsid w:val="00832C42"/>
    <w:rsid w:val="00832C88"/>
    <w:rsid w:val="00833486"/>
    <w:rsid w:val="0083371E"/>
    <w:rsid w:val="008337A8"/>
    <w:rsid w:val="008338B9"/>
    <w:rsid w:val="008339AC"/>
    <w:rsid w:val="00833F38"/>
    <w:rsid w:val="0083403E"/>
    <w:rsid w:val="008343CD"/>
    <w:rsid w:val="00834A5A"/>
    <w:rsid w:val="00834A88"/>
    <w:rsid w:val="00834C40"/>
    <w:rsid w:val="008357E2"/>
    <w:rsid w:val="0083590B"/>
    <w:rsid w:val="008361B2"/>
    <w:rsid w:val="00836499"/>
    <w:rsid w:val="0083674F"/>
    <w:rsid w:val="00836BF0"/>
    <w:rsid w:val="00836D7E"/>
    <w:rsid w:val="00836F53"/>
    <w:rsid w:val="0083743D"/>
    <w:rsid w:val="008378B6"/>
    <w:rsid w:val="00837953"/>
    <w:rsid w:val="00840718"/>
    <w:rsid w:val="0084084E"/>
    <w:rsid w:val="008409E6"/>
    <w:rsid w:val="00840D23"/>
    <w:rsid w:val="008414C8"/>
    <w:rsid w:val="008418D0"/>
    <w:rsid w:val="00841AA3"/>
    <w:rsid w:val="008420B2"/>
    <w:rsid w:val="00842118"/>
    <w:rsid w:val="008422D0"/>
    <w:rsid w:val="00842773"/>
    <w:rsid w:val="00842A7C"/>
    <w:rsid w:val="00842AE3"/>
    <w:rsid w:val="00842D8E"/>
    <w:rsid w:val="00842FF9"/>
    <w:rsid w:val="0084329E"/>
    <w:rsid w:val="008438A5"/>
    <w:rsid w:val="00843C74"/>
    <w:rsid w:val="0084427F"/>
    <w:rsid w:val="0084437D"/>
    <w:rsid w:val="008446D9"/>
    <w:rsid w:val="00844E0C"/>
    <w:rsid w:val="008450D8"/>
    <w:rsid w:val="0084518E"/>
    <w:rsid w:val="0084567B"/>
    <w:rsid w:val="008456DF"/>
    <w:rsid w:val="00845CDE"/>
    <w:rsid w:val="00846157"/>
    <w:rsid w:val="0084680F"/>
    <w:rsid w:val="00846A5C"/>
    <w:rsid w:val="0084794E"/>
    <w:rsid w:val="00847C65"/>
    <w:rsid w:val="00847F95"/>
    <w:rsid w:val="0085004F"/>
    <w:rsid w:val="00850668"/>
    <w:rsid w:val="008506EB"/>
    <w:rsid w:val="008509BE"/>
    <w:rsid w:val="00850B62"/>
    <w:rsid w:val="00850CEF"/>
    <w:rsid w:val="00850E99"/>
    <w:rsid w:val="008511F8"/>
    <w:rsid w:val="00851201"/>
    <w:rsid w:val="0085133F"/>
    <w:rsid w:val="00851676"/>
    <w:rsid w:val="00851707"/>
    <w:rsid w:val="0085185C"/>
    <w:rsid w:val="00851DB9"/>
    <w:rsid w:val="008523E1"/>
    <w:rsid w:val="0085242F"/>
    <w:rsid w:val="0085267F"/>
    <w:rsid w:val="00852D80"/>
    <w:rsid w:val="00852FBA"/>
    <w:rsid w:val="008531CC"/>
    <w:rsid w:val="0085336E"/>
    <w:rsid w:val="00854908"/>
    <w:rsid w:val="00854B04"/>
    <w:rsid w:val="00855178"/>
    <w:rsid w:val="008551C5"/>
    <w:rsid w:val="008552F1"/>
    <w:rsid w:val="008559F1"/>
    <w:rsid w:val="00855B93"/>
    <w:rsid w:val="0085606A"/>
    <w:rsid w:val="008561D1"/>
    <w:rsid w:val="00856611"/>
    <w:rsid w:val="008569F8"/>
    <w:rsid w:val="00856C3F"/>
    <w:rsid w:val="008574A2"/>
    <w:rsid w:val="00857507"/>
    <w:rsid w:val="008576D3"/>
    <w:rsid w:val="00857A55"/>
    <w:rsid w:val="008601FE"/>
    <w:rsid w:val="0086057D"/>
    <w:rsid w:val="008609EB"/>
    <w:rsid w:val="00860AF3"/>
    <w:rsid w:val="00860CC8"/>
    <w:rsid w:val="00860EB1"/>
    <w:rsid w:val="00861735"/>
    <w:rsid w:val="00861790"/>
    <w:rsid w:val="00861E53"/>
    <w:rsid w:val="00861FEA"/>
    <w:rsid w:val="0086280D"/>
    <w:rsid w:val="00862DA8"/>
    <w:rsid w:val="008633B2"/>
    <w:rsid w:val="0086342E"/>
    <w:rsid w:val="0086437F"/>
    <w:rsid w:val="008645DB"/>
    <w:rsid w:val="00864AC7"/>
    <w:rsid w:val="00864D2D"/>
    <w:rsid w:val="008652B4"/>
    <w:rsid w:val="00865B6C"/>
    <w:rsid w:val="00866B0E"/>
    <w:rsid w:val="00867F4A"/>
    <w:rsid w:val="0087036C"/>
    <w:rsid w:val="008703A7"/>
    <w:rsid w:val="0087041B"/>
    <w:rsid w:val="0087074D"/>
    <w:rsid w:val="008708C5"/>
    <w:rsid w:val="00870A86"/>
    <w:rsid w:val="00870E95"/>
    <w:rsid w:val="0087103A"/>
    <w:rsid w:val="00871468"/>
    <w:rsid w:val="008716C5"/>
    <w:rsid w:val="00871AD3"/>
    <w:rsid w:val="008721C8"/>
    <w:rsid w:val="00872B92"/>
    <w:rsid w:val="00872CE4"/>
    <w:rsid w:val="008730A4"/>
    <w:rsid w:val="008739E9"/>
    <w:rsid w:val="00874548"/>
    <w:rsid w:val="00874BB8"/>
    <w:rsid w:val="00874BC3"/>
    <w:rsid w:val="00875044"/>
    <w:rsid w:val="00875473"/>
    <w:rsid w:val="00875567"/>
    <w:rsid w:val="008755DE"/>
    <w:rsid w:val="00875930"/>
    <w:rsid w:val="00875B50"/>
    <w:rsid w:val="00875C1C"/>
    <w:rsid w:val="00875DCE"/>
    <w:rsid w:val="00875E66"/>
    <w:rsid w:val="008763E9"/>
    <w:rsid w:val="008765B5"/>
    <w:rsid w:val="00876F69"/>
    <w:rsid w:val="00876FB0"/>
    <w:rsid w:val="00877206"/>
    <w:rsid w:val="008774AE"/>
    <w:rsid w:val="00877993"/>
    <w:rsid w:val="00877A03"/>
    <w:rsid w:val="00877DB6"/>
    <w:rsid w:val="00880184"/>
    <w:rsid w:val="0088036D"/>
    <w:rsid w:val="008803A7"/>
    <w:rsid w:val="0088158E"/>
    <w:rsid w:val="0088187B"/>
    <w:rsid w:val="00881B3D"/>
    <w:rsid w:val="008821D1"/>
    <w:rsid w:val="00882B84"/>
    <w:rsid w:val="00882BB8"/>
    <w:rsid w:val="008833AE"/>
    <w:rsid w:val="00883904"/>
    <w:rsid w:val="00884053"/>
    <w:rsid w:val="00884340"/>
    <w:rsid w:val="008848C6"/>
    <w:rsid w:val="00884957"/>
    <w:rsid w:val="00884B27"/>
    <w:rsid w:val="008852C2"/>
    <w:rsid w:val="008854D8"/>
    <w:rsid w:val="00886080"/>
    <w:rsid w:val="0088657B"/>
    <w:rsid w:val="0088673C"/>
    <w:rsid w:val="00886C7C"/>
    <w:rsid w:val="00886D93"/>
    <w:rsid w:val="00886EFA"/>
    <w:rsid w:val="008871B0"/>
    <w:rsid w:val="00887255"/>
    <w:rsid w:val="00887CAE"/>
    <w:rsid w:val="00887DED"/>
    <w:rsid w:val="0089027E"/>
    <w:rsid w:val="00890B3C"/>
    <w:rsid w:val="00890DD2"/>
    <w:rsid w:val="008910C9"/>
    <w:rsid w:val="008912F4"/>
    <w:rsid w:val="00891488"/>
    <w:rsid w:val="00891536"/>
    <w:rsid w:val="0089161C"/>
    <w:rsid w:val="00891F08"/>
    <w:rsid w:val="00892798"/>
    <w:rsid w:val="008928C0"/>
    <w:rsid w:val="008928F3"/>
    <w:rsid w:val="00892C26"/>
    <w:rsid w:val="00892DBD"/>
    <w:rsid w:val="0089361A"/>
    <w:rsid w:val="00893983"/>
    <w:rsid w:val="00893DBF"/>
    <w:rsid w:val="00893EDC"/>
    <w:rsid w:val="00893EFC"/>
    <w:rsid w:val="00893FC2"/>
    <w:rsid w:val="00894E77"/>
    <w:rsid w:val="0089555C"/>
    <w:rsid w:val="00895738"/>
    <w:rsid w:val="008958C6"/>
    <w:rsid w:val="00896547"/>
    <w:rsid w:val="00896A4B"/>
    <w:rsid w:val="00896FA1"/>
    <w:rsid w:val="008975EC"/>
    <w:rsid w:val="00897678"/>
    <w:rsid w:val="00897884"/>
    <w:rsid w:val="0089791E"/>
    <w:rsid w:val="00897947"/>
    <w:rsid w:val="00897FAD"/>
    <w:rsid w:val="008A02F8"/>
    <w:rsid w:val="008A0654"/>
    <w:rsid w:val="008A0C3D"/>
    <w:rsid w:val="008A0C5A"/>
    <w:rsid w:val="008A1164"/>
    <w:rsid w:val="008A12DE"/>
    <w:rsid w:val="008A140F"/>
    <w:rsid w:val="008A1536"/>
    <w:rsid w:val="008A169D"/>
    <w:rsid w:val="008A17FF"/>
    <w:rsid w:val="008A244F"/>
    <w:rsid w:val="008A249B"/>
    <w:rsid w:val="008A2BA2"/>
    <w:rsid w:val="008A2CC5"/>
    <w:rsid w:val="008A31CC"/>
    <w:rsid w:val="008A382F"/>
    <w:rsid w:val="008A3FC3"/>
    <w:rsid w:val="008A4204"/>
    <w:rsid w:val="008A4F2A"/>
    <w:rsid w:val="008A4FB0"/>
    <w:rsid w:val="008A51C2"/>
    <w:rsid w:val="008A5B1A"/>
    <w:rsid w:val="008A6219"/>
    <w:rsid w:val="008A6393"/>
    <w:rsid w:val="008A66E3"/>
    <w:rsid w:val="008A6AD9"/>
    <w:rsid w:val="008A78EC"/>
    <w:rsid w:val="008B005E"/>
    <w:rsid w:val="008B044B"/>
    <w:rsid w:val="008B1200"/>
    <w:rsid w:val="008B1704"/>
    <w:rsid w:val="008B182C"/>
    <w:rsid w:val="008B1E2F"/>
    <w:rsid w:val="008B21B0"/>
    <w:rsid w:val="008B23CA"/>
    <w:rsid w:val="008B25BC"/>
    <w:rsid w:val="008B2BA1"/>
    <w:rsid w:val="008B2E3C"/>
    <w:rsid w:val="008B33D1"/>
    <w:rsid w:val="008B363F"/>
    <w:rsid w:val="008B3854"/>
    <w:rsid w:val="008B3F12"/>
    <w:rsid w:val="008B40C7"/>
    <w:rsid w:val="008B4A59"/>
    <w:rsid w:val="008B4BCE"/>
    <w:rsid w:val="008B4D61"/>
    <w:rsid w:val="008B52BF"/>
    <w:rsid w:val="008B5517"/>
    <w:rsid w:val="008B5902"/>
    <w:rsid w:val="008B5E70"/>
    <w:rsid w:val="008B607E"/>
    <w:rsid w:val="008B67DE"/>
    <w:rsid w:val="008B690B"/>
    <w:rsid w:val="008B6B0B"/>
    <w:rsid w:val="008B7150"/>
    <w:rsid w:val="008B7697"/>
    <w:rsid w:val="008C001C"/>
    <w:rsid w:val="008C00B8"/>
    <w:rsid w:val="008C0154"/>
    <w:rsid w:val="008C036B"/>
    <w:rsid w:val="008C07DF"/>
    <w:rsid w:val="008C1159"/>
    <w:rsid w:val="008C1600"/>
    <w:rsid w:val="008C1806"/>
    <w:rsid w:val="008C1C55"/>
    <w:rsid w:val="008C1D08"/>
    <w:rsid w:val="008C22A2"/>
    <w:rsid w:val="008C2649"/>
    <w:rsid w:val="008C28AE"/>
    <w:rsid w:val="008C2AA2"/>
    <w:rsid w:val="008C3189"/>
    <w:rsid w:val="008C3404"/>
    <w:rsid w:val="008C3759"/>
    <w:rsid w:val="008C392B"/>
    <w:rsid w:val="008C39EB"/>
    <w:rsid w:val="008C3DCD"/>
    <w:rsid w:val="008C48B6"/>
    <w:rsid w:val="008C4ACF"/>
    <w:rsid w:val="008C4B3C"/>
    <w:rsid w:val="008C5804"/>
    <w:rsid w:val="008C59E9"/>
    <w:rsid w:val="008C5F81"/>
    <w:rsid w:val="008C624C"/>
    <w:rsid w:val="008C6560"/>
    <w:rsid w:val="008C6882"/>
    <w:rsid w:val="008C68E0"/>
    <w:rsid w:val="008C73E6"/>
    <w:rsid w:val="008C7486"/>
    <w:rsid w:val="008C750F"/>
    <w:rsid w:val="008C7D2F"/>
    <w:rsid w:val="008C7FAC"/>
    <w:rsid w:val="008D117C"/>
    <w:rsid w:val="008D1184"/>
    <w:rsid w:val="008D1296"/>
    <w:rsid w:val="008D12BD"/>
    <w:rsid w:val="008D179A"/>
    <w:rsid w:val="008D18B0"/>
    <w:rsid w:val="008D196B"/>
    <w:rsid w:val="008D1E9A"/>
    <w:rsid w:val="008D2107"/>
    <w:rsid w:val="008D2932"/>
    <w:rsid w:val="008D30C7"/>
    <w:rsid w:val="008D316B"/>
    <w:rsid w:val="008D34A4"/>
    <w:rsid w:val="008D3679"/>
    <w:rsid w:val="008D3C9E"/>
    <w:rsid w:val="008D3CED"/>
    <w:rsid w:val="008D4017"/>
    <w:rsid w:val="008D40A3"/>
    <w:rsid w:val="008D4A0C"/>
    <w:rsid w:val="008D4F30"/>
    <w:rsid w:val="008D512F"/>
    <w:rsid w:val="008D59AD"/>
    <w:rsid w:val="008D5EA2"/>
    <w:rsid w:val="008D6018"/>
    <w:rsid w:val="008D68AC"/>
    <w:rsid w:val="008D6E06"/>
    <w:rsid w:val="008D7356"/>
    <w:rsid w:val="008D740E"/>
    <w:rsid w:val="008D7AE8"/>
    <w:rsid w:val="008E07A7"/>
    <w:rsid w:val="008E0EEA"/>
    <w:rsid w:val="008E1298"/>
    <w:rsid w:val="008E12C2"/>
    <w:rsid w:val="008E13AA"/>
    <w:rsid w:val="008E177C"/>
    <w:rsid w:val="008E1A3D"/>
    <w:rsid w:val="008E1B4A"/>
    <w:rsid w:val="008E2569"/>
    <w:rsid w:val="008E2732"/>
    <w:rsid w:val="008E2767"/>
    <w:rsid w:val="008E2952"/>
    <w:rsid w:val="008E2A4F"/>
    <w:rsid w:val="008E2B4C"/>
    <w:rsid w:val="008E2C23"/>
    <w:rsid w:val="008E2E72"/>
    <w:rsid w:val="008E2EBA"/>
    <w:rsid w:val="008E3452"/>
    <w:rsid w:val="008E3602"/>
    <w:rsid w:val="008E36B1"/>
    <w:rsid w:val="008E4149"/>
    <w:rsid w:val="008E4259"/>
    <w:rsid w:val="008E430F"/>
    <w:rsid w:val="008E43AD"/>
    <w:rsid w:val="008E44DA"/>
    <w:rsid w:val="008E4667"/>
    <w:rsid w:val="008E4A9B"/>
    <w:rsid w:val="008E4E35"/>
    <w:rsid w:val="008E59F9"/>
    <w:rsid w:val="008E6005"/>
    <w:rsid w:val="008E62D0"/>
    <w:rsid w:val="008E633F"/>
    <w:rsid w:val="008E66A7"/>
    <w:rsid w:val="008E6CCE"/>
    <w:rsid w:val="008E6E35"/>
    <w:rsid w:val="008E7316"/>
    <w:rsid w:val="008E7403"/>
    <w:rsid w:val="008E758F"/>
    <w:rsid w:val="008E75D0"/>
    <w:rsid w:val="008E78BB"/>
    <w:rsid w:val="008E7B86"/>
    <w:rsid w:val="008F03B9"/>
    <w:rsid w:val="008F052C"/>
    <w:rsid w:val="008F122E"/>
    <w:rsid w:val="008F1532"/>
    <w:rsid w:val="008F1A8B"/>
    <w:rsid w:val="008F1CF7"/>
    <w:rsid w:val="008F1F2A"/>
    <w:rsid w:val="008F2297"/>
    <w:rsid w:val="008F229B"/>
    <w:rsid w:val="008F25C8"/>
    <w:rsid w:val="008F2D3D"/>
    <w:rsid w:val="008F349D"/>
    <w:rsid w:val="008F383A"/>
    <w:rsid w:val="008F3DA2"/>
    <w:rsid w:val="008F4056"/>
    <w:rsid w:val="008F42DB"/>
    <w:rsid w:val="008F44EA"/>
    <w:rsid w:val="008F47B8"/>
    <w:rsid w:val="008F5109"/>
    <w:rsid w:val="008F545C"/>
    <w:rsid w:val="008F54B7"/>
    <w:rsid w:val="008F55A5"/>
    <w:rsid w:val="008F58A4"/>
    <w:rsid w:val="008F5D36"/>
    <w:rsid w:val="008F5DDE"/>
    <w:rsid w:val="008F62A1"/>
    <w:rsid w:val="008F6EDA"/>
    <w:rsid w:val="008F71F4"/>
    <w:rsid w:val="008F72D5"/>
    <w:rsid w:val="008F7704"/>
    <w:rsid w:val="008F77C1"/>
    <w:rsid w:val="008F784F"/>
    <w:rsid w:val="008F7877"/>
    <w:rsid w:val="008F7A65"/>
    <w:rsid w:val="008F7BDE"/>
    <w:rsid w:val="008F7C37"/>
    <w:rsid w:val="0090002F"/>
    <w:rsid w:val="00900A48"/>
    <w:rsid w:val="00900B2A"/>
    <w:rsid w:val="00900DA1"/>
    <w:rsid w:val="00900FBD"/>
    <w:rsid w:val="0090119F"/>
    <w:rsid w:val="00901255"/>
    <w:rsid w:val="00901334"/>
    <w:rsid w:val="00901B76"/>
    <w:rsid w:val="00902137"/>
    <w:rsid w:val="0090217F"/>
    <w:rsid w:val="0090249A"/>
    <w:rsid w:val="00902D69"/>
    <w:rsid w:val="00902E49"/>
    <w:rsid w:val="00902F2D"/>
    <w:rsid w:val="00902FC8"/>
    <w:rsid w:val="00903082"/>
    <w:rsid w:val="0090345B"/>
    <w:rsid w:val="0090397B"/>
    <w:rsid w:val="009047AA"/>
    <w:rsid w:val="00904E41"/>
    <w:rsid w:val="00904F00"/>
    <w:rsid w:val="0090530A"/>
    <w:rsid w:val="00905431"/>
    <w:rsid w:val="009056B7"/>
    <w:rsid w:val="009059A6"/>
    <w:rsid w:val="009063D7"/>
    <w:rsid w:val="009065E1"/>
    <w:rsid w:val="0090688F"/>
    <w:rsid w:val="00906B22"/>
    <w:rsid w:val="00906D0D"/>
    <w:rsid w:val="009071DA"/>
    <w:rsid w:val="0090747E"/>
    <w:rsid w:val="00907549"/>
    <w:rsid w:val="00907693"/>
    <w:rsid w:val="00907FA5"/>
    <w:rsid w:val="00907FC1"/>
    <w:rsid w:val="0091026A"/>
    <w:rsid w:val="0091035D"/>
    <w:rsid w:val="00910376"/>
    <w:rsid w:val="009106E6"/>
    <w:rsid w:val="00910CA0"/>
    <w:rsid w:val="00910E34"/>
    <w:rsid w:val="00910F82"/>
    <w:rsid w:val="0091180E"/>
    <w:rsid w:val="00911A48"/>
    <w:rsid w:val="00911B04"/>
    <w:rsid w:val="00912244"/>
    <w:rsid w:val="00912660"/>
    <w:rsid w:val="0091288D"/>
    <w:rsid w:val="009130C4"/>
    <w:rsid w:val="0091355D"/>
    <w:rsid w:val="00914093"/>
    <w:rsid w:val="00914557"/>
    <w:rsid w:val="00914B88"/>
    <w:rsid w:val="00914C14"/>
    <w:rsid w:val="00914E71"/>
    <w:rsid w:val="00914EF8"/>
    <w:rsid w:val="00915044"/>
    <w:rsid w:val="009152D1"/>
    <w:rsid w:val="00916555"/>
    <w:rsid w:val="009165AA"/>
    <w:rsid w:val="009167A6"/>
    <w:rsid w:val="009170E3"/>
    <w:rsid w:val="00920407"/>
    <w:rsid w:val="00920D46"/>
    <w:rsid w:val="00921078"/>
    <w:rsid w:val="0092124D"/>
    <w:rsid w:val="00921579"/>
    <w:rsid w:val="0092158A"/>
    <w:rsid w:val="009219CA"/>
    <w:rsid w:val="00921A13"/>
    <w:rsid w:val="00921E8E"/>
    <w:rsid w:val="00922331"/>
    <w:rsid w:val="0092238C"/>
    <w:rsid w:val="00922455"/>
    <w:rsid w:val="009224CA"/>
    <w:rsid w:val="00922DFB"/>
    <w:rsid w:val="0092312C"/>
    <w:rsid w:val="00923296"/>
    <w:rsid w:val="009233FD"/>
    <w:rsid w:val="009236F2"/>
    <w:rsid w:val="00923D11"/>
    <w:rsid w:val="00925D2D"/>
    <w:rsid w:val="00925E13"/>
    <w:rsid w:val="009264C5"/>
    <w:rsid w:val="00926EC8"/>
    <w:rsid w:val="009273FF"/>
    <w:rsid w:val="009274A1"/>
    <w:rsid w:val="00927940"/>
    <w:rsid w:val="00927DFD"/>
    <w:rsid w:val="00927FC0"/>
    <w:rsid w:val="00930035"/>
    <w:rsid w:val="00930315"/>
    <w:rsid w:val="009304BF"/>
    <w:rsid w:val="0093097E"/>
    <w:rsid w:val="00930DDA"/>
    <w:rsid w:val="00931000"/>
    <w:rsid w:val="00931414"/>
    <w:rsid w:val="0093147C"/>
    <w:rsid w:val="00931A7D"/>
    <w:rsid w:val="009322CC"/>
    <w:rsid w:val="00932589"/>
    <w:rsid w:val="00933043"/>
    <w:rsid w:val="00933629"/>
    <w:rsid w:val="00933860"/>
    <w:rsid w:val="00933881"/>
    <w:rsid w:val="00933C10"/>
    <w:rsid w:val="00934162"/>
    <w:rsid w:val="00934476"/>
    <w:rsid w:val="009345CA"/>
    <w:rsid w:val="009346C8"/>
    <w:rsid w:val="00934D47"/>
    <w:rsid w:val="009353D6"/>
    <w:rsid w:val="0093618B"/>
    <w:rsid w:val="00936248"/>
    <w:rsid w:val="00937514"/>
    <w:rsid w:val="0093772F"/>
    <w:rsid w:val="009378FB"/>
    <w:rsid w:val="00937A50"/>
    <w:rsid w:val="00940729"/>
    <w:rsid w:val="009407D2"/>
    <w:rsid w:val="00940A90"/>
    <w:rsid w:val="00940D96"/>
    <w:rsid w:val="00940DE8"/>
    <w:rsid w:val="0094136C"/>
    <w:rsid w:val="009415CA"/>
    <w:rsid w:val="0094170F"/>
    <w:rsid w:val="00941F9D"/>
    <w:rsid w:val="00941FFC"/>
    <w:rsid w:val="0094261A"/>
    <w:rsid w:val="00942F52"/>
    <w:rsid w:val="00943589"/>
    <w:rsid w:val="00944328"/>
    <w:rsid w:val="009444DD"/>
    <w:rsid w:val="0094454D"/>
    <w:rsid w:val="00944A04"/>
    <w:rsid w:val="00944C92"/>
    <w:rsid w:val="00944FEE"/>
    <w:rsid w:val="009452A9"/>
    <w:rsid w:val="00945423"/>
    <w:rsid w:val="00945AF9"/>
    <w:rsid w:val="00945DC9"/>
    <w:rsid w:val="009463C5"/>
    <w:rsid w:val="00946963"/>
    <w:rsid w:val="00946D57"/>
    <w:rsid w:val="00947AF0"/>
    <w:rsid w:val="00947B80"/>
    <w:rsid w:val="00947F33"/>
    <w:rsid w:val="00950D4C"/>
    <w:rsid w:val="00951087"/>
    <w:rsid w:val="0095176F"/>
    <w:rsid w:val="0095178A"/>
    <w:rsid w:val="009517D8"/>
    <w:rsid w:val="00952060"/>
    <w:rsid w:val="0095224D"/>
    <w:rsid w:val="009524A7"/>
    <w:rsid w:val="00952A7F"/>
    <w:rsid w:val="009530E9"/>
    <w:rsid w:val="0095336C"/>
    <w:rsid w:val="0095350E"/>
    <w:rsid w:val="00953511"/>
    <w:rsid w:val="00953725"/>
    <w:rsid w:val="00953BEC"/>
    <w:rsid w:val="00953E36"/>
    <w:rsid w:val="0095400A"/>
    <w:rsid w:val="00954023"/>
    <w:rsid w:val="009542A1"/>
    <w:rsid w:val="00954518"/>
    <w:rsid w:val="00954676"/>
    <w:rsid w:val="00954A90"/>
    <w:rsid w:val="00954CA0"/>
    <w:rsid w:val="00954CB6"/>
    <w:rsid w:val="00954E7C"/>
    <w:rsid w:val="0095532A"/>
    <w:rsid w:val="00955933"/>
    <w:rsid w:val="00955A04"/>
    <w:rsid w:val="00955E84"/>
    <w:rsid w:val="00955F17"/>
    <w:rsid w:val="009563F8"/>
    <w:rsid w:val="0095649F"/>
    <w:rsid w:val="00956762"/>
    <w:rsid w:val="0095684F"/>
    <w:rsid w:val="009569E5"/>
    <w:rsid w:val="00956C34"/>
    <w:rsid w:val="0095728A"/>
    <w:rsid w:val="00957426"/>
    <w:rsid w:val="009578BD"/>
    <w:rsid w:val="009579D1"/>
    <w:rsid w:val="00957F93"/>
    <w:rsid w:val="0096003A"/>
    <w:rsid w:val="00960642"/>
    <w:rsid w:val="00960C28"/>
    <w:rsid w:val="00960C31"/>
    <w:rsid w:val="00960EC0"/>
    <w:rsid w:val="00960F34"/>
    <w:rsid w:val="009614B6"/>
    <w:rsid w:val="00961917"/>
    <w:rsid w:val="00962A8B"/>
    <w:rsid w:val="00962CF8"/>
    <w:rsid w:val="009630C7"/>
    <w:rsid w:val="009635D1"/>
    <w:rsid w:val="00963E87"/>
    <w:rsid w:val="009641C0"/>
    <w:rsid w:val="009642CD"/>
    <w:rsid w:val="00964388"/>
    <w:rsid w:val="009643DA"/>
    <w:rsid w:val="00964F90"/>
    <w:rsid w:val="00965200"/>
    <w:rsid w:val="009652EC"/>
    <w:rsid w:val="00966117"/>
    <w:rsid w:val="0096628A"/>
    <w:rsid w:val="00966C23"/>
    <w:rsid w:val="00966F54"/>
    <w:rsid w:val="0096760F"/>
    <w:rsid w:val="0096766C"/>
    <w:rsid w:val="00967840"/>
    <w:rsid w:val="00967A89"/>
    <w:rsid w:val="00967A8D"/>
    <w:rsid w:val="00967ACA"/>
    <w:rsid w:val="00967C4E"/>
    <w:rsid w:val="00967C5E"/>
    <w:rsid w:val="00967ED0"/>
    <w:rsid w:val="0097049F"/>
    <w:rsid w:val="00970AC1"/>
    <w:rsid w:val="00971477"/>
    <w:rsid w:val="00971D59"/>
    <w:rsid w:val="00972D32"/>
    <w:rsid w:val="00972DDD"/>
    <w:rsid w:val="00973BA1"/>
    <w:rsid w:val="00974522"/>
    <w:rsid w:val="00974B76"/>
    <w:rsid w:val="0097552A"/>
    <w:rsid w:val="009755AB"/>
    <w:rsid w:val="00975C18"/>
    <w:rsid w:val="00975EB0"/>
    <w:rsid w:val="00975FB3"/>
    <w:rsid w:val="0097601B"/>
    <w:rsid w:val="00976255"/>
    <w:rsid w:val="009762FC"/>
    <w:rsid w:val="00976340"/>
    <w:rsid w:val="009763B7"/>
    <w:rsid w:val="00976453"/>
    <w:rsid w:val="009764FB"/>
    <w:rsid w:val="00976844"/>
    <w:rsid w:val="00976C1B"/>
    <w:rsid w:val="009774E8"/>
    <w:rsid w:val="0097775E"/>
    <w:rsid w:val="00977D2E"/>
    <w:rsid w:val="00980A86"/>
    <w:rsid w:val="00980F0E"/>
    <w:rsid w:val="00981039"/>
    <w:rsid w:val="00981226"/>
    <w:rsid w:val="009815D5"/>
    <w:rsid w:val="00982C67"/>
    <w:rsid w:val="00982E14"/>
    <w:rsid w:val="009836D4"/>
    <w:rsid w:val="00983C06"/>
    <w:rsid w:val="00984DF9"/>
    <w:rsid w:val="00984E9A"/>
    <w:rsid w:val="0098595B"/>
    <w:rsid w:val="00985C90"/>
    <w:rsid w:val="009867C3"/>
    <w:rsid w:val="00986DCB"/>
    <w:rsid w:val="00986F45"/>
    <w:rsid w:val="00986F93"/>
    <w:rsid w:val="00986FC5"/>
    <w:rsid w:val="009870A6"/>
    <w:rsid w:val="009871D1"/>
    <w:rsid w:val="009876AA"/>
    <w:rsid w:val="00987FDB"/>
    <w:rsid w:val="00990143"/>
    <w:rsid w:val="009902F9"/>
    <w:rsid w:val="00990461"/>
    <w:rsid w:val="0099084F"/>
    <w:rsid w:val="009909DB"/>
    <w:rsid w:val="00991022"/>
    <w:rsid w:val="00991404"/>
    <w:rsid w:val="009916EE"/>
    <w:rsid w:val="00991CD3"/>
    <w:rsid w:val="00992021"/>
    <w:rsid w:val="00992462"/>
    <w:rsid w:val="00993538"/>
    <w:rsid w:val="0099376A"/>
    <w:rsid w:val="00993BC8"/>
    <w:rsid w:val="00994090"/>
    <w:rsid w:val="009950D6"/>
    <w:rsid w:val="00995462"/>
    <w:rsid w:val="00995D58"/>
    <w:rsid w:val="00995E28"/>
    <w:rsid w:val="00996961"/>
    <w:rsid w:val="00997755"/>
    <w:rsid w:val="00997BA6"/>
    <w:rsid w:val="00997E77"/>
    <w:rsid w:val="009A00ED"/>
    <w:rsid w:val="009A0437"/>
    <w:rsid w:val="009A081D"/>
    <w:rsid w:val="009A0EA6"/>
    <w:rsid w:val="009A1C46"/>
    <w:rsid w:val="009A1F36"/>
    <w:rsid w:val="009A217F"/>
    <w:rsid w:val="009A24A4"/>
    <w:rsid w:val="009A28D2"/>
    <w:rsid w:val="009A3018"/>
    <w:rsid w:val="009A351C"/>
    <w:rsid w:val="009A384A"/>
    <w:rsid w:val="009A3EDF"/>
    <w:rsid w:val="009A4314"/>
    <w:rsid w:val="009A4845"/>
    <w:rsid w:val="009A48A9"/>
    <w:rsid w:val="009A4FFB"/>
    <w:rsid w:val="009A5A5D"/>
    <w:rsid w:val="009A5F02"/>
    <w:rsid w:val="009A6046"/>
    <w:rsid w:val="009A63A5"/>
    <w:rsid w:val="009A650E"/>
    <w:rsid w:val="009A6A62"/>
    <w:rsid w:val="009A7FB9"/>
    <w:rsid w:val="009A7FCB"/>
    <w:rsid w:val="009B0080"/>
    <w:rsid w:val="009B0623"/>
    <w:rsid w:val="009B0B32"/>
    <w:rsid w:val="009B1B41"/>
    <w:rsid w:val="009B1B57"/>
    <w:rsid w:val="009B1CAC"/>
    <w:rsid w:val="009B2525"/>
    <w:rsid w:val="009B253D"/>
    <w:rsid w:val="009B31CC"/>
    <w:rsid w:val="009B42F4"/>
    <w:rsid w:val="009B4364"/>
    <w:rsid w:val="009B4AF9"/>
    <w:rsid w:val="009B4C5B"/>
    <w:rsid w:val="009B5688"/>
    <w:rsid w:val="009B57D7"/>
    <w:rsid w:val="009B5CD4"/>
    <w:rsid w:val="009B6031"/>
    <w:rsid w:val="009B6254"/>
    <w:rsid w:val="009B672D"/>
    <w:rsid w:val="009B68C8"/>
    <w:rsid w:val="009B6A8A"/>
    <w:rsid w:val="009B6FA9"/>
    <w:rsid w:val="009B72E4"/>
    <w:rsid w:val="009B79A7"/>
    <w:rsid w:val="009B7AD5"/>
    <w:rsid w:val="009B7E85"/>
    <w:rsid w:val="009C040A"/>
    <w:rsid w:val="009C05B1"/>
    <w:rsid w:val="009C0D59"/>
    <w:rsid w:val="009C0DCF"/>
    <w:rsid w:val="009C0F36"/>
    <w:rsid w:val="009C1414"/>
    <w:rsid w:val="009C14AB"/>
    <w:rsid w:val="009C1851"/>
    <w:rsid w:val="009C212D"/>
    <w:rsid w:val="009C243F"/>
    <w:rsid w:val="009C28F3"/>
    <w:rsid w:val="009C290A"/>
    <w:rsid w:val="009C29AC"/>
    <w:rsid w:val="009C3607"/>
    <w:rsid w:val="009C36D9"/>
    <w:rsid w:val="009C376F"/>
    <w:rsid w:val="009C3D45"/>
    <w:rsid w:val="009C3DB7"/>
    <w:rsid w:val="009C3E82"/>
    <w:rsid w:val="009C41B8"/>
    <w:rsid w:val="009C41D1"/>
    <w:rsid w:val="009C4216"/>
    <w:rsid w:val="009C45FD"/>
    <w:rsid w:val="009C4AF2"/>
    <w:rsid w:val="009C4D0C"/>
    <w:rsid w:val="009C504A"/>
    <w:rsid w:val="009C5EE0"/>
    <w:rsid w:val="009C65F6"/>
    <w:rsid w:val="009C6B2C"/>
    <w:rsid w:val="009C79D7"/>
    <w:rsid w:val="009D0163"/>
    <w:rsid w:val="009D0242"/>
    <w:rsid w:val="009D0323"/>
    <w:rsid w:val="009D06C5"/>
    <w:rsid w:val="009D0BE3"/>
    <w:rsid w:val="009D1565"/>
    <w:rsid w:val="009D1AB6"/>
    <w:rsid w:val="009D25C5"/>
    <w:rsid w:val="009D2A9C"/>
    <w:rsid w:val="009D2AB7"/>
    <w:rsid w:val="009D2DDE"/>
    <w:rsid w:val="009D329C"/>
    <w:rsid w:val="009D371B"/>
    <w:rsid w:val="009D3734"/>
    <w:rsid w:val="009D448C"/>
    <w:rsid w:val="009D4641"/>
    <w:rsid w:val="009D4918"/>
    <w:rsid w:val="009D504C"/>
    <w:rsid w:val="009D516E"/>
    <w:rsid w:val="009D58BF"/>
    <w:rsid w:val="009D58F0"/>
    <w:rsid w:val="009D5992"/>
    <w:rsid w:val="009D5EBC"/>
    <w:rsid w:val="009D62CE"/>
    <w:rsid w:val="009D64A5"/>
    <w:rsid w:val="009D6555"/>
    <w:rsid w:val="009D6B05"/>
    <w:rsid w:val="009D6DFF"/>
    <w:rsid w:val="009D6E19"/>
    <w:rsid w:val="009D6FEA"/>
    <w:rsid w:val="009D6FEB"/>
    <w:rsid w:val="009D71E0"/>
    <w:rsid w:val="009D73F4"/>
    <w:rsid w:val="009D79B3"/>
    <w:rsid w:val="009D7A39"/>
    <w:rsid w:val="009D7C38"/>
    <w:rsid w:val="009D7DDB"/>
    <w:rsid w:val="009E028E"/>
    <w:rsid w:val="009E0AD6"/>
    <w:rsid w:val="009E0D19"/>
    <w:rsid w:val="009E0E56"/>
    <w:rsid w:val="009E10EC"/>
    <w:rsid w:val="009E1263"/>
    <w:rsid w:val="009E1921"/>
    <w:rsid w:val="009E217F"/>
    <w:rsid w:val="009E221B"/>
    <w:rsid w:val="009E2CE0"/>
    <w:rsid w:val="009E34C9"/>
    <w:rsid w:val="009E35BB"/>
    <w:rsid w:val="009E3775"/>
    <w:rsid w:val="009E40BD"/>
    <w:rsid w:val="009E42F2"/>
    <w:rsid w:val="009E49ED"/>
    <w:rsid w:val="009E50ED"/>
    <w:rsid w:val="009E5158"/>
    <w:rsid w:val="009E557B"/>
    <w:rsid w:val="009E59A1"/>
    <w:rsid w:val="009E5A4E"/>
    <w:rsid w:val="009E5E37"/>
    <w:rsid w:val="009E5E78"/>
    <w:rsid w:val="009E6457"/>
    <w:rsid w:val="009E6539"/>
    <w:rsid w:val="009E6810"/>
    <w:rsid w:val="009E6CA2"/>
    <w:rsid w:val="009E6CF1"/>
    <w:rsid w:val="009E6D5D"/>
    <w:rsid w:val="009E6D76"/>
    <w:rsid w:val="009E6E8A"/>
    <w:rsid w:val="009E703F"/>
    <w:rsid w:val="009E70C6"/>
    <w:rsid w:val="009E764E"/>
    <w:rsid w:val="009E7A08"/>
    <w:rsid w:val="009E7DEC"/>
    <w:rsid w:val="009E7E16"/>
    <w:rsid w:val="009F0389"/>
    <w:rsid w:val="009F0839"/>
    <w:rsid w:val="009F0B27"/>
    <w:rsid w:val="009F0B4A"/>
    <w:rsid w:val="009F0DB0"/>
    <w:rsid w:val="009F0F8B"/>
    <w:rsid w:val="009F1034"/>
    <w:rsid w:val="009F1587"/>
    <w:rsid w:val="009F17FF"/>
    <w:rsid w:val="009F1CC1"/>
    <w:rsid w:val="009F20AD"/>
    <w:rsid w:val="009F2229"/>
    <w:rsid w:val="009F22FB"/>
    <w:rsid w:val="009F2579"/>
    <w:rsid w:val="009F28AB"/>
    <w:rsid w:val="009F30A5"/>
    <w:rsid w:val="009F3770"/>
    <w:rsid w:val="009F4510"/>
    <w:rsid w:val="009F48EB"/>
    <w:rsid w:val="009F501A"/>
    <w:rsid w:val="009F501C"/>
    <w:rsid w:val="009F532B"/>
    <w:rsid w:val="009F53C6"/>
    <w:rsid w:val="009F5444"/>
    <w:rsid w:val="009F5B1E"/>
    <w:rsid w:val="009F5C78"/>
    <w:rsid w:val="009F60B7"/>
    <w:rsid w:val="009F6761"/>
    <w:rsid w:val="009F7388"/>
    <w:rsid w:val="009F7984"/>
    <w:rsid w:val="009F7F72"/>
    <w:rsid w:val="00A0046A"/>
    <w:rsid w:val="00A0052F"/>
    <w:rsid w:val="00A00F8B"/>
    <w:rsid w:val="00A01C7D"/>
    <w:rsid w:val="00A0207E"/>
    <w:rsid w:val="00A0330F"/>
    <w:rsid w:val="00A03679"/>
    <w:rsid w:val="00A0385B"/>
    <w:rsid w:val="00A03BAE"/>
    <w:rsid w:val="00A03D49"/>
    <w:rsid w:val="00A03F83"/>
    <w:rsid w:val="00A03FE7"/>
    <w:rsid w:val="00A04364"/>
    <w:rsid w:val="00A04858"/>
    <w:rsid w:val="00A04D97"/>
    <w:rsid w:val="00A04DDC"/>
    <w:rsid w:val="00A04F16"/>
    <w:rsid w:val="00A05F06"/>
    <w:rsid w:val="00A069E5"/>
    <w:rsid w:val="00A06B68"/>
    <w:rsid w:val="00A0721B"/>
    <w:rsid w:val="00A0740A"/>
    <w:rsid w:val="00A074C9"/>
    <w:rsid w:val="00A075BD"/>
    <w:rsid w:val="00A07A9B"/>
    <w:rsid w:val="00A07F00"/>
    <w:rsid w:val="00A1019F"/>
    <w:rsid w:val="00A11182"/>
    <w:rsid w:val="00A11911"/>
    <w:rsid w:val="00A11E9F"/>
    <w:rsid w:val="00A12609"/>
    <w:rsid w:val="00A12774"/>
    <w:rsid w:val="00A128A3"/>
    <w:rsid w:val="00A12B69"/>
    <w:rsid w:val="00A140B9"/>
    <w:rsid w:val="00A14691"/>
    <w:rsid w:val="00A14B71"/>
    <w:rsid w:val="00A1505B"/>
    <w:rsid w:val="00A15315"/>
    <w:rsid w:val="00A155CB"/>
    <w:rsid w:val="00A15905"/>
    <w:rsid w:val="00A15F32"/>
    <w:rsid w:val="00A15FB7"/>
    <w:rsid w:val="00A1655E"/>
    <w:rsid w:val="00A16945"/>
    <w:rsid w:val="00A16EA0"/>
    <w:rsid w:val="00A17425"/>
    <w:rsid w:val="00A17556"/>
    <w:rsid w:val="00A176D5"/>
    <w:rsid w:val="00A176DB"/>
    <w:rsid w:val="00A17A38"/>
    <w:rsid w:val="00A17E2F"/>
    <w:rsid w:val="00A20089"/>
    <w:rsid w:val="00A200F7"/>
    <w:rsid w:val="00A202B2"/>
    <w:rsid w:val="00A203BE"/>
    <w:rsid w:val="00A20518"/>
    <w:rsid w:val="00A20CF9"/>
    <w:rsid w:val="00A212C4"/>
    <w:rsid w:val="00A21BC0"/>
    <w:rsid w:val="00A21CD4"/>
    <w:rsid w:val="00A21D6A"/>
    <w:rsid w:val="00A21DE9"/>
    <w:rsid w:val="00A2214F"/>
    <w:rsid w:val="00A222EE"/>
    <w:rsid w:val="00A22455"/>
    <w:rsid w:val="00A22F52"/>
    <w:rsid w:val="00A23567"/>
    <w:rsid w:val="00A23609"/>
    <w:rsid w:val="00A23C07"/>
    <w:rsid w:val="00A23D59"/>
    <w:rsid w:val="00A24772"/>
    <w:rsid w:val="00A24890"/>
    <w:rsid w:val="00A24C02"/>
    <w:rsid w:val="00A24D9C"/>
    <w:rsid w:val="00A24DDC"/>
    <w:rsid w:val="00A25D84"/>
    <w:rsid w:val="00A25F4B"/>
    <w:rsid w:val="00A263E0"/>
    <w:rsid w:val="00A265A3"/>
    <w:rsid w:val="00A26764"/>
    <w:rsid w:val="00A2690B"/>
    <w:rsid w:val="00A2699B"/>
    <w:rsid w:val="00A26BD5"/>
    <w:rsid w:val="00A26E94"/>
    <w:rsid w:val="00A27326"/>
    <w:rsid w:val="00A273C7"/>
    <w:rsid w:val="00A27E06"/>
    <w:rsid w:val="00A301AE"/>
    <w:rsid w:val="00A309BD"/>
    <w:rsid w:val="00A30D3D"/>
    <w:rsid w:val="00A312FE"/>
    <w:rsid w:val="00A31CD5"/>
    <w:rsid w:val="00A320D7"/>
    <w:rsid w:val="00A3286E"/>
    <w:rsid w:val="00A32BB8"/>
    <w:rsid w:val="00A3310C"/>
    <w:rsid w:val="00A33126"/>
    <w:rsid w:val="00A34BF9"/>
    <w:rsid w:val="00A358D6"/>
    <w:rsid w:val="00A35D6B"/>
    <w:rsid w:val="00A36A77"/>
    <w:rsid w:val="00A37053"/>
    <w:rsid w:val="00A373A7"/>
    <w:rsid w:val="00A37447"/>
    <w:rsid w:val="00A375C8"/>
    <w:rsid w:val="00A40775"/>
    <w:rsid w:val="00A40ABF"/>
    <w:rsid w:val="00A40DB6"/>
    <w:rsid w:val="00A419CE"/>
    <w:rsid w:val="00A41FA2"/>
    <w:rsid w:val="00A41FD2"/>
    <w:rsid w:val="00A423E1"/>
    <w:rsid w:val="00A4263C"/>
    <w:rsid w:val="00A42672"/>
    <w:rsid w:val="00A426DC"/>
    <w:rsid w:val="00A426E4"/>
    <w:rsid w:val="00A42A60"/>
    <w:rsid w:val="00A42C0F"/>
    <w:rsid w:val="00A42D63"/>
    <w:rsid w:val="00A431AF"/>
    <w:rsid w:val="00A43550"/>
    <w:rsid w:val="00A4365A"/>
    <w:rsid w:val="00A4374D"/>
    <w:rsid w:val="00A43821"/>
    <w:rsid w:val="00A4386A"/>
    <w:rsid w:val="00A43C56"/>
    <w:rsid w:val="00A43F70"/>
    <w:rsid w:val="00A44049"/>
    <w:rsid w:val="00A443BE"/>
    <w:rsid w:val="00A447B2"/>
    <w:rsid w:val="00A44AE6"/>
    <w:rsid w:val="00A4522F"/>
    <w:rsid w:val="00A452FD"/>
    <w:rsid w:val="00A45311"/>
    <w:rsid w:val="00A45839"/>
    <w:rsid w:val="00A465E6"/>
    <w:rsid w:val="00A468DD"/>
    <w:rsid w:val="00A4693A"/>
    <w:rsid w:val="00A46994"/>
    <w:rsid w:val="00A46AB5"/>
    <w:rsid w:val="00A46ED9"/>
    <w:rsid w:val="00A47F1F"/>
    <w:rsid w:val="00A505F8"/>
    <w:rsid w:val="00A506F8"/>
    <w:rsid w:val="00A5078A"/>
    <w:rsid w:val="00A50963"/>
    <w:rsid w:val="00A513F1"/>
    <w:rsid w:val="00A51656"/>
    <w:rsid w:val="00A516ED"/>
    <w:rsid w:val="00A517DE"/>
    <w:rsid w:val="00A51879"/>
    <w:rsid w:val="00A518A8"/>
    <w:rsid w:val="00A51C4A"/>
    <w:rsid w:val="00A51D17"/>
    <w:rsid w:val="00A51F4F"/>
    <w:rsid w:val="00A527E2"/>
    <w:rsid w:val="00A52A44"/>
    <w:rsid w:val="00A52B11"/>
    <w:rsid w:val="00A52EE3"/>
    <w:rsid w:val="00A52F4B"/>
    <w:rsid w:val="00A53028"/>
    <w:rsid w:val="00A5368B"/>
    <w:rsid w:val="00A53DA4"/>
    <w:rsid w:val="00A53EF0"/>
    <w:rsid w:val="00A53F72"/>
    <w:rsid w:val="00A55590"/>
    <w:rsid w:val="00A559E9"/>
    <w:rsid w:val="00A55E2C"/>
    <w:rsid w:val="00A56636"/>
    <w:rsid w:val="00A56737"/>
    <w:rsid w:val="00A56A90"/>
    <w:rsid w:val="00A56B2F"/>
    <w:rsid w:val="00A56D36"/>
    <w:rsid w:val="00A56F29"/>
    <w:rsid w:val="00A57D02"/>
    <w:rsid w:val="00A60269"/>
    <w:rsid w:val="00A606E4"/>
    <w:rsid w:val="00A6103B"/>
    <w:rsid w:val="00A6175E"/>
    <w:rsid w:val="00A61937"/>
    <w:rsid w:val="00A61B24"/>
    <w:rsid w:val="00A61F2A"/>
    <w:rsid w:val="00A61F69"/>
    <w:rsid w:val="00A620B1"/>
    <w:rsid w:val="00A62163"/>
    <w:rsid w:val="00A628A8"/>
    <w:rsid w:val="00A62EF9"/>
    <w:rsid w:val="00A63098"/>
    <w:rsid w:val="00A630AC"/>
    <w:rsid w:val="00A630E1"/>
    <w:rsid w:val="00A643E0"/>
    <w:rsid w:val="00A64528"/>
    <w:rsid w:val="00A64BDC"/>
    <w:rsid w:val="00A650EA"/>
    <w:rsid w:val="00A65238"/>
    <w:rsid w:val="00A6530A"/>
    <w:rsid w:val="00A657FB"/>
    <w:rsid w:val="00A65B04"/>
    <w:rsid w:val="00A65EDD"/>
    <w:rsid w:val="00A65F2E"/>
    <w:rsid w:val="00A6610C"/>
    <w:rsid w:val="00A66338"/>
    <w:rsid w:val="00A667E2"/>
    <w:rsid w:val="00A667F1"/>
    <w:rsid w:val="00A6763D"/>
    <w:rsid w:val="00A67CFF"/>
    <w:rsid w:val="00A67D91"/>
    <w:rsid w:val="00A67ECC"/>
    <w:rsid w:val="00A70C5C"/>
    <w:rsid w:val="00A70FAC"/>
    <w:rsid w:val="00A711E6"/>
    <w:rsid w:val="00A7198D"/>
    <w:rsid w:val="00A719B6"/>
    <w:rsid w:val="00A71C1A"/>
    <w:rsid w:val="00A71F18"/>
    <w:rsid w:val="00A7257B"/>
    <w:rsid w:val="00A72A25"/>
    <w:rsid w:val="00A73168"/>
    <w:rsid w:val="00A73256"/>
    <w:rsid w:val="00A7332C"/>
    <w:rsid w:val="00A738D1"/>
    <w:rsid w:val="00A739D8"/>
    <w:rsid w:val="00A73B41"/>
    <w:rsid w:val="00A73C60"/>
    <w:rsid w:val="00A73E5E"/>
    <w:rsid w:val="00A73FCE"/>
    <w:rsid w:val="00A7403F"/>
    <w:rsid w:val="00A74213"/>
    <w:rsid w:val="00A7454C"/>
    <w:rsid w:val="00A74AA1"/>
    <w:rsid w:val="00A74E9D"/>
    <w:rsid w:val="00A757BE"/>
    <w:rsid w:val="00A75C0D"/>
    <w:rsid w:val="00A75F16"/>
    <w:rsid w:val="00A761DE"/>
    <w:rsid w:val="00A7629B"/>
    <w:rsid w:val="00A766BE"/>
    <w:rsid w:val="00A76BDA"/>
    <w:rsid w:val="00A76E90"/>
    <w:rsid w:val="00A76EE1"/>
    <w:rsid w:val="00A76EEC"/>
    <w:rsid w:val="00A7713C"/>
    <w:rsid w:val="00A772FE"/>
    <w:rsid w:val="00A7735C"/>
    <w:rsid w:val="00A77634"/>
    <w:rsid w:val="00A776F8"/>
    <w:rsid w:val="00A779EE"/>
    <w:rsid w:val="00A805A2"/>
    <w:rsid w:val="00A8063D"/>
    <w:rsid w:val="00A8089A"/>
    <w:rsid w:val="00A815B5"/>
    <w:rsid w:val="00A817A3"/>
    <w:rsid w:val="00A818CA"/>
    <w:rsid w:val="00A81A45"/>
    <w:rsid w:val="00A81E14"/>
    <w:rsid w:val="00A825AC"/>
    <w:rsid w:val="00A825C2"/>
    <w:rsid w:val="00A8286A"/>
    <w:rsid w:val="00A829E1"/>
    <w:rsid w:val="00A82DDC"/>
    <w:rsid w:val="00A83274"/>
    <w:rsid w:val="00A832D2"/>
    <w:rsid w:val="00A83772"/>
    <w:rsid w:val="00A83836"/>
    <w:rsid w:val="00A839C6"/>
    <w:rsid w:val="00A83DF3"/>
    <w:rsid w:val="00A83FEF"/>
    <w:rsid w:val="00A8461E"/>
    <w:rsid w:val="00A84783"/>
    <w:rsid w:val="00A8508C"/>
    <w:rsid w:val="00A8555B"/>
    <w:rsid w:val="00A858A0"/>
    <w:rsid w:val="00A85B71"/>
    <w:rsid w:val="00A85BD9"/>
    <w:rsid w:val="00A85C9B"/>
    <w:rsid w:val="00A85CFB"/>
    <w:rsid w:val="00A86193"/>
    <w:rsid w:val="00A86196"/>
    <w:rsid w:val="00A8646B"/>
    <w:rsid w:val="00A86A50"/>
    <w:rsid w:val="00A87C4E"/>
    <w:rsid w:val="00A87E1F"/>
    <w:rsid w:val="00A87E64"/>
    <w:rsid w:val="00A90235"/>
    <w:rsid w:val="00A9038F"/>
    <w:rsid w:val="00A9056B"/>
    <w:rsid w:val="00A90C1F"/>
    <w:rsid w:val="00A90CD6"/>
    <w:rsid w:val="00A913C1"/>
    <w:rsid w:val="00A9173F"/>
    <w:rsid w:val="00A9185F"/>
    <w:rsid w:val="00A91C2F"/>
    <w:rsid w:val="00A91FB0"/>
    <w:rsid w:val="00A92AC8"/>
    <w:rsid w:val="00A92DCE"/>
    <w:rsid w:val="00A935D2"/>
    <w:rsid w:val="00A938EE"/>
    <w:rsid w:val="00A93E8E"/>
    <w:rsid w:val="00A94BA9"/>
    <w:rsid w:val="00A94E81"/>
    <w:rsid w:val="00A950C2"/>
    <w:rsid w:val="00A9554B"/>
    <w:rsid w:val="00A95BCD"/>
    <w:rsid w:val="00A95CC1"/>
    <w:rsid w:val="00A95F27"/>
    <w:rsid w:val="00A964BD"/>
    <w:rsid w:val="00A96C80"/>
    <w:rsid w:val="00A9718D"/>
    <w:rsid w:val="00A9796F"/>
    <w:rsid w:val="00A97C89"/>
    <w:rsid w:val="00A97DDF"/>
    <w:rsid w:val="00AA063F"/>
    <w:rsid w:val="00AA0727"/>
    <w:rsid w:val="00AA07C3"/>
    <w:rsid w:val="00AA0CBA"/>
    <w:rsid w:val="00AA0E2B"/>
    <w:rsid w:val="00AA0F8F"/>
    <w:rsid w:val="00AA104D"/>
    <w:rsid w:val="00AA13EC"/>
    <w:rsid w:val="00AA1A08"/>
    <w:rsid w:val="00AA1D8E"/>
    <w:rsid w:val="00AA20B0"/>
    <w:rsid w:val="00AA23BF"/>
    <w:rsid w:val="00AA273F"/>
    <w:rsid w:val="00AA2B5E"/>
    <w:rsid w:val="00AA2CFB"/>
    <w:rsid w:val="00AA2DEC"/>
    <w:rsid w:val="00AA3295"/>
    <w:rsid w:val="00AA32EE"/>
    <w:rsid w:val="00AA34B5"/>
    <w:rsid w:val="00AA3666"/>
    <w:rsid w:val="00AA38B3"/>
    <w:rsid w:val="00AA38F6"/>
    <w:rsid w:val="00AA425C"/>
    <w:rsid w:val="00AA4399"/>
    <w:rsid w:val="00AA4402"/>
    <w:rsid w:val="00AA4570"/>
    <w:rsid w:val="00AA4B71"/>
    <w:rsid w:val="00AA5603"/>
    <w:rsid w:val="00AA56A9"/>
    <w:rsid w:val="00AA5826"/>
    <w:rsid w:val="00AA5874"/>
    <w:rsid w:val="00AA5908"/>
    <w:rsid w:val="00AA5C49"/>
    <w:rsid w:val="00AA5F22"/>
    <w:rsid w:val="00AA5F63"/>
    <w:rsid w:val="00AA6008"/>
    <w:rsid w:val="00AA6372"/>
    <w:rsid w:val="00AA64B6"/>
    <w:rsid w:val="00AA6C42"/>
    <w:rsid w:val="00AA6D10"/>
    <w:rsid w:val="00AA6D39"/>
    <w:rsid w:val="00AA70E4"/>
    <w:rsid w:val="00AA77CC"/>
    <w:rsid w:val="00AB07D3"/>
    <w:rsid w:val="00AB0842"/>
    <w:rsid w:val="00AB0DF8"/>
    <w:rsid w:val="00AB0F45"/>
    <w:rsid w:val="00AB1117"/>
    <w:rsid w:val="00AB1B42"/>
    <w:rsid w:val="00AB1B6D"/>
    <w:rsid w:val="00AB2017"/>
    <w:rsid w:val="00AB24B0"/>
    <w:rsid w:val="00AB28F3"/>
    <w:rsid w:val="00AB2F71"/>
    <w:rsid w:val="00AB3C3E"/>
    <w:rsid w:val="00AB43E3"/>
    <w:rsid w:val="00AB4682"/>
    <w:rsid w:val="00AB46A3"/>
    <w:rsid w:val="00AB479E"/>
    <w:rsid w:val="00AB4873"/>
    <w:rsid w:val="00AB4C06"/>
    <w:rsid w:val="00AB4C08"/>
    <w:rsid w:val="00AB57C8"/>
    <w:rsid w:val="00AB5A9B"/>
    <w:rsid w:val="00AB6291"/>
    <w:rsid w:val="00AB6676"/>
    <w:rsid w:val="00AB68CA"/>
    <w:rsid w:val="00AB6981"/>
    <w:rsid w:val="00AB6E09"/>
    <w:rsid w:val="00AB6E36"/>
    <w:rsid w:val="00AB72A8"/>
    <w:rsid w:val="00AB74ED"/>
    <w:rsid w:val="00AB7CC4"/>
    <w:rsid w:val="00AC03FF"/>
    <w:rsid w:val="00AC0705"/>
    <w:rsid w:val="00AC070C"/>
    <w:rsid w:val="00AC0806"/>
    <w:rsid w:val="00AC0A90"/>
    <w:rsid w:val="00AC0AC1"/>
    <w:rsid w:val="00AC0C40"/>
    <w:rsid w:val="00AC0CB0"/>
    <w:rsid w:val="00AC0F47"/>
    <w:rsid w:val="00AC1244"/>
    <w:rsid w:val="00AC1903"/>
    <w:rsid w:val="00AC1A41"/>
    <w:rsid w:val="00AC1AFA"/>
    <w:rsid w:val="00AC1DCB"/>
    <w:rsid w:val="00AC2710"/>
    <w:rsid w:val="00AC2850"/>
    <w:rsid w:val="00AC288F"/>
    <w:rsid w:val="00AC2D54"/>
    <w:rsid w:val="00AC310A"/>
    <w:rsid w:val="00AC3194"/>
    <w:rsid w:val="00AC3357"/>
    <w:rsid w:val="00AC366F"/>
    <w:rsid w:val="00AC3728"/>
    <w:rsid w:val="00AC3DC8"/>
    <w:rsid w:val="00AC4160"/>
    <w:rsid w:val="00AC4471"/>
    <w:rsid w:val="00AC45B0"/>
    <w:rsid w:val="00AC4629"/>
    <w:rsid w:val="00AC4737"/>
    <w:rsid w:val="00AC4992"/>
    <w:rsid w:val="00AC4AC6"/>
    <w:rsid w:val="00AC5137"/>
    <w:rsid w:val="00AC5514"/>
    <w:rsid w:val="00AC59FC"/>
    <w:rsid w:val="00AC5DC7"/>
    <w:rsid w:val="00AC647F"/>
    <w:rsid w:val="00AC67AD"/>
    <w:rsid w:val="00AC6803"/>
    <w:rsid w:val="00AC786E"/>
    <w:rsid w:val="00AC7BF7"/>
    <w:rsid w:val="00AC7C3B"/>
    <w:rsid w:val="00AD0093"/>
    <w:rsid w:val="00AD0127"/>
    <w:rsid w:val="00AD026F"/>
    <w:rsid w:val="00AD02E0"/>
    <w:rsid w:val="00AD031A"/>
    <w:rsid w:val="00AD045E"/>
    <w:rsid w:val="00AD0560"/>
    <w:rsid w:val="00AD0A65"/>
    <w:rsid w:val="00AD0F01"/>
    <w:rsid w:val="00AD0FB9"/>
    <w:rsid w:val="00AD1B15"/>
    <w:rsid w:val="00AD1B5C"/>
    <w:rsid w:val="00AD1E4E"/>
    <w:rsid w:val="00AD1EB9"/>
    <w:rsid w:val="00AD2030"/>
    <w:rsid w:val="00AD2229"/>
    <w:rsid w:val="00AD247A"/>
    <w:rsid w:val="00AD2653"/>
    <w:rsid w:val="00AD29DA"/>
    <w:rsid w:val="00AD2D2A"/>
    <w:rsid w:val="00AD304E"/>
    <w:rsid w:val="00AD3795"/>
    <w:rsid w:val="00AD380A"/>
    <w:rsid w:val="00AD3AF3"/>
    <w:rsid w:val="00AD3C89"/>
    <w:rsid w:val="00AD3E83"/>
    <w:rsid w:val="00AD436B"/>
    <w:rsid w:val="00AD468B"/>
    <w:rsid w:val="00AD4B03"/>
    <w:rsid w:val="00AD52DB"/>
    <w:rsid w:val="00AD5AA0"/>
    <w:rsid w:val="00AD5D00"/>
    <w:rsid w:val="00AD60E7"/>
    <w:rsid w:val="00AD6334"/>
    <w:rsid w:val="00AD644B"/>
    <w:rsid w:val="00AD64D0"/>
    <w:rsid w:val="00AD68CA"/>
    <w:rsid w:val="00AD738E"/>
    <w:rsid w:val="00AD74F3"/>
    <w:rsid w:val="00AD7B05"/>
    <w:rsid w:val="00AD7CEB"/>
    <w:rsid w:val="00AD7DB6"/>
    <w:rsid w:val="00AE0418"/>
    <w:rsid w:val="00AE068C"/>
    <w:rsid w:val="00AE1BD9"/>
    <w:rsid w:val="00AE1EAF"/>
    <w:rsid w:val="00AE2363"/>
    <w:rsid w:val="00AE29DE"/>
    <w:rsid w:val="00AE2B35"/>
    <w:rsid w:val="00AE3ABC"/>
    <w:rsid w:val="00AE3EE6"/>
    <w:rsid w:val="00AE40B2"/>
    <w:rsid w:val="00AE479F"/>
    <w:rsid w:val="00AE47F3"/>
    <w:rsid w:val="00AE4A7A"/>
    <w:rsid w:val="00AE542F"/>
    <w:rsid w:val="00AE54C6"/>
    <w:rsid w:val="00AE5C9E"/>
    <w:rsid w:val="00AE699D"/>
    <w:rsid w:val="00AE6A9E"/>
    <w:rsid w:val="00AE6C5F"/>
    <w:rsid w:val="00AE6D51"/>
    <w:rsid w:val="00AE6F3D"/>
    <w:rsid w:val="00AE6FE0"/>
    <w:rsid w:val="00AE7469"/>
    <w:rsid w:val="00AE772B"/>
    <w:rsid w:val="00AE77C0"/>
    <w:rsid w:val="00AE79A9"/>
    <w:rsid w:val="00AF02BF"/>
    <w:rsid w:val="00AF062B"/>
    <w:rsid w:val="00AF0E79"/>
    <w:rsid w:val="00AF1478"/>
    <w:rsid w:val="00AF14B3"/>
    <w:rsid w:val="00AF19DA"/>
    <w:rsid w:val="00AF2054"/>
    <w:rsid w:val="00AF2168"/>
    <w:rsid w:val="00AF2314"/>
    <w:rsid w:val="00AF25EC"/>
    <w:rsid w:val="00AF2CD9"/>
    <w:rsid w:val="00AF3535"/>
    <w:rsid w:val="00AF388D"/>
    <w:rsid w:val="00AF433E"/>
    <w:rsid w:val="00AF440D"/>
    <w:rsid w:val="00AF4420"/>
    <w:rsid w:val="00AF5050"/>
    <w:rsid w:val="00AF51DD"/>
    <w:rsid w:val="00AF5303"/>
    <w:rsid w:val="00AF58D5"/>
    <w:rsid w:val="00AF5C68"/>
    <w:rsid w:val="00AF5C98"/>
    <w:rsid w:val="00AF6211"/>
    <w:rsid w:val="00AF63CB"/>
    <w:rsid w:val="00AF641C"/>
    <w:rsid w:val="00AF64C3"/>
    <w:rsid w:val="00AF6865"/>
    <w:rsid w:val="00AF6A4D"/>
    <w:rsid w:val="00AF7751"/>
    <w:rsid w:val="00AF7E57"/>
    <w:rsid w:val="00AF7ED0"/>
    <w:rsid w:val="00AF7F0D"/>
    <w:rsid w:val="00B00B5A"/>
    <w:rsid w:val="00B01831"/>
    <w:rsid w:val="00B0208F"/>
    <w:rsid w:val="00B02376"/>
    <w:rsid w:val="00B0279D"/>
    <w:rsid w:val="00B02AB2"/>
    <w:rsid w:val="00B02BA4"/>
    <w:rsid w:val="00B03437"/>
    <w:rsid w:val="00B039A1"/>
    <w:rsid w:val="00B04669"/>
    <w:rsid w:val="00B04820"/>
    <w:rsid w:val="00B048DB"/>
    <w:rsid w:val="00B054BE"/>
    <w:rsid w:val="00B054D3"/>
    <w:rsid w:val="00B05628"/>
    <w:rsid w:val="00B057CA"/>
    <w:rsid w:val="00B05F72"/>
    <w:rsid w:val="00B062F6"/>
    <w:rsid w:val="00B063C1"/>
    <w:rsid w:val="00B0693C"/>
    <w:rsid w:val="00B06971"/>
    <w:rsid w:val="00B06C95"/>
    <w:rsid w:val="00B075EB"/>
    <w:rsid w:val="00B07A90"/>
    <w:rsid w:val="00B07D89"/>
    <w:rsid w:val="00B100B0"/>
    <w:rsid w:val="00B104E9"/>
    <w:rsid w:val="00B106EF"/>
    <w:rsid w:val="00B10B85"/>
    <w:rsid w:val="00B10C01"/>
    <w:rsid w:val="00B10C71"/>
    <w:rsid w:val="00B111B4"/>
    <w:rsid w:val="00B1157C"/>
    <w:rsid w:val="00B11FB4"/>
    <w:rsid w:val="00B11FE0"/>
    <w:rsid w:val="00B12509"/>
    <w:rsid w:val="00B126FA"/>
    <w:rsid w:val="00B12838"/>
    <w:rsid w:val="00B12F21"/>
    <w:rsid w:val="00B131E7"/>
    <w:rsid w:val="00B1399D"/>
    <w:rsid w:val="00B13A7C"/>
    <w:rsid w:val="00B143A4"/>
    <w:rsid w:val="00B147B9"/>
    <w:rsid w:val="00B14D4B"/>
    <w:rsid w:val="00B14D62"/>
    <w:rsid w:val="00B14F13"/>
    <w:rsid w:val="00B15454"/>
    <w:rsid w:val="00B15558"/>
    <w:rsid w:val="00B15EC2"/>
    <w:rsid w:val="00B15F3D"/>
    <w:rsid w:val="00B15FD9"/>
    <w:rsid w:val="00B167E5"/>
    <w:rsid w:val="00B16AC7"/>
    <w:rsid w:val="00B16E0F"/>
    <w:rsid w:val="00B170CD"/>
    <w:rsid w:val="00B1772D"/>
    <w:rsid w:val="00B17B75"/>
    <w:rsid w:val="00B17B94"/>
    <w:rsid w:val="00B17D8D"/>
    <w:rsid w:val="00B202A9"/>
    <w:rsid w:val="00B20431"/>
    <w:rsid w:val="00B209B2"/>
    <w:rsid w:val="00B20A1F"/>
    <w:rsid w:val="00B2113C"/>
    <w:rsid w:val="00B220CE"/>
    <w:rsid w:val="00B221CF"/>
    <w:rsid w:val="00B224BE"/>
    <w:rsid w:val="00B22636"/>
    <w:rsid w:val="00B22B6D"/>
    <w:rsid w:val="00B22E86"/>
    <w:rsid w:val="00B23126"/>
    <w:rsid w:val="00B23E40"/>
    <w:rsid w:val="00B241B3"/>
    <w:rsid w:val="00B24362"/>
    <w:rsid w:val="00B24A79"/>
    <w:rsid w:val="00B2512F"/>
    <w:rsid w:val="00B25202"/>
    <w:rsid w:val="00B256E0"/>
    <w:rsid w:val="00B25926"/>
    <w:rsid w:val="00B25AA8"/>
    <w:rsid w:val="00B264B9"/>
    <w:rsid w:val="00B269A9"/>
    <w:rsid w:val="00B26E2B"/>
    <w:rsid w:val="00B276E6"/>
    <w:rsid w:val="00B277D6"/>
    <w:rsid w:val="00B303BE"/>
    <w:rsid w:val="00B30727"/>
    <w:rsid w:val="00B30959"/>
    <w:rsid w:val="00B31B4D"/>
    <w:rsid w:val="00B31DCC"/>
    <w:rsid w:val="00B32015"/>
    <w:rsid w:val="00B32504"/>
    <w:rsid w:val="00B32657"/>
    <w:rsid w:val="00B3293C"/>
    <w:rsid w:val="00B33C32"/>
    <w:rsid w:val="00B33C4B"/>
    <w:rsid w:val="00B33EA6"/>
    <w:rsid w:val="00B3419F"/>
    <w:rsid w:val="00B342C3"/>
    <w:rsid w:val="00B346D5"/>
    <w:rsid w:val="00B34B5B"/>
    <w:rsid w:val="00B353AE"/>
    <w:rsid w:val="00B3544F"/>
    <w:rsid w:val="00B35EB0"/>
    <w:rsid w:val="00B3623F"/>
    <w:rsid w:val="00B362B8"/>
    <w:rsid w:val="00B36660"/>
    <w:rsid w:val="00B36924"/>
    <w:rsid w:val="00B3692D"/>
    <w:rsid w:val="00B3713D"/>
    <w:rsid w:val="00B37316"/>
    <w:rsid w:val="00B37953"/>
    <w:rsid w:val="00B37A8A"/>
    <w:rsid w:val="00B37A9B"/>
    <w:rsid w:val="00B406B0"/>
    <w:rsid w:val="00B4099D"/>
    <w:rsid w:val="00B40AA2"/>
    <w:rsid w:val="00B40BBD"/>
    <w:rsid w:val="00B40D78"/>
    <w:rsid w:val="00B41192"/>
    <w:rsid w:val="00B4125E"/>
    <w:rsid w:val="00B412B1"/>
    <w:rsid w:val="00B413DA"/>
    <w:rsid w:val="00B41503"/>
    <w:rsid w:val="00B4183B"/>
    <w:rsid w:val="00B41BCC"/>
    <w:rsid w:val="00B42471"/>
    <w:rsid w:val="00B429DB"/>
    <w:rsid w:val="00B42F0E"/>
    <w:rsid w:val="00B42F0F"/>
    <w:rsid w:val="00B433CB"/>
    <w:rsid w:val="00B439AC"/>
    <w:rsid w:val="00B44446"/>
    <w:rsid w:val="00B44697"/>
    <w:rsid w:val="00B45389"/>
    <w:rsid w:val="00B4562A"/>
    <w:rsid w:val="00B462F8"/>
    <w:rsid w:val="00B46842"/>
    <w:rsid w:val="00B46853"/>
    <w:rsid w:val="00B46BEF"/>
    <w:rsid w:val="00B46DFA"/>
    <w:rsid w:val="00B471C7"/>
    <w:rsid w:val="00B471CD"/>
    <w:rsid w:val="00B47375"/>
    <w:rsid w:val="00B475A9"/>
    <w:rsid w:val="00B47622"/>
    <w:rsid w:val="00B4770D"/>
    <w:rsid w:val="00B502A4"/>
    <w:rsid w:val="00B503DA"/>
    <w:rsid w:val="00B50637"/>
    <w:rsid w:val="00B506A7"/>
    <w:rsid w:val="00B50A09"/>
    <w:rsid w:val="00B51088"/>
    <w:rsid w:val="00B5117F"/>
    <w:rsid w:val="00B51613"/>
    <w:rsid w:val="00B518EF"/>
    <w:rsid w:val="00B51AB0"/>
    <w:rsid w:val="00B51D9B"/>
    <w:rsid w:val="00B523A2"/>
    <w:rsid w:val="00B526A8"/>
    <w:rsid w:val="00B52721"/>
    <w:rsid w:val="00B5294D"/>
    <w:rsid w:val="00B52F10"/>
    <w:rsid w:val="00B5320B"/>
    <w:rsid w:val="00B538AA"/>
    <w:rsid w:val="00B53B2E"/>
    <w:rsid w:val="00B53F90"/>
    <w:rsid w:val="00B53FA9"/>
    <w:rsid w:val="00B53FB8"/>
    <w:rsid w:val="00B54387"/>
    <w:rsid w:val="00B54577"/>
    <w:rsid w:val="00B54AC7"/>
    <w:rsid w:val="00B54AED"/>
    <w:rsid w:val="00B54C61"/>
    <w:rsid w:val="00B551A6"/>
    <w:rsid w:val="00B555E3"/>
    <w:rsid w:val="00B555EB"/>
    <w:rsid w:val="00B55C23"/>
    <w:rsid w:val="00B55E18"/>
    <w:rsid w:val="00B55EAD"/>
    <w:rsid w:val="00B55F77"/>
    <w:rsid w:val="00B562D5"/>
    <w:rsid w:val="00B56A7A"/>
    <w:rsid w:val="00B56BA7"/>
    <w:rsid w:val="00B578E6"/>
    <w:rsid w:val="00B57B04"/>
    <w:rsid w:val="00B601C5"/>
    <w:rsid w:val="00B60485"/>
    <w:rsid w:val="00B60E75"/>
    <w:rsid w:val="00B619EA"/>
    <w:rsid w:val="00B625FC"/>
    <w:rsid w:val="00B628C8"/>
    <w:rsid w:val="00B62AE9"/>
    <w:rsid w:val="00B62FD8"/>
    <w:rsid w:val="00B6308B"/>
    <w:rsid w:val="00B631A2"/>
    <w:rsid w:val="00B63BDF"/>
    <w:rsid w:val="00B63DDA"/>
    <w:rsid w:val="00B63DFA"/>
    <w:rsid w:val="00B64C00"/>
    <w:rsid w:val="00B659A5"/>
    <w:rsid w:val="00B65CA4"/>
    <w:rsid w:val="00B65D7A"/>
    <w:rsid w:val="00B669DF"/>
    <w:rsid w:val="00B66C1E"/>
    <w:rsid w:val="00B66F76"/>
    <w:rsid w:val="00B67229"/>
    <w:rsid w:val="00B676AE"/>
    <w:rsid w:val="00B6774D"/>
    <w:rsid w:val="00B677EE"/>
    <w:rsid w:val="00B67AB2"/>
    <w:rsid w:val="00B70684"/>
    <w:rsid w:val="00B70F5E"/>
    <w:rsid w:val="00B7118A"/>
    <w:rsid w:val="00B71384"/>
    <w:rsid w:val="00B71690"/>
    <w:rsid w:val="00B71D8C"/>
    <w:rsid w:val="00B71F49"/>
    <w:rsid w:val="00B73459"/>
    <w:rsid w:val="00B7348D"/>
    <w:rsid w:val="00B7362F"/>
    <w:rsid w:val="00B736DC"/>
    <w:rsid w:val="00B73DD9"/>
    <w:rsid w:val="00B7420B"/>
    <w:rsid w:val="00B7423D"/>
    <w:rsid w:val="00B746E8"/>
    <w:rsid w:val="00B74A54"/>
    <w:rsid w:val="00B74AF8"/>
    <w:rsid w:val="00B75252"/>
    <w:rsid w:val="00B752B8"/>
    <w:rsid w:val="00B756E4"/>
    <w:rsid w:val="00B758D8"/>
    <w:rsid w:val="00B758FF"/>
    <w:rsid w:val="00B769C7"/>
    <w:rsid w:val="00B80865"/>
    <w:rsid w:val="00B8095E"/>
    <w:rsid w:val="00B8139C"/>
    <w:rsid w:val="00B816CC"/>
    <w:rsid w:val="00B8182C"/>
    <w:rsid w:val="00B821F1"/>
    <w:rsid w:val="00B8221C"/>
    <w:rsid w:val="00B8251D"/>
    <w:rsid w:val="00B82965"/>
    <w:rsid w:val="00B82A03"/>
    <w:rsid w:val="00B831C0"/>
    <w:rsid w:val="00B83370"/>
    <w:rsid w:val="00B83A84"/>
    <w:rsid w:val="00B842AF"/>
    <w:rsid w:val="00B84521"/>
    <w:rsid w:val="00B847A4"/>
    <w:rsid w:val="00B84875"/>
    <w:rsid w:val="00B84B17"/>
    <w:rsid w:val="00B85376"/>
    <w:rsid w:val="00B85441"/>
    <w:rsid w:val="00B857FB"/>
    <w:rsid w:val="00B862F8"/>
    <w:rsid w:val="00B864FB"/>
    <w:rsid w:val="00B865C5"/>
    <w:rsid w:val="00B867CC"/>
    <w:rsid w:val="00B867DC"/>
    <w:rsid w:val="00B867EB"/>
    <w:rsid w:val="00B86BD3"/>
    <w:rsid w:val="00B87200"/>
    <w:rsid w:val="00B87541"/>
    <w:rsid w:val="00B875BE"/>
    <w:rsid w:val="00B8778D"/>
    <w:rsid w:val="00B87B96"/>
    <w:rsid w:val="00B87E6F"/>
    <w:rsid w:val="00B902DB"/>
    <w:rsid w:val="00B903D7"/>
    <w:rsid w:val="00B904DD"/>
    <w:rsid w:val="00B908BD"/>
    <w:rsid w:val="00B909F5"/>
    <w:rsid w:val="00B90F33"/>
    <w:rsid w:val="00B90F76"/>
    <w:rsid w:val="00B91071"/>
    <w:rsid w:val="00B91466"/>
    <w:rsid w:val="00B9159A"/>
    <w:rsid w:val="00B91C3B"/>
    <w:rsid w:val="00B91DF2"/>
    <w:rsid w:val="00B92287"/>
    <w:rsid w:val="00B92414"/>
    <w:rsid w:val="00B92751"/>
    <w:rsid w:val="00B936B7"/>
    <w:rsid w:val="00B93A99"/>
    <w:rsid w:val="00B93AFE"/>
    <w:rsid w:val="00B93C1C"/>
    <w:rsid w:val="00B93C61"/>
    <w:rsid w:val="00B93D5C"/>
    <w:rsid w:val="00B93EB7"/>
    <w:rsid w:val="00B9449D"/>
    <w:rsid w:val="00B94C85"/>
    <w:rsid w:val="00B94CA0"/>
    <w:rsid w:val="00B9509A"/>
    <w:rsid w:val="00B9572B"/>
    <w:rsid w:val="00B95C17"/>
    <w:rsid w:val="00B95EBF"/>
    <w:rsid w:val="00B95ECF"/>
    <w:rsid w:val="00B96266"/>
    <w:rsid w:val="00B968D5"/>
    <w:rsid w:val="00B97084"/>
    <w:rsid w:val="00B9709D"/>
    <w:rsid w:val="00BA08D8"/>
    <w:rsid w:val="00BA0967"/>
    <w:rsid w:val="00BA0A80"/>
    <w:rsid w:val="00BA1D08"/>
    <w:rsid w:val="00BA21FF"/>
    <w:rsid w:val="00BA2517"/>
    <w:rsid w:val="00BA2524"/>
    <w:rsid w:val="00BA2707"/>
    <w:rsid w:val="00BA29A8"/>
    <w:rsid w:val="00BA2C9D"/>
    <w:rsid w:val="00BA3158"/>
    <w:rsid w:val="00BA3440"/>
    <w:rsid w:val="00BA3984"/>
    <w:rsid w:val="00BA3B2A"/>
    <w:rsid w:val="00BA42A8"/>
    <w:rsid w:val="00BA43D0"/>
    <w:rsid w:val="00BA45C5"/>
    <w:rsid w:val="00BA47B5"/>
    <w:rsid w:val="00BA4D68"/>
    <w:rsid w:val="00BA4E10"/>
    <w:rsid w:val="00BA4E99"/>
    <w:rsid w:val="00BA58D3"/>
    <w:rsid w:val="00BA5D6D"/>
    <w:rsid w:val="00BA5F35"/>
    <w:rsid w:val="00BA61A5"/>
    <w:rsid w:val="00BA6543"/>
    <w:rsid w:val="00BA68DB"/>
    <w:rsid w:val="00BA6F0E"/>
    <w:rsid w:val="00BA7987"/>
    <w:rsid w:val="00BA7B25"/>
    <w:rsid w:val="00BA7BB0"/>
    <w:rsid w:val="00BB0006"/>
    <w:rsid w:val="00BB0CC9"/>
    <w:rsid w:val="00BB0FFB"/>
    <w:rsid w:val="00BB1337"/>
    <w:rsid w:val="00BB1698"/>
    <w:rsid w:val="00BB1B16"/>
    <w:rsid w:val="00BB23D1"/>
    <w:rsid w:val="00BB2A16"/>
    <w:rsid w:val="00BB2A7C"/>
    <w:rsid w:val="00BB3207"/>
    <w:rsid w:val="00BB33A1"/>
    <w:rsid w:val="00BB35DD"/>
    <w:rsid w:val="00BB36BA"/>
    <w:rsid w:val="00BB3ACF"/>
    <w:rsid w:val="00BB3F61"/>
    <w:rsid w:val="00BB43A1"/>
    <w:rsid w:val="00BB4436"/>
    <w:rsid w:val="00BB4601"/>
    <w:rsid w:val="00BB47C7"/>
    <w:rsid w:val="00BB4A48"/>
    <w:rsid w:val="00BB4C2F"/>
    <w:rsid w:val="00BB4C62"/>
    <w:rsid w:val="00BB4E92"/>
    <w:rsid w:val="00BB56AB"/>
    <w:rsid w:val="00BB5F7B"/>
    <w:rsid w:val="00BB5FE3"/>
    <w:rsid w:val="00BB65E5"/>
    <w:rsid w:val="00BB7431"/>
    <w:rsid w:val="00BB74C8"/>
    <w:rsid w:val="00BB7C0A"/>
    <w:rsid w:val="00BB7FA8"/>
    <w:rsid w:val="00BC0B2B"/>
    <w:rsid w:val="00BC167F"/>
    <w:rsid w:val="00BC1B24"/>
    <w:rsid w:val="00BC1D7F"/>
    <w:rsid w:val="00BC1FA1"/>
    <w:rsid w:val="00BC2190"/>
    <w:rsid w:val="00BC2343"/>
    <w:rsid w:val="00BC23C4"/>
    <w:rsid w:val="00BC23E9"/>
    <w:rsid w:val="00BC2DEC"/>
    <w:rsid w:val="00BC358B"/>
    <w:rsid w:val="00BC4687"/>
    <w:rsid w:val="00BC471A"/>
    <w:rsid w:val="00BC47E9"/>
    <w:rsid w:val="00BC486B"/>
    <w:rsid w:val="00BC4A78"/>
    <w:rsid w:val="00BC4E00"/>
    <w:rsid w:val="00BC4E44"/>
    <w:rsid w:val="00BC4F57"/>
    <w:rsid w:val="00BC50B4"/>
    <w:rsid w:val="00BC54A4"/>
    <w:rsid w:val="00BC57AD"/>
    <w:rsid w:val="00BC5E35"/>
    <w:rsid w:val="00BC5ED0"/>
    <w:rsid w:val="00BC5F29"/>
    <w:rsid w:val="00BC66B8"/>
    <w:rsid w:val="00BC6985"/>
    <w:rsid w:val="00BC69A8"/>
    <w:rsid w:val="00BC6C5D"/>
    <w:rsid w:val="00BC6D16"/>
    <w:rsid w:val="00BC6F45"/>
    <w:rsid w:val="00BC7170"/>
    <w:rsid w:val="00BC7794"/>
    <w:rsid w:val="00BC77DF"/>
    <w:rsid w:val="00BC787A"/>
    <w:rsid w:val="00BC7CA0"/>
    <w:rsid w:val="00BC7DD4"/>
    <w:rsid w:val="00BD01FD"/>
    <w:rsid w:val="00BD0345"/>
    <w:rsid w:val="00BD0462"/>
    <w:rsid w:val="00BD054F"/>
    <w:rsid w:val="00BD0731"/>
    <w:rsid w:val="00BD0781"/>
    <w:rsid w:val="00BD113A"/>
    <w:rsid w:val="00BD1768"/>
    <w:rsid w:val="00BD1852"/>
    <w:rsid w:val="00BD1AC9"/>
    <w:rsid w:val="00BD1B3E"/>
    <w:rsid w:val="00BD1D92"/>
    <w:rsid w:val="00BD1EA7"/>
    <w:rsid w:val="00BD2528"/>
    <w:rsid w:val="00BD269C"/>
    <w:rsid w:val="00BD2C57"/>
    <w:rsid w:val="00BD31D5"/>
    <w:rsid w:val="00BD35A3"/>
    <w:rsid w:val="00BD399E"/>
    <w:rsid w:val="00BD39D6"/>
    <w:rsid w:val="00BD3A5E"/>
    <w:rsid w:val="00BD3CF9"/>
    <w:rsid w:val="00BD3E7C"/>
    <w:rsid w:val="00BD3F4A"/>
    <w:rsid w:val="00BD4626"/>
    <w:rsid w:val="00BD528B"/>
    <w:rsid w:val="00BD5319"/>
    <w:rsid w:val="00BD5703"/>
    <w:rsid w:val="00BD59AF"/>
    <w:rsid w:val="00BD5BCF"/>
    <w:rsid w:val="00BD5E1E"/>
    <w:rsid w:val="00BD5E7F"/>
    <w:rsid w:val="00BD6061"/>
    <w:rsid w:val="00BD63F9"/>
    <w:rsid w:val="00BD6896"/>
    <w:rsid w:val="00BD6A92"/>
    <w:rsid w:val="00BD6CD4"/>
    <w:rsid w:val="00BD728B"/>
    <w:rsid w:val="00BD761D"/>
    <w:rsid w:val="00BD7B3E"/>
    <w:rsid w:val="00BD7FF8"/>
    <w:rsid w:val="00BE05C0"/>
    <w:rsid w:val="00BE095C"/>
    <w:rsid w:val="00BE0AB9"/>
    <w:rsid w:val="00BE0EA6"/>
    <w:rsid w:val="00BE0F27"/>
    <w:rsid w:val="00BE123D"/>
    <w:rsid w:val="00BE1769"/>
    <w:rsid w:val="00BE1928"/>
    <w:rsid w:val="00BE1992"/>
    <w:rsid w:val="00BE1B4B"/>
    <w:rsid w:val="00BE1E74"/>
    <w:rsid w:val="00BE263C"/>
    <w:rsid w:val="00BE3168"/>
    <w:rsid w:val="00BE34A5"/>
    <w:rsid w:val="00BE34F1"/>
    <w:rsid w:val="00BE35EB"/>
    <w:rsid w:val="00BE5DB8"/>
    <w:rsid w:val="00BE5F28"/>
    <w:rsid w:val="00BE6171"/>
    <w:rsid w:val="00BE64AE"/>
    <w:rsid w:val="00BE65C8"/>
    <w:rsid w:val="00BE6CD8"/>
    <w:rsid w:val="00BE6FF9"/>
    <w:rsid w:val="00BE715D"/>
    <w:rsid w:val="00BE73C9"/>
    <w:rsid w:val="00BE7722"/>
    <w:rsid w:val="00BE78B0"/>
    <w:rsid w:val="00BF000F"/>
    <w:rsid w:val="00BF005D"/>
    <w:rsid w:val="00BF0AF4"/>
    <w:rsid w:val="00BF0DB8"/>
    <w:rsid w:val="00BF1F0C"/>
    <w:rsid w:val="00BF2038"/>
    <w:rsid w:val="00BF25A1"/>
    <w:rsid w:val="00BF264B"/>
    <w:rsid w:val="00BF28E8"/>
    <w:rsid w:val="00BF2952"/>
    <w:rsid w:val="00BF3322"/>
    <w:rsid w:val="00BF3645"/>
    <w:rsid w:val="00BF3A32"/>
    <w:rsid w:val="00BF3B57"/>
    <w:rsid w:val="00BF3C1C"/>
    <w:rsid w:val="00BF4147"/>
    <w:rsid w:val="00BF48B2"/>
    <w:rsid w:val="00BF48E7"/>
    <w:rsid w:val="00BF532B"/>
    <w:rsid w:val="00BF644B"/>
    <w:rsid w:val="00BF6547"/>
    <w:rsid w:val="00BF66FA"/>
    <w:rsid w:val="00BF6984"/>
    <w:rsid w:val="00BF6C0A"/>
    <w:rsid w:val="00BF7393"/>
    <w:rsid w:val="00BF74CF"/>
    <w:rsid w:val="00BF75FE"/>
    <w:rsid w:val="00BF7745"/>
    <w:rsid w:val="00C00933"/>
    <w:rsid w:val="00C00AAD"/>
    <w:rsid w:val="00C01B38"/>
    <w:rsid w:val="00C01B9C"/>
    <w:rsid w:val="00C01BC9"/>
    <w:rsid w:val="00C02195"/>
    <w:rsid w:val="00C02247"/>
    <w:rsid w:val="00C02C33"/>
    <w:rsid w:val="00C02CA6"/>
    <w:rsid w:val="00C0333A"/>
    <w:rsid w:val="00C03384"/>
    <w:rsid w:val="00C036C1"/>
    <w:rsid w:val="00C0377B"/>
    <w:rsid w:val="00C038ED"/>
    <w:rsid w:val="00C03920"/>
    <w:rsid w:val="00C04403"/>
    <w:rsid w:val="00C04586"/>
    <w:rsid w:val="00C045B3"/>
    <w:rsid w:val="00C04883"/>
    <w:rsid w:val="00C04A87"/>
    <w:rsid w:val="00C04EDF"/>
    <w:rsid w:val="00C04F72"/>
    <w:rsid w:val="00C05077"/>
    <w:rsid w:val="00C0582E"/>
    <w:rsid w:val="00C05CD8"/>
    <w:rsid w:val="00C05D95"/>
    <w:rsid w:val="00C060DD"/>
    <w:rsid w:val="00C061B3"/>
    <w:rsid w:val="00C0652B"/>
    <w:rsid w:val="00C0688D"/>
    <w:rsid w:val="00C06A9A"/>
    <w:rsid w:val="00C06EC7"/>
    <w:rsid w:val="00C0711E"/>
    <w:rsid w:val="00C078AC"/>
    <w:rsid w:val="00C07ED4"/>
    <w:rsid w:val="00C10174"/>
    <w:rsid w:val="00C104F4"/>
    <w:rsid w:val="00C10911"/>
    <w:rsid w:val="00C111CD"/>
    <w:rsid w:val="00C1129F"/>
    <w:rsid w:val="00C1133D"/>
    <w:rsid w:val="00C115F4"/>
    <w:rsid w:val="00C1161A"/>
    <w:rsid w:val="00C11C6A"/>
    <w:rsid w:val="00C1212E"/>
    <w:rsid w:val="00C12820"/>
    <w:rsid w:val="00C12849"/>
    <w:rsid w:val="00C12CB3"/>
    <w:rsid w:val="00C12DB9"/>
    <w:rsid w:val="00C13083"/>
    <w:rsid w:val="00C131F5"/>
    <w:rsid w:val="00C136EE"/>
    <w:rsid w:val="00C13E7B"/>
    <w:rsid w:val="00C13E7F"/>
    <w:rsid w:val="00C1434C"/>
    <w:rsid w:val="00C1464E"/>
    <w:rsid w:val="00C14832"/>
    <w:rsid w:val="00C14833"/>
    <w:rsid w:val="00C1485D"/>
    <w:rsid w:val="00C14911"/>
    <w:rsid w:val="00C14CAA"/>
    <w:rsid w:val="00C14CE2"/>
    <w:rsid w:val="00C156B3"/>
    <w:rsid w:val="00C15735"/>
    <w:rsid w:val="00C157C5"/>
    <w:rsid w:val="00C157D7"/>
    <w:rsid w:val="00C15890"/>
    <w:rsid w:val="00C15ADF"/>
    <w:rsid w:val="00C15C8B"/>
    <w:rsid w:val="00C1614C"/>
    <w:rsid w:val="00C16356"/>
    <w:rsid w:val="00C1675A"/>
    <w:rsid w:val="00C16B75"/>
    <w:rsid w:val="00C16D6E"/>
    <w:rsid w:val="00C16F60"/>
    <w:rsid w:val="00C1743F"/>
    <w:rsid w:val="00C17470"/>
    <w:rsid w:val="00C17CF6"/>
    <w:rsid w:val="00C17EA4"/>
    <w:rsid w:val="00C2065A"/>
    <w:rsid w:val="00C21507"/>
    <w:rsid w:val="00C215F8"/>
    <w:rsid w:val="00C22790"/>
    <w:rsid w:val="00C22F30"/>
    <w:rsid w:val="00C23074"/>
    <w:rsid w:val="00C2318E"/>
    <w:rsid w:val="00C2347F"/>
    <w:rsid w:val="00C23742"/>
    <w:rsid w:val="00C23C90"/>
    <w:rsid w:val="00C23D48"/>
    <w:rsid w:val="00C24071"/>
    <w:rsid w:val="00C2451B"/>
    <w:rsid w:val="00C24812"/>
    <w:rsid w:val="00C2485D"/>
    <w:rsid w:val="00C24866"/>
    <w:rsid w:val="00C24BBD"/>
    <w:rsid w:val="00C24F2A"/>
    <w:rsid w:val="00C25162"/>
    <w:rsid w:val="00C251AB"/>
    <w:rsid w:val="00C25336"/>
    <w:rsid w:val="00C25589"/>
    <w:rsid w:val="00C25855"/>
    <w:rsid w:val="00C25939"/>
    <w:rsid w:val="00C25B16"/>
    <w:rsid w:val="00C26748"/>
    <w:rsid w:val="00C26948"/>
    <w:rsid w:val="00C26C4E"/>
    <w:rsid w:val="00C26D40"/>
    <w:rsid w:val="00C26D8E"/>
    <w:rsid w:val="00C26DFB"/>
    <w:rsid w:val="00C27687"/>
    <w:rsid w:val="00C277F7"/>
    <w:rsid w:val="00C3004B"/>
    <w:rsid w:val="00C301B2"/>
    <w:rsid w:val="00C302AB"/>
    <w:rsid w:val="00C30543"/>
    <w:rsid w:val="00C3056B"/>
    <w:rsid w:val="00C309BA"/>
    <w:rsid w:val="00C30A2B"/>
    <w:rsid w:val="00C30A3E"/>
    <w:rsid w:val="00C3104E"/>
    <w:rsid w:val="00C31264"/>
    <w:rsid w:val="00C31331"/>
    <w:rsid w:val="00C318D7"/>
    <w:rsid w:val="00C31A19"/>
    <w:rsid w:val="00C31E59"/>
    <w:rsid w:val="00C32136"/>
    <w:rsid w:val="00C32736"/>
    <w:rsid w:val="00C328F9"/>
    <w:rsid w:val="00C329A6"/>
    <w:rsid w:val="00C32A1E"/>
    <w:rsid w:val="00C32D2B"/>
    <w:rsid w:val="00C330B3"/>
    <w:rsid w:val="00C331E3"/>
    <w:rsid w:val="00C336B5"/>
    <w:rsid w:val="00C337BD"/>
    <w:rsid w:val="00C33A11"/>
    <w:rsid w:val="00C33C1A"/>
    <w:rsid w:val="00C3415F"/>
    <w:rsid w:val="00C34202"/>
    <w:rsid w:val="00C343C5"/>
    <w:rsid w:val="00C34DA5"/>
    <w:rsid w:val="00C3549E"/>
    <w:rsid w:val="00C35780"/>
    <w:rsid w:val="00C3586D"/>
    <w:rsid w:val="00C36914"/>
    <w:rsid w:val="00C36B6F"/>
    <w:rsid w:val="00C36E50"/>
    <w:rsid w:val="00C37043"/>
    <w:rsid w:val="00C373D1"/>
    <w:rsid w:val="00C3767E"/>
    <w:rsid w:val="00C37AC9"/>
    <w:rsid w:val="00C40CC4"/>
    <w:rsid w:val="00C40DD6"/>
    <w:rsid w:val="00C40FF2"/>
    <w:rsid w:val="00C41B00"/>
    <w:rsid w:val="00C41FD3"/>
    <w:rsid w:val="00C4232A"/>
    <w:rsid w:val="00C43AEA"/>
    <w:rsid w:val="00C43D81"/>
    <w:rsid w:val="00C43E65"/>
    <w:rsid w:val="00C43F0D"/>
    <w:rsid w:val="00C441E2"/>
    <w:rsid w:val="00C4428C"/>
    <w:rsid w:val="00C443C1"/>
    <w:rsid w:val="00C44942"/>
    <w:rsid w:val="00C44945"/>
    <w:rsid w:val="00C449E9"/>
    <w:rsid w:val="00C44B04"/>
    <w:rsid w:val="00C44B2B"/>
    <w:rsid w:val="00C4563E"/>
    <w:rsid w:val="00C45677"/>
    <w:rsid w:val="00C45DB8"/>
    <w:rsid w:val="00C45F34"/>
    <w:rsid w:val="00C4611D"/>
    <w:rsid w:val="00C4658B"/>
    <w:rsid w:val="00C46765"/>
    <w:rsid w:val="00C46A93"/>
    <w:rsid w:val="00C46B76"/>
    <w:rsid w:val="00C46D56"/>
    <w:rsid w:val="00C4728A"/>
    <w:rsid w:val="00C4752D"/>
    <w:rsid w:val="00C47843"/>
    <w:rsid w:val="00C47D9C"/>
    <w:rsid w:val="00C500CB"/>
    <w:rsid w:val="00C5018D"/>
    <w:rsid w:val="00C5135C"/>
    <w:rsid w:val="00C51413"/>
    <w:rsid w:val="00C51853"/>
    <w:rsid w:val="00C5197C"/>
    <w:rsid w:val="00C51C13"/>
    <w:rsid w:val="00C52569"/>
    <w:rsid w:val="00C53C51"/>
    <w:rsid w:val="00C53C60"/>
    <w:rsid w:val="00C53CF3"/>
    <w:rsid w:val="00C54349"/>
    <w:rsid w:val="00C548EF"/>
    <w:rsid w:val="00C54AA1"/>
    <w:rsid w:val="00C54C9E"/>
    <w:rsid w:val="00C5529B"/>
    <w:rsid w:val="00C5567E"/>
    <w:rsid w:val="00C55958"/>
    <w:rsid w:val="00C55D74"/>
    <w:rsid w:val="00C56861"/>
    <w:rsid w:val="00C56A57"/>
    <w:rsid w:val="00C57750"/>
    <w:rsid w:val="00C578C3"/>
    <w:rsid w:val="00C6001A"/>
    <w:rsid w:val="00C605A3"/>
    <w:rsid w:val="00C607FB"/>
    <w:rsid w:val="00C610BB"/>
    <w:rsid w:val="00C6165C"/>
    <w:rsid w:val="00C61725"/>
    <w:rsid w:val="00C61A00"/>
    <w:rsid w:val="00C63428"/>
    <w:rsid w:val="00C634E8"/>
    <w:rsid w:val="00C635EC"/>
    <w:rsid w:val="00C636F3"/>
    <w:rsid w:val="00C64440"/>
    <w:rsid w:val="00C6450F"/>
    <w:rsid w:val="00C64764"/>
    <w:rsid w:val="00C647DB"/>
    <w:rsid w:val="00C64D47"/>
    <w:rsid w:val="00C6518E"/>
    <w:rsid w:val="00C651DE"/>
    <w:rsid w:val="00C652B8"/>
    <w:rsid w:val="00C65735"/>
    <w:rsid w:val="00C659B1"/>
    <w:rsid w:val="00C65AF4"/>
    <w:rsid w:val="00C65E3C"/>
    <w:rsid w:val="00C66C94"/>
    <w:rsid w:val="00C66CC2"/>
    <w:rsid w:val="00C66E23"/>
    <w:rsid w:val="00C67299"/>
    <w:rsid w:val="00C67998"/>
    <w:rsid w:val="00C67B21"/>
    <w:rsid w:val="00C701FA"/>
    <w:rsid w:val="00C7042C"/>
    <w:rsid w:val="00C70582"/>
    <w:rsid w:val="00C705B1"/>
    <w:rsid w:val="00C70ADE"/>
    <w:rsid w:val="00C70DCE"/>
    <w:rsid w:val="00C711EA"/>
    <w:rsid w:val="00C715AC"/>
    <w:rsid w:val="00C7160A"/>
    <w:rsid w:val="00C71DD2"/>
    <w:rsid w:val="00C72140"/>
    <w:rsid w:val="00C7288E"/>
    <w:rsid w:val="00C72EFB"/>
    <w:rsid w:val="00C730FB"/>
    <w:rsid w:val="00C73404"/>
    <w:rsid w:val="00C738E8"/>
    <w:rsid w:val="00C73B22"/>
    <w:rsid w:val="00C74188"/>
    <w:rsid w:val="00C7464A"/>
    <w:rsid w:val="00C7476E"/>
    <w:rsid w:val="00C74803"/>
    <w:rsid w:val="00C74AC8"/>
    <w:rsid w:val="00C750E9"/>
    <w:rsid w:val="00C7544D"/>
    <w:rsid w:val="00C75695"/>
    <w:rsid w:val="00C75CEA"/>
    <w:rsid w:val="00C762A9"/>
    <w:rsid w:val="00C762CB"/>
    <w:rsid w:val="00C76C0D"/>
    <w:rsid w:val="00C76D30"/>
    <w:rsid w:val="00C77045"/>
    <w:rsid w:val="00C77132"/>
    <w:rsid w:val="00C7792C"/>
    <w:rsid w:val="00C77A26"/>
    <w:rsid w:val="00C77E08"/>
    <w:rsid w:val="00C80323"/>
    <w:rsid w:val="00C80601"/>
    <w:rsid w:val="00C80AEB"/>
    <w:rsid w:val="00C8183E"/>
    <w:rsid w:val="00C81A55"/>
    <w:rsid w:val="00C82253"/>
    <w:rsid w:val="00C82D23"/>
    <w:rsid w:val="00C82E82"/>
    <w:rsid w:val="00C83560"/>
    <w:rsid w:val="00C84E1A"/>
    <w:rsid w:val="00C851D2"/>
    <w:rsid w:val="00C8526C"/>
    <w:rsid w:val="00C85F47"/>
    <w:rsid w:val="00C86C34"/>
    <w:rsid w:val="00C86E6A"/>
    <w:rsid w:val="00C87DA2"/>
    <w:rsid w:val="00C900CB"/>
    <w:rsid w:val="00C908D7"/>
    <w:rsid w:val="00C9092A"/>
    <w:rsid w:val="00C90D50"/>
    <w:rsid w:val="00C90D75"/>
    <w:rsid w:val="00C90E98"/>
    <w:rsid w:val="00C915AD"/>
    <w:rsid w:val="00C91804"/>
    <w:rsid w:val="00C91906"/>
    <w:rsid w:val="00C91A40"/>
    <w:rsid w:val="00C91BA8"/>
    <w:rsid w:val="00C91D55"/>
    <w:rsid w:val="00C92CA0"/>
    <w:rsid w:val="00C92D4A"/>
    <w:rsid w:val="00C9329B"/>
    <w:rsid w:val="00C93426"/>
    <w:rsid w:val="00C93F27"/>
    <w:rsid w:val="00C94160"/>
    <w:rsid w:val="00C94835"/>
    <w:rsid w:val="00C948DE"/>
    <w:rsid w:val="00C950A3"/>
    <w:rsid w:val="00C9522E"/>
    <w:rsid w:val="00C95513"/>
    <w:rsid w:val="00C955C3"/>
    <w:rsid w:val="00C957C8"/>
    <w:rsid w:val="00C958BA"/>
    <w:rsid w:val="00C95B66"/>
    <w:rsid w:val="00C96893"/>
    <w:rsid w:val="00C96A82"/>
    <w:rsid w:val="00C96BE1"/>
    <w:rsid w:val="00C96E55"/>
    <w:rsid w:val="00C96E56"/>
    <w:rsid w:val="00C970B5"/>
    <w:rsid w:val="00C975F2"/>
    <w:rsid w:val="00C97654"/>
    <w:rsid w:val="00C97901"/>
    <w:rsid w:val="00C97CAC"/>
    <w:rsid w:val="00CA0AE9"/>
    <w:rsid w:val="00CA0AF8"/>
    <w:rsid w:val="00CA18A3"/>
    <w:rsid w:val="00CA1CAC"/>
    <w:rsid w:val="00CA2F4E"/>
    <w:rsid w:val="00CA3313"/>
    <w:rsid w:val="00CA3355"/>
    <w:rsid w:val="00CA43C1"/>
    <w:rsid w:val="00CA442D"/>
    <w:rsid w:val="00CA510B"/>
    <w:rsid w:val="00CA525F"/>
    <w:rsid w:val="00CA52CA"/>
    <w:rsid w:val="00CA57C5"/>
    <w:rsid w:val="00CA593B"/>
    <w:rsid w:val="00CA5BAF"/>
    <w:rsid w:val="00CA63BD"/>
    <w:rsid w:val="00CA64AF"/>
    <w:rsid w:val="00CA793D"/>
    <w:rsid w:val="00CB145E"/>
    <w:rsid w:val="00CB1878"/>
    <w:rsid w:val="00CB193F"/>
    <w:rsid w:val="00CB1F2F"/>
    <w:rsid w:val="00CB25D5"/>
    <w:rsid w:val="00CB263D"/>
    <w:rsid w:val="00CB287F"/>
    <w:rsid w:val="00CB3197"/>
    <w:rsid w:val="00CB3901"/>
    <w:rsid w:val="00CB42A0"/>
    <w:rsid w:val="00CB42FA"/>
    <w:rsid w:val="00CB44E3"/>
    <w:rsid w:val="00CB45CA"/>
    <w:rsid w:val="00CB4898"/>
    <w:rsid w:val="00CB4BB7"/>
    <w:rsid w:val="00CB4BE7"/>
    <w:rsid w:val="00CB5C46"/>
    <w:rsid w:val="00CB5F95"/>
    <w:rsid w:val="00CB6236"/>
    <w:rsid w:val="00CB6B74"/>
    <w:rsid w:val="00CB7088"/>
    <w:rsid w:val="00CB72A0"/>
    <w:rsid w:val="00CB7A3A"/>
    <w:rsid w:val="00CB7CF7"/>
    <w:rsid w:val="00CB7D72"/>
    <w:rsid w:val="00CC1049"/>
    <w:rsid w:val="00CC1171"/>
    <w:rsid w:val="00CC1257"/>
    <w:rsid w:val="00CC174C"/>
    <w:rsid w:val="00CC1C7C"/>
    <w:rsid w:val="00CC2945"/>
    <w:rsid w:val="00CC2C5B"/>
    <w:rsid w:val="00CC2EA8"/>
    <w:rsid w:val="00CC2F8C"/>
    <w:rsid w:val="00CC346F"/>
    <w:rsid w:val="00CC35D1"/>
    <w:rsid w:val="00CC3E9E"/>
    <w:rsid w:val="00CC40F7"/>
    <w:rsid w:val="00CC4F44"/>
    <w:rsid w:val="00CC5035"/>
    <w:rsid w:val="00CC5194"/>
    <w:rsid w:val="00CC5528"/>
    <w:rsid w:val="00CC5700"/>
    <w:rsid w:val="00CC594A"/>
    <w:rsid w:val="00CC594E"/>
    <w:rsid w:val="00CC6171"/>
    <w:rsid w:val="00CC650E"/>
    <w:rsid w:val="00CC694F"/>
    <w:rsid w:val="00CC6D8F"/>
    <w:rsid w:val="00CC722F"/>
    <w:rsid w:val="00CC73E7"/>
    <w:rsid w:val="00CC7BA5"/>
    <w:rsid w:val="00CD0DF5"/>
    <w:rsid w:val="00CD0E41"/>
    <w:rsid w:val="00CD1535"/>
    <w:rsid w:val="00CD1721"/>
    <w:rsid w:val="00CD1782"/>
    <w:rsid w:val="00CD1840"/>
    <w:rsid w:val="00CD1BA9"/>
    <w:rsid w:val="00CD1CE7"/>
    <w:rsid w:val="00CD1E0A"/>
    <w:rsid w:val="00CD295B"/>
    <w:rsid w:val="00CD36BA"/>
    <w:rsid w:val="00CD4103"/>
    <w:rsid w:val="00CD44F3"/>
    <w:rsid w:val="00CD467E"/>
    <w:rsid w:val="00CD4806"/>
    <w:rsid w:val="00CD4984"/>
    <w:rsid w:val="00CD4D17"/>
    <w:rsid w:val="00CD511D"/>
    <w:rsid w:val="00CD5503"/>
    <w:rsid w:val="00CD59E4"/>
    <w:rsid w:val="00CD5F3C"/>
    <w:rsid w:val="00CD610F"/>
    <w:rsid w:val="00CD692D"/>
    <w:rsid w:val="00CD69D0"/>
    <w:rsid w:val="00CD6DB9"/>
    <w:rsid w:val="00CD709F"/>
    <w:rsid w:val="00CD7B06"/>
    <w:rsid w:val="00CD7B2A"/>
    <w:rsid w:val="00CD7B94"/>
    <w:rsid w:val="00CD7C75"/>
    <w:rsid w:val="00CD7CDB"/>
    <w:rsid w:val="00CD7D6E"/>
    <w:rsid w:val="00CD7D8B"/>
    <w:rsid w:val="00CD7E98"/>
    <w:rsid w:val="00CE0242"/>
    <w:rsid w:val="00CE033E"/>
    <w:rsid w:val="00CE05B5"/>
    <w:rsid w:val="00CE0A20"/>
    <w:rsid w:val="00CE0D35"/>
    <w:rsid w:val="00CE1204"/>
    <w:rsid w:val="00CE15E3"/>
    <w:rsid w:val="00CE1B13"/>
    <w:rsid w:val="00CE1F87"/>
    <w:rsid w:val="00CE24C4"/>
    <w:rsid w:val="00CE2A44"/>
    <w:rsid w:val="00CE2F15"/>
    <w:rsid w:val="00CE33A2"/>
    <w:rsid w:val="00CE34C4"/>
    <w:rsid w:val="00CE43A1"/>
    <w:rsid w:val="00CE44CA"/>
    <w:rsid w:val="00CE4648"/>
    <w:rsid w:val="00CE477C"/>
    <w:rsid w:val="00CE4BA6"/>
    <w:rsid w:val="00CE4FA0"/>
    <w:rsid w:val="00CE5403"/>
    <w:rsid w:val="00CE590D"/>
    <w:rsid w:val="00CE5DAA"/>
    <w:rsid w:val="00CE5F7E"/>
    <w:rsid w:val="00CE65FD"/>
    <w:rsid w:val="00CE6768"/>
    <w:rsid w:val="00CE6DD2"/>
    <w:rsid w:val="00CE6F89"/>
    <w:rsid w:val="00CE761F"/>
    <w:rsid w:val="00CE7C6E"/>
    <w:rsid w:val="00CF00E1"/>
    <w:rsid w:val="00CF0F83"/>
    <w:rsid w:val="00CF1082"/>
    <w:rsid w:val="00CF1B90"/>
    <w:rsid w:val="00CF1D69"/>
    <w:rsid w:val="00CF1DCE"/>
    <w:rsid w:val="00CF1ECF"/>
    <w:rsid w:val="00CF1F2B"/>
    <w:rsid w:val="00CF2AB0"/>
    <w:rsid w:val="00CF3134"/>
    <w:rsid w:val="00CF32D0"/>
    <w:rsid w:val="00CF3314"/>
    <w:rsid w:val="00CF3390"/>
    <w:rsid w:val="00CF3B28"/>
    <w:rsid w:val="00CF3DE6"/>
    <w:rsid w:val="00CF402C"/>
    <w:rsid w:val="00CF4854"/>
    <w:rsid w:val="00CF4A19"/>
    <w:rsid w:val="00CF56F6"/>
    <w:rsid w:val="00CF61E7"/>
    <w:rsid w:val="00CF6439"/>
    <w:rsid w:val="00CF65CD"/>
    <w:rsid w:val="00CF67ED"/>
    <w:rsid w:val="00CF69C1"/>
    <w:rsid w:val="00CF6E2A"/>
    <w:rsid w:val="00CF6F91"/>
    <w:rsid w:val="00CF7416"/>
    <w:rsid w:val="00CF7D88"/>
    <w:rsid w:val="00D00208"/>
    <w:rsid w:val="00D00B80"/>
    <w:rsid w:val="00D00E53"/>
    <w:rsid w:val="00D01384"/>
    <w:rsid w:val="00D01CAA"/>
    <w:rsid w:val="00D01D8B"/>
    <w:rsid w:val="00D01E4F"/>
    <w:rsid w:val="00D01FC0"/>
    <w:rsid w:val="00D024FA"/>
    <w:rsid w:val="00D02ABF"/>
    <w:rsid w:val="00D03024"/>
    <w:rsid w:val="00D03862"/>
    <w:rsid w:val="00D039E2"/>
    <w:rsid w:val="00D03E04"/>
    <w:rsid w:val="00D03E2B"/>
    <w:rsid w:val="00D03EF7"/>
    <w:rsid w:val="00D046A8"/>
    <w:rsid w:val="00D04924"/>
    <w:rsid w:val="00D04A5E"/>
    <w:rsid w:val="00D05131"/>
    <w:rsid w:val="00D0554B"/>
    <w:rsid w:val="00D0633D"/>
    <w:rsid w:val="00D0653C"/>
    <w:rsid w:val="00D06A39"/>
    <w:rsid w:val="00D06B42"/>
    <w:rsid w:val="00D06BF8"/>
    <w:rsid w:val="00D0716C"/>
    <w:rsid w:val="00D071A9"/>
    <w:rsid w:val="00D071DB"/>
    <w:rsid w:val="00D072B6"/>
    <w:rsid w:val="00D07B31"/>
    <w:rsid w:val="00D07D92"/>
    <w:rsid w:val="00D100D9"/>
    <w:rsid w:val="00D103CF"/>
    <w:rsid w:val="00D106CD"/>
    <w:rsid w:val="00D10816"/>
    <w:rsid w:val="00D10A29"/>
    <w:rsid w:val="00D11088"/>
    <w:rsid w:val="00D11094"/>
    <w:rsid w:val="00D1123F"/>
    <w:rsid w:val="00D11F8E"/>
    <w:rsid w:val="00D12044"/>
    <w:rsid w:val="00D124F5"/>
    <w:rsid w:val="00D129B3"/>
    <w:rsid w:val="00D139C3"/>
    <w:rsid w:val="00D13CD6"/>
    <w:rsid w:val="00D13D0E"/>
    <w:rsid w:val="00D13D77"/>
    <w:rsid w:val="00D13D84"/>
    <w:rsid w:val="00D13F0F"/>
    <w:rsid w:val="00D14101"/>
    <w:rsid w:val="00D14EE4"/>
    <w:rsid w:val="00D15006"/>
    <w:rsid w:val="00D15494"/>
    <w:rsid w:val="00D15A7B"/>
    <w:rsid w:val="00D15A7F"/>
    <w:rsid w:val="00D1609A"/>
    <w:rsid w:val="00D16333"/>
    <w:rsid w:val="00D1662B"/>
    <w:rsid w:val="00D17674"/>
    <w:rsid w:val="00D17BD1"/>
    <w:rsid w:val="00D20368"/>
    <w:rsid w:val="00D20C3F"/>
    <w:rsid w:val="00D21650"/>
    <w:rsid w:val="00D21DDC"/>
    <w:rsid w:val="00D2204C"/>
    <w:rsid w:val="00D220AB"/>
    <w:rsid w:val="00D226C9"/>
    <w:rsid w:val="00D22ED8"/>
    <w:rsid w:val="00D2343D"/>
    <w:rsid w:val="00D23660"/>
    <w:rsid w:val="00D23A25"/>
    <w:rsid w:val="00D2406D"/>
    <w:rsid w:val="00D240EF"/>
    <w:rsid w:val="00D241DC"/>
    <w:rsid w:val="00D24E14"/>
    <w:rsid w:val="00D251EE"/>
    <w:rsid w:val="00D25791"/>
    <w:rsid w:val="00D2586A"/>
    <w:rsid w:val="00D260BB"/>
    <w:rsid w:val="00D2670B"/>
    <w:rsid w:val="00D2685D"/>
    <w:rsid w:val="00D278F3"/>
    <w:rsid w:val="00D27CD3"/>
    <w:rsid w:val="00D3049E"/>
    <w:rsid w:val="00D30634"/>
    <w:rsid w:val="00D30636"/>
    <w:rsid w:val="00D308B8"/>
    <w:rsid w:val="00D30E40"/>
    <w:rsid w:val="00D3133E"/>
    <w:rsid w:val="00D31F45"/>
    <w:rsid w:val="00D32564"/>
    <w:rsid w:val="00D326CD"/>
    <w:rsid w:val="00D3292C"/>
    <w:rsid w:val="00D32E6B"/>
    <w:rsid w:val="00D32FC0"/>
    <w:rsid w:val="00D33103"/>
    <w:rsid w:val="00D334E3"/>
    <w:rsid w:val="00D334F8"/>
    <w:rsid w:val="00D3446D"/>
    <w:rsid w:val="00D34C06"/>
    <w:rsid w:val="00D34E9C"/>
    <w:rsid w:val="00D35C96"/>
    <w:rsid w:val="00D3643C"/>
    <w:rsid w:val="00D36921"/>
    <w:rsid w:val="00D36BF5"/>
    <w:rsid w:val="00D37A3F"/>
    <w:rsid w:val="00D37A40"/>
    <w:rsid w:val="00D37DEA"/>
    <w:rsid w:val="00D37E86"/>
    <w:rsid w:val="00D37FBC"/>
    <w:rsid w:val="00D40106"/>
    <w:rsid w:val="00D408CC"/>
    <w:rsid w:val="00D40C92"/>
    <w:rsid w:val="00D40EF6"/>
    <w:rsid w:val="00D41442"/>
    <w:rsid w:val="00D415D1"/>
    <w:rsid w:val="00D416B8"/>
    <w:rsid w:val="00D41E23"/>
    <w:rsid w:val="00D421F2"/>
    <w:rsid w:val="00D426A2"/>
    <w:rsid w:val="00D42A96"/>
    <w:rsid w:val="00D42CBF"/>
    <w:rsid w:val="00D433C2"/>
    <w:rsid w:val="00D43744"/>
    <w:rsid w:val="00D43C4B"/>
    <w:rsid w:val="00D4404E"/>
    <w:rsid w:val="00D441CC"/>
    <w:rsid w:val="00D44214"/>
    <w:rsid w:val="00D445A5"/>
    <w:rsid w:val="00D446C5"/>
    <w:rsid w:val="00D4510B"/>
    <w:rsid w:val="00D451DB"/>
    <w:rsid w:val="00D45FA2"/>
    <w:rsid w:val="00D4636A"/>
    <w:rsid w:val="00D464A3"/>
    <w:rsid w:val="00D464A4"/>
    <w:rsid w:val="00D465A1"/>
    <w:rsid w:val="00D46DE9"/>
    <w:rsid w:val="00D46E9C"/>
    <w:rsid w:val="00D47388"/>
    <w:rsid w:val="00D47578"/>
    <w:rsid w:val="00D4790A"/>
    <w:rsid w:val="00D47F16"/>
    <w:rsid w:val="00D50242"/>
    <w:rsid w:val="00D508AF"/>
    <w:rsid w:val="00D508F0"/>
    <w:rsid w:val="00D509F3"/>
    <w:rsid w:val="00D50C34"/>
    <w:rsid w:val="00D50E17"/>
    <w:rsid w:val="00D50EDC"/>
    <w:rsid w:val="00D51431"/>
    <w:rsid w:val="00D5165B"/>
    <w:rsid w:val="00D519C2"/>
    <w:rsid w:val="00D51C77"/>
    <w:rsid w:val="00D51D07"/>
    <w:rsid w:val="00D52956"/>
    <w:rsid w:val="00D52E29"/>
    <w:rsid w:val="00D52F69"/>
    <w:rsid w:val="00D53008"/>
    <w:rsid w:val="00D5324E"/>
    <w:rsid w:val="00D53791"/>
    <w:rsid w:val="00D54290"/>
    <w:rsid w:val="00D54D8B"/>
    <w:rsid w:val="00D54EAF"/>
    <w:rsid w:val="00D54F26"/>
    <w:rsid w:val="00D555F9"/>
    <w:rsid w:val="00D5566B"/>
    <w:rsid w:val="00D558A7"/>
    <w:rsid w:val="00D55B7B"/>
    <w:rsid w:val="00D55D2E"/>
    <w:rsid w:val="00D56128"/>
    <w:rsid w:val="00D56141"/>
    <w:rsid w:val="00D56641"/>
    <w:rsid w:val="00D56797"/>
    <w:rsid w:val="00D57236"/>
    <w:rsid w:val="00D5743E"/>
    <w:rsid w:val="00D607DE"/>
    <w:rsid w:val="00D608A3"/>
    <w:rsid w:val="00D60A4A"/>
    <w:rsid w:val="00D60E7F"/>
    <w:rsid w:val="00D6137E"/>
    <w:rsid w:val="00D61588"/>
    <w:rsid w:val="00D61AA3"/>
    <w:rsid w:val="00D61EE8"/>
    <w:rsid w:val="00D6246F"/>
    <w:rsid w:val="00D62A2A"/>
    <w:rsid w:val="00D62D4C"/>
    <w:rsid w:val="00D63073"/>
    <w:rsid w:val="00D63A49"/>
    <w:rsid w:val="00D63F6F"/>
    <w:rsid w:val="00D64376"/>
    <w:rsid w:val="00D64B53"/>
    <w:rsid w:val="00D64C28"/>
    <w:rsid w:val="00D64DED"/>
    <w:rsid w:val="00D661F0"/>
    <w:rsid w:val="00D66A47"/>
    <w:rsid w:val="00D66B55"/>
    <w:rsid w:val="00D66BB1"/>
    <w:rsid w:val="00D67125"/>
    <w:rsid w:val="00D676FC"/>
    <w:rsid w:val="00D70535"/>
    <w:rsid w:val="00D70A84"/>
    <w:rsid w:val="00D70BCC"/>
    <w:rsid w:val="00D70DDA"/>
    <w:rsid w:val="00D70F1B"/>
    <w:rsid w:val="00D70F96"/>
    <w:rsid w:val="00D7130F"/>
    <w:rsid w:val="00D71663"/>
    <w:rsid w:val="00D716DE"/>
    <w:rsid w:val="00D71C83"/>
    <w:rsid w:val="00D7209F"/>
    <w:rsid w:val="00D726D4"/>
    <w:rsid w:val="00D728ED"/>
    <w:rsid w:val="00D72926"/>
    <w:rsid w:val="00D72A60"/>
    <w:rsid w:val="00D72B97"/>
    <w:rsid w:val="00D73332"/>
    <w:rsid w:val="00D73801"/>
    <w:rsid w:val="00D73A5F"/>
    <w:rsid w:val="00D73C61"/>
    <w:rsid w:val="00D73D07"/>
    <w:rsid w:val="00D73E5A"/>
    <w:rsid w:val="00D7428E"/>
    <w:rsid w:val="00D743A6"/>
    <w:rsid w:val="00D74BE8"/>
    <w:rsid w:val="00D74C80"/>
    <w:rsid w:val="00D74DE2"/>
    <w:rsid w:val="00D75023"/>
    <w:rsid w:val="00D756E0"/>
    <w:rsid w:val="00D75DB1"/>
    <w:rsid w:val="00D761BF"/>
    <w:rsid w:val="00D76234"/>
    <w:rsid w:val="00D762C1"/>
    <w:rsid w:val="00D765DF"/>
    <w:rsid w:val="00D76E20"/>
    <w:rsid w:val="00D76FF5"/>
    <w:rsid w:val="00D771AD"/>
    <w:rsid w:val="00D77569"/>
    <w:rsid w:val="00D778DE"/>
    <w:rsid w:val="00D77D28"/>
    <w:rsid w:val="00D77DA1"/>
    <w:rsid w:val="00D77FBA"/>
    <w:rsid w:val="00D801FF"/>
    <w:rsid w:val="00D8032A"/>
    <w:rsid w:val="00D806EB"/>
    <w:rsid w:val="00D80A77"/>
    <w:rsid w:val="00D80FBE"/>
    <w:rsid w:val="00D81049"/>
    <w:rsid w:val="00D8162D"/>
    <w:rsid w:val="00D81647"/>
    <w:rsid w:val="00D818F3"/>
    <w:rsid w:val="00D81A10"/>
    <w:rsid w:val="00D81AD7"/>
    <w:rsid w:val="00D81BA9"/>
    <w:rsid w:val="00D81FDA"/>
    <w:rsid w:val="00D820FC"/>
    <w:rsid w:val="00D82B64"/>
    <w:rsid w:val="00D82FF7"/>
    <w:rsid w:val="00D83062"/>
    <w:rsid w:val="00D8317F"/>
    <w:rsid w:val="00D83E8A"/>
    <w:rsid w:val="00D84620"/>
    <w:rsid w:val="00D848D3"/>
    <w:rsid w:val="00D84BB3"/>
    <w:rsid w:val="00D84BF4"/>
    <w:rsid w:val="00D84E12"/>
    <w:rsid w:val="00D85019"/>
    <w:rsid w:val="00D85150"/>
    <w:rsid w:val="00D8528D"/>
    <w:rsid w:val="00D85306"/>
    <w:rsid w:val="00D8583D"/>
    <w:rsid w:val="00D85B6A"/>
    <w:rsid w:val="00D86090"/>
    <w:rsid w:val="00D860DD"/>
    <w:rsid w:val="00D864D0"/>
    <w:rsid w:val="00D8655E"/>
    <w:rsid w:val="00D86718"/>
    <w:rsid w:val="00D867D5"/>
    <w:rsid w:val="00D86C6C"/>
    <w:rsid w:val="00D87DAD"/>
    <w:rsid w:val="00D87ED4"/>
    <w:rsid w:val="00D87FE5"/>
    <w:rsid w:val="00D90BEF"/>
    <w:rsid w:val="00D90F35"/>
    <w:rsid w:val="00D91135"/>
    <w:rsid w:val="00D91230"/>
    <w:rsid w:val="00D913AC"/>
    <w:rsid w:val="00D91749"/>
    <w:rsid w:val="00D917C4"/>
    <w:rsid w:val="00D91BE1"/>
    <w:rsid w:val="00D92144"/>
    <w:rsid w:val="00D9297C"/>
    <w:rsid w:val="00D93C8C"/>
    <w:rsid w:val="00D942D7"/>
    <w:rsid w:val="00D948CF"/>
    <w:rsid w:val="00D95077"/>
    <w:rsid w:val="00D95322"/>
    <w:rsid w:val="00D95412"/>
    <w:rsid w:val="00D95918"/>
    <w:rsid w:val="00D966C3"/>
    <w:rsid w:val="00D969AF"/>
    <w:rsid w:val="00D96ABC"/>
    <w:rsid w:val="00D97586"/>
    <w:rsid w:val="00D97C79"/>
    <w:rsid w:val="00DA0606"/>
    <w:rsid w:val="00DA0885"/>
    <w:rsid w:val="00DA0D59"/>
    <w:rsid w:val="00DA10BA"/>
    <w:rsid w:val="00DA10BB"/>
    <w:rsid w:val="00DA206C"/>
    <w:rsid w:val="00DA26B3"/>
    <w:rsid w:val="00DA27BF"/>
    <w:rsid w:val="00DA3699"/>
    <w:rsid w:val="00DA3CA0"/>
    <w:rsid w:val="00DA3D6F"/>
    <w:rsid w:val="00DA3F0F"/>
    <w:rsid w:val="00DA3F4A"/>
    <w:rsid w:val="00DA41BE"/>
    <w:rsid w:val="00DA447C"/>
    <w:rsid w:val="00DA447E"/>
    <w:rsid w:val="00DA4492"/>
    <w:rsid w:val="00DA474A"/>
    <w:rsid w:val="00DA52AA"/>
    <w:rsid w:val="00DA5362"/>
    <w:rsid w:val="00DA54FF"/>
    <w:rsid w:val="00DA5550"/>
    <w:rsid w:val="00DA62D0"/>
    <w:rsid w:val="00DA63A7"/>
    <w:rsid w:val="00DA6755"/>
    <w:rsid w:val="00DA6C20"/>
    <w:rsid w:val="00DA6C62"/>
    <w:rsid w:val="00DA7056"/>
    <w:rsid w:val="00DA7276"/>
    <w:rsid w:val="00DA731A"/>
    <w:rsid w:val="00DA7AAC"/>
    <w:rsid w:val="00DA7C07"/>
    <w:rsid w:val="00DA7DE0"/>
    <w:rsid w:val="00DB003C"/>
    <w:rsid w:val="00DB0AE8"/>
    <w:rsid w:val="00DB159B"/>
    <w:rsid w:val="00DB18C2"/>
    <w:rsid w:val="00DB1955"/>
    <w:rsid w:val="00DB19F1"/>
    <w:rsid w:val="00DB1E83"/>
    <w:rsid w:val="00DB2291"/>
    <w:rsid w:val="00DB244D"/>
    <w:rsid w:val="00DB27EB"/>
    <w:rsid w:val="00DB2A03"/>
    <w:rsid w:val="00DB3C9E"/>
    <w:rsid w:val="00DB3F83"/>
    <w:rsid w:val="00DB3F92"/>
    <w:rsid w:val="00DB4820"/>
    <w:rsid w:val="00DB4C4C"/>
    <w:rsid w:val="00DB4D6F"/>
    <w:rsid w:val="00DB4FE7"/>
    <w:rsid w:val="00DB50A9"/>
    <w:rsid w:val="00DB53D4"/>
    <w:rsid w:val="00DB5761"/>
    <w:rsid w:val="00DB57FE"/>
    <w:rsid w:val="00DB5D70"/>
    <w:rsid w:val="00DB5ED4"/>
    <w:rsid w:val="00DB73F1"/>
    <w:rsid w:val="00DB742E"/>
    <w:rsid w:val="00DB7AA9"/>
    <w:rsid w:val="00DB7FBB"/>
    <w:rsid w:val="00DC054A"/>
    <w:rsid w:val="00DC06FF"/>
    <w:rsid w:val="00DC0AF1"/>
    <w:rsid w:val="00DC0E19"/>
    <w:rsid w:val="00DC0FDD"/>
    <w:rsid w:val="00DC1BEC"/>
    <w:rsid w:val="00DC1FCE"/>
    <w:rsid w:val="00DC2092"/>
    <w:rsid w:val="00DC2422"/>
    <w:rsid w:val="00DC26AD"/>
    <w:rsid w:val="00DC283E"/>
    <w:rsid w:val="00DC28CD"/>
    <w:rsid w:val="00DC2CE6"/>
    <w:rsid w:val="00DC3041"/>
    <w:rsid w:val="00DC3484"/>
    <w:rsid w:val="00DC3582"/>
    <w:rsid w:val="00DC37E5"/>
    <w:rsid w:val="00DC3CB0"/>
    <w:rsid w:val="00DC44DD"/>
    <w:rsid w:val="00DC4AC1"/>
    <w:rsid w:val="00DC4C85"/>
    <w:rsid w:val="00DC4D9B"/>
    <w:rsid w:val="00DC5F87"/>
    <w:rsid w:val="00DC616A"/>
    <w:rsid w:val="00DC6564"/>
    <w:rsid w:val="00DC67C8"/>
    <w:rsid w:val="00DC6A17"/>
    <w:rsid w:val="00DC6C9E"/>
    <w:rsid w:val="00DC72E7"/>
    <w:rsid w:val="00DC754F"/>
    <w:rsid w:val="00DC7E41"/>
    <w:rsid w:val="00DD04E3"/>
    <w:rsid w:val="00DD08EB"/>
    <w:rsid w:val="00DD0948"/>
    <w:rsid w:val="00DD0AAF"/>
    <w:rsid w:val="00DD10E7"/>
    <w:rsid w:val="00DD11A9"/>
    <w:rsid w:val="00DD1817"/>
    <w:rsid w:val="00DD1D5D"/>
    <w:rsid w:val="00DD42B6"/>
    <w:rsid w:val="00DD4538"/>
    <w:rsid w:val="00DD4589"/>
    <w:rsid w:val="00DD4A7F"/>
    <w:rsid w:val="00DD4D69"/>
    <w:rsid w:val="00DD5028"/>
    <w:rsid w:val="00DD5B86"/>
    <w:rsid w:val="00DD6346"/>
    <w:rsid w:val="00DD662B"/>
    <w:rsid w:val="00DD6B07"/>
    <w:rsid w:val="00DD71D1"/>
    <w:rsid w:val="00DD7274"/>
    <w:rsid w:val="00DD7AB7"/>
    <w:rsid w:val="00DD7BFA"/>
    <w:rsid w:val="00DD7E21"/>
    <w:rsid w:val="00DE007B"/>
    <w:rsid w:val="00DE01E4"/>
    <w:rsid w:val="00DE0EE0"/>
    <w:rsid w:val="00DE14CB"/>
    <w:rsid w:val="00DE19DF"/>
    <w:rsid w:val="00DE2641"/>
    <w:rsid w:val="00DE2658"/>
    <w:rsid w:val="00DE2BAA"/>
    <w:rsid w:val="00DE33AE"/>
    <w:rsid w:val="00DE3CC8"/>
    <w:rsid w:val="00DE3CD5"/>
    <w:rsid w:val="00DE3DAD"/>
    <w:rsid w:val="00DE4102"/>
    <w:rsid w:val="00DE4616"/>
    <w:rsid w:val="00DE4BC2"/>
    <w:rsid w:val="00DE521E"/>
    <w:rsid w:val="00DE58D2"/>
    <w:rsid w:val="00DE59B0"/>
    <w:rsid w:val="00DE5D28"/>
    <w:rsid w:val="00DE5D67"/>
    <w:rsid w:val="00DE6059"/>
    <w:rsid w:val="00DE6256"/>
    <w:rsid w:val="00DE6702"/>
    <w:rsid w:val="00DE672B"/>
    <w:rsid w:val="00DE6ABA"/>
    <w:rsid w:val="00DE6C9E"/>
    <w:rsid w:val="00DE7322"/>
    <w:rsid w:val="00DE762F"/>
    <w:rsid w:val="00DE77D5"/>
    <w:rsid w:val="00DE7ADF"/>
    <w:rsid w:val="00DE7D6F"/>
    <w:rsid w:val="00DF05EB"/>
    <w:rsid w:val="00DF064D"/>
    <w:rsid w:val="00DF0B7D"/>
    <w:rsid w:val="00DF0E44"/>
    <w:rsid w:val="00DF1523"/>
    <w:rsid w:val="00DF169A"/>
    <w:rsid w:val="00DF171F"/>
    <w:rsid w:val="00DF1851"/>
    <w:rsid w:val="00DF1AA7"/>
    <w:rsid w:val="00DF1EB4"/>
    <w:rsid w:val="00DF2123"/>
    <w:rsid w:val="00DF2229"/>
    <w:rsid w:val="00DF27D7"/>
    <w:rsid w:val="00DF3118"/>
    <w:rsid w:val="00DF318A"/>
    <w:rsid w:val="00DF37D9"/>
    <w:rsid w:val="00DF3DF0"/>
    <w:rsid w:val="00DF3E47"/>
    <w:rsid w:val="00DF3F80"/>
    <w:rsid w:val="00DF47E7"/>
    <w:rsid w:val="00DF491A"/>
    <w:rsid w:val="00DF4C22"/>
    <w:rsid w:val="00DF4E0F"/>
    <w:rsid w:val="00DF52EC"/>
    <w:rsid w:val="00DF554B"/>
    <w:rsid w:val="00DF5749"/>
    <w:rsid w:val="00DF5CDB"/>
    <w:rsid w:val="00DF5DD2"/>
    <w:rsid w:val="00DF608B"/>
    <w:rsid w:val="00DF643D"/>
    <w:rsid w:val="00DF6521"/>
    <w:rsid w:val="00DF6BD6"/>
    <w:rsid w:val="00DF7672"/>
    <w:rsid w:val="00DF7B2F"/>
    <w:rsid w:val="00DF7C7C"/>
    <w:rsid w:val="00DF7F6D"/>
    <w:rsid w:val="00E00A75"/>
    <w:rsid w:val="00E00C94"/>
    <w:rsid w:val="00E00F44"/>
    <w:rsid w:val="00E01349"/>
    <w:rsid w:val="00E0163B"/>
    <w:rsid w:val="00E018F8"/>
    <w:rsid w:val="00E019D7"/>
    <w:rsid w:val="00E01DFE"/>
    <w:rsid w:val="00E02085"/>
    <w:rsid w:val="00E02513"/>
    <w:rsid w:val="00E025EB"/>
    <w:rsid w:val="00E02B03"/>
    <w:rsid w:val="00E03083"/>
    <w:rsid w:val="00E0333B"/>
    <w:rsid w:val="00E03765"/>
    <w:rsid w:val="00E03982"/>
    <w:rsid w:val="00E03B92"/>
    <w:rsid w:val="00E0476B"/>
    <w:rsid w:val="00E04B9B"/>
    <w:rsid w:val="00E054E5"/>
    <w:rsid w:val="00E05A21"/>
    <w:rsid w:val="00E05B43"/>
    <w:rsid w:val="00E065F0"/>
    <w:rsid w:val="00E06A7F"/>
    <w:rsid w:val="00E06B24"/>
    <w:rsid w:val="00E06F1D"/>
    <w:rsid w:val="00E06F24"/>
    <w:rsid w:val="00E0721E"/>
    <w:rsid w:val="00E07309"/>
    <w:rsid w:val="00E0770F"/>
    <w:rsid w:val="00E07B3B"/>
    <w:rsid w:val="00E07D47"/>
    <w:rsid w:val="00E1055E"/>
    <w:rsid w:val="00E105C1"/>
    <w:rsid w:val="00E10798"/>
    <w:rsid w:val="00E109F7"/>
    <w:rsid w:val="00E116BD"/>
    <w:rsid w:val="00E11705"/>
    <w:rsid w:val="00E11EC6"/>
    <w:rsid w:val="00E12278"/>
    <w:rsid w:val="00E123C9"/>
    <w:rsid w:val="00E127BE"/>
    <w:rsid w:val="00E1284F"/>
    <w:rsid w:val="00E12B0D"/>
    <w:rsid w:val="00E12C6C"/>
    <w:rsid w:val="00E13C6C"/>
    <w:rsid w:val="00E14192"/>
    <w:rsid w:val="00E146B2"/>
    <w:rsid w:val="00E14930"/>
    <w:rsid w:val="00E149DC"/>
    <w:rsid w:val="00E14A1D"/>
    <w:rsid w:val="00E14BD4"/>
    <w:rsid w:val="00E151D0"/>
    <w:rsid w:val="00E15239"/>
    <w:rsid w:val="00E1554C"/>
    <w:rsid w:val="00E15602"/>
    <w:rsid w:val="00E15A50"/>
    <w:rsid w:val="00E16446"/>
    <w:rsid w:val="00E16527"/>
    <w:rsid w:val="00E167D3"/>
    <w:rsid w:val="00E167F3"/>
    <w:rsid w:val="00E16E78"/>
    <w:rsid w:val="00E16F04"/>
    <w:rsid w:val="00E16F8D"/>
    <w:rsid w:val="00E172C1"/>
    <w:rsid w:val="00E17434"/>
    <w:rsid w:val="00E1758C"/>
    <w:rsid w:val="00E1779C"/>
    <w:rsid w:val="00E1780D"/>
    <w:rsid w:val="00E17887"/>
    <w:rsid w:val="00E17BF9"/>
    <w:rsid w:val="00E20011"/>
    <w:rsid w:val="00E201F1"/>
    <w:rsid w:val="00E20569"/>
    <w:rsid w:val="00E205AA"/>
    <w:rsid w:val="00E20838"/>
    <w:rsid w:val="00E20C8D"/>
    <w:rsid w:val="00E210B8"/>
    <w:rsid w:val="00E2183D"/>
    <w:rsid w:val="00E22098"/>
    <w:rsid w:val="00E22102"/>
    <w:rsid w:val="00E22112"/>
    <w:rsid w:val="00E2225F"/>
    <w:rsid w:val="00E2292B"/>
    <w:rsid w:val="00E2296E"/>
    <w:rsid w:val="00E22F11"/>
    <w:rsid w:val="00E23336"/>
    <w:rsid w:val="00E24D5F"/>
    <w:rsid w:val="00E2511D"/>
    <w:rsid w:val="00E2514B"/>
    <w:rsid w:val="00E2588D"/>
    <w:rsid w:val="00E25DD3"/>
    <w:rsid w:val="00E25E41"/>
    <w:rsid w:val="00E266F9"/>
    <w:rsid w:val="00E268BB"/>
    <w:rsid w:val="00E269AE"/>
    <w:rsid w:val="00E26A14"/>
    <w:rsid w:val="00E26E16"/>
    <w:rsid w:val="00E274ED"/>
    <w:rsid w:val="00E27689"/>
    <w:rsid w:val="00E27F33"/>
    <w:rsid w:val="00E301CB"/>
    <w:rsid w:val="00E306A1"/>
    <w:rsid w:val="00E308B9"/>
    <w:rsid w:val="00E30CD8"/>
    <w:rsid w:val="00E30EB4"/>
    <w:rsid w:val="00E311A3"/>
    <w:rsid w:val="00E31512"/>
    <w:rsid w:val="00E31D34"/>
    <w:rsid w:val="00E32602"/>
    <w:rsid w:val="00E327E3"/>
    <w:rsid w:val="00E32838"/>
    <w:rsid w:val="00E32886"/>
    <w:rsid w:val="00E32943"/>
    <w:rsid w:val="00E332B7"/>
    <w:rsid w:val="00E3364C"/>
    <w:rsid w:val="00E33895"/>
    <w:rsid w:val="00E341F4"/>
    <w:rsid w:val="00E34A95"/>
    <w:rsid w:val="00E34D11"/>
    <w:rsid w:val="00E34E78"/>
    <w:rsid w:val="00E361D1"/>
    <w:rsid w:val="00E36FDB"/>
    <w:rsid w:val="00E37078"/>
    <w:rsid w:val="00E370C2"/>
    <w:rsid w:val="00E379C5"/>
    <w:rsid w:val="00E37EAA"/>
    <w:rsid w:val="00E40096"/>
    <w:rsid w:val="00E4021B"/>
    <w:rsid w:val="00E406AE"/>
    <w:rsid w:val="00E407E4"/>
    <w:rsid w:val="00E40C6E"/>
    <w:rsid w:val="00E410C9"/>
    <w:rsid w:val="00E4159E"/>
    <w:rsid w:val="00E4176B"/>
    <w:rsid w:val="00E4218C"/>
    <w:rsid w:val="00E4262D"/>
    <w:rsid w:val="00E42824"/>
    <w:rsid w:val="00E428BC"/>
    <w:rsid w:val="00E429D0"/>
    <w:rsid w:val="00E43240"/>
    <w:rsid w:val="00E43790"/>
    <w:rsid w:val="00E437FD"/>
    <w:rsid w:val="00E43C1C"/>
    <w:rsid w:val="00E43FB2"/>
    <w:rsid w:val="00E442EC"/>
    <w:rsid w:val="00E44B29"/>
    <w:rsid w:val="00E45246"/>
    <w:rsid w:val="00E4544C"/>
    <w:rsid w:val="00E4572D"/>
    <w:rsid w:val="00E45F50"/>
    <w:rsid w:val="00E46230"/>
    <w:rsid w:val="00E46257"/>
    <w:rsid w:val="00E467E6"/>
    <w:rsid w:val="00E46807"/>
    <w:rsid w:val="00E46C36"/>
    <w:rsid w:val="00E46CC0"/>
    <w:rsid w:val="00E470B0"/>
    <w:rsid w:val="00E472C2"/>
    <w:rsid w:val="00E473C3"/>
    <w:rsid w:val="00E47466"/>
    <w:rsid w:val="00E4782A"/>
    <w:rsid w:val="00E47A78"/>
    <w:rsid w:val="00E47FE4"/>
    <w:rsid w:val="00E50C01"/>
    <w:rsid w:val="00E51301"/>
    <w:rsid w:val="00E5174E"/>
    <w:rsid w:val="00E5182A"/>
    <w:rsid w:val="00E5196E"/>
    <w:rsid w:val="00E5241D"/>
    <w:rsid w:val="00E524BA"/>
    <w:rsid w:val="00E52D03"/>
    <w:rsid w:val="00E5306A"/>
    <w:rsid w:val="00E5310A"/>
    <w:rsid w:val="00E53E8F"/>
    <w:rsid w:val="00E544E0"/>
    <w:rsid w:val="00E5489D"/>
    <w:rsid w:val="00E55422"/>
    <w:rsid w:val="00E55BC2"/>
    <w:rsid w:val="00E55F0F"/>
    <w:rsid w:val="00E55F40"/>
    <w:rsid w:val="00E55FFF"/>
    <w:rsid w:val="00E568AB"/>
    <w:rsid w:val="00E56D7E"/>
    <w:rsid w:val="00E56DD4"/>
    <w:rsid w:val="00E57251"/>
    <w:rsid w:val="00E5729A"/>
    <w:rsid w:val="00E5734E"/>
    <w:rsid w:val="00E575EF"/>
    <w:rsid w:val="00E5783A"/>
    <w:rsid w:val="00E57B68"/>
    <w:rsid w:val="00E57C73"/>
    <w:rsid w:val="00E57DEC"/>
    <w:rsid w:val="00E57EFD"/>
    <w:rsid w:val="00E60360"/>
    <w:rsid w:val="00E603E1"/>
    <w:rsid w:val="00E6053A"/>
    <w:rsid w:val="00E607F3"/>
    <w:rsid w:val="00E60FD1"/>
    <w:rsid w:val="00E6162C"/>
    <w:rsid w:val="00E61B49"/>
    <w:rsid w:val="00E61BB6"/>
    <w:rsid w:val="00E61BD2"/>
    <w:rsid w:val="00E61C56"/>
    <w:rsid w:val="00E61CB4"/>
    <w:rsid w:val="00E622D5"/>
    <w:rsid w:val="00E626EE"/>
    <w:rsid w:val="00E62C81"/>
    <w:rsid w:val="00E635AF"/>
    <w:rsid w:val="00E636B5"/>
    <w:rsid w:val="00E636CF"/>
    <w:rsid w:val="00E63977"/>
    <w:rsid w:val="00E63A54"/>
    <w:rsid w:val="00E63C8D"/>
    <w:rsid w:val="00E63E72"/>
    <w:rsid w:val="00E640E8"/>
    <w:rsid w:val="00E64769"/>
    <w:rsid w:val="00E64EF6"/>
    <w:rsid w:val="00E65236"/>
    <w:rsid w:val="00E669F7"/>
    <w:rsid w:val="00E6779D"/>
    <w:rsid w:val="00E67AA0"/>
    <w:rsid w:val="00E67C1B"/>
    <w:rsid w:val="00E67E72"/>
    <w:rsid w:val="00E704C9"/>
    <w:rsid w:val="00E7073E"/>
    <w:rsid w:val="00E70925"/>
    <w:rsid w:val="00E70A6C"/>
    <w:rsid w:val="00E70B6C"/>
    <w:rsid w:val="00E71570"/>
    <w:rsid w:val="00E722D8"/>
    <w:rsid w:val="00E72D23"/>
    <w:rsid w:val="00E733A0"/>
    <w:rsid w:val="00E737DD"/>
    <w:rsid w:val="00E73CAD"/>
    <w:rsid w:val="00E744B5"/>
    <w:rsid w:val="00E74EAA"/>
    <w:rsid w:val="00E74EEE"/>
    <w:rsid w:val="00E75716"/>
    <w:rsid w:val="00E75A94"/>
    <w:rsid w:val="00E75AD6"/>
    <w:rsid w:val="00E75F75"/>
    <w:rsid w:val="00E76D58"/>
    <w:rsid w:val="00E770AA"/>
    <w:rsid w:val="00E773B3"/>
    <w:rsid w:val="00E77567"/>
    <w:rsid w:val="00E77AE6"/>
    <w:rsid w:val="00E77F8F"/>
    <w:rsid w:val="00E8007D"/>
    <w:rsid w:val="00E801D6"/>
    <w:rsid w:val="00E807CF"/>
    <w:rsid w:val="00E80BC0"/>
    <w:rsid w:val="00E811B2"/>
    <w:rsid w:val="00E813A0"/>
    <w:rsid w:val="00E81BEB"/>
    <w:rsid w:val="00E8200F"/>
    <w:rsid w:val="00E82422"/>
    <w:rsid w:val="00E82B39"/>
    <w:rsid w:val="00E82C98"/>
    <w:rsid w:val="00E82CFF"/>
    <w:rsid w:val="00E8313B"/>
    <w:rsid w:val="00E83BAC"/>
    <w:rsid w:val="00E83CAB"/>
    <w:rsid w:val="00E840EE"/>
    <w:rsid w:val="00E84164"/>
    <w:rsid w:val="00E846B9"/>
    <w:rsid w:val="00E848D7"/>
    <w:rsid w:val="00E84A96"/>
    <w:rsid w:val="00E84CED"/>
    <w:rsid w:val="00E84CF2"/>
    <w:rsid w:val="00E85618"/>
    <w:rsid w:val="00E859A7"/>
    <w:rsid w:val="00E8608A"/>
    <w:rsid w:val="00E864BC"/>
    <w:rsid w:val="00E865C5"/>
    <w:rsid w:val="00E8668D"/>
    <w:rsid w:val="00E86796"/>
    <w:rsid w:val="00E869B1"/>
    <w:rsid w:val="00E872F5"/>
    <w:rsid w:val="00E87F2C"/>
    <w:rsid w:val="00E9059C"/>
    <w:rsid w:val="00E90C03"/>
    <w:rsid w:val="00E90FDB"/>
    <w:rsid w:val="00E9146D"/>
    <w:rsid w:val="00E917C0"/>
    <w:rsid w:val="00E920F6"/>
    <w:rsid w:val="00E920FE"/>
    <w:rsid w:val="00E92C75"/>
    <w:rsid w:val="00E92FD0"/>
    <w:rsid w:val="00E93012"/>
    <w:rsid w:val="00E93059"/>
    <w:rsid w:val="00E93285"/>
    <w:rsid w:val="00E93615"/>
    <w:rsid w:val="00E93818"/>
    <w:rsid w:val="00E93A8A"/>
    <w:rsid w:val="00E940C6"/>
    <w:rsid w:val="00E940DF"/>
    <w:rsid w:val="00E94AA8"/>
    <w:rsid w:val="00E94D36"/>
    <w:rsid w:val="00E95D2F"/>
    <w:rsid w:val="00E96050"/>
    <w:rsid w:val="00E961DB"/>
    <w:rsid w:val="00E964DC"/>
    <w:rsid w:val="00E96D3F"/>
    <w:rsid w:val="00E96E59"/>
    <w:rsid w:val="00E97105"/>
    <w:rsid w:val="00E97579"/>
    <w:rsid w:val="00E97995"/>
    <w:rsid w:val="00E97D18"/>
    <w:rsid w:val="00E97FA9"/>
    <w:rsid w:val="00EA048E"/>
    <w:rsid w:val="00EA07BC"/>
    <w:rsid w:val="00EA0F9B"/>
    <w:rsid w:val="00EA1175"/>
    <w:rsid w:val="00EA134F"/>
    <w:rsid w:val="00EA13AB"/>
    <w:rsid w:val="00EA156E"/>
    <w:rsid w:val="00EA1644"/>
    <w:rsid w:val="00EA18E8"/>
    <w:rsid w:val="00EA194C"/>
    <w:rsid w:val="00EA1EE4"/>
    <w:rsid w:val="00EA2405"/>
    <w:rsid w:val="00EA328E"/>
    <w:rsid w:val="00EA3418"/>
    <w:rsid w:val="00EA3632"/>
    <w:rsid w:val="00EA3ACD"/>
    <w:rsid w:val="00EA442E"/>
    <w:rsid w:val="00EA4572"/>
    <w:rsid w:val="00EA46EE"/>
    <w:rsid w:val="00EA4827"/>
    <w:rsid w:val="00EA4D7F"/>
    <w:rsid w:val="00EA4E17"/>
    <w:rsid w:val="00EA58A5"/>
    <w:rsid w:val="00EA6A88"/>
    <w:rsid w:val="00EA6C4C"/>
    <w:rsid w:val="00EA7514"/>
    <w:rsid w:val="00EA7E9B"/>
    <w:rsid w:val="00EB0A02"/>
    <w:rsid w:val="00EB0B7E"/>
    <w:rsid w:val="00EB1A25"/>
    <w:rsid w:val="00EB1D08"/>
    <w:rsid w:val="00EB1E3E"/>
    <w:rsid w:val="00EB22CC"/>
    <w:rsid w:val="00EB34DD"/>
    <w:rsid w:val="00EB34FA"/>
    <w:rsid w:val="00EB3AE1"/>
    <w:rsid w:val="00EB3D23"/>
    <w:rsid w:val="00EB3FFD"/>
    <w:rsid w:val="00EB463D"/>
    <w:rsid w:val="00EB4716"/>
    <w:rsid w:val="00EB51B0"/>
    <w:rsid w:val="00EB53DB"/>
    <w:rsid w:val="00EB650B"/>
    <w:rsid w:val="00EB6640"/>
    <w:rsid w:val="00EB7110"/>
    <w:rsid w:val="00EC0544"/>
    <w:rsid w:val="00EC06EB"/>
    <w:rsid w:val="00EC0986"/>
    <w:rsid w:val="00EC0F10"/>
    <w:rsid w:val="00EC191A"/>
    <w:rsid w:val="00EC1997"/>
    <w:rsid w:val="00EC1EC6"/>
    <w:rsid w:val="00EC21F2"/>
    <w:rsid w:val="00EC2A3F"/>
    <w:rsid w:val="00EC2C7E"/>
    <w:rsid w:val="00EC2CDB"/>
    <w:rsid w:val="00EC3B2D"/>
    <w:rsid w:val="00EC4104"/>
    <w:rsid w:val="00EC4402"/>
    <w:rsid w:val="00EC4652"/>
    <w:rsid w:val="00EC4C0A"/>
    <w:rsid w:val="00EC4E56"/>
    <w:rsid w:val="00EC4F94"/>
    <w:rsid w:val="00EC51D6"/>
    <w:rsid w:val="00EC5700"/>
    <w:rsid w:val="00EC5C29"/>
    <w:rsid w:val="00EC60FC"/>
    <w:rsid w:val="00EC6419"/>
    <w:rsid w:val="00EC690E"/>
    <w:rsid w:val="00EC7532"/>
    <w:rsid w:val="00EC762B"/>
    <w:rsid w:val="00EC7EC7"/>
    <w:rsid w:val="00ED00E2"/>
    <w:rsid w:val="00ED0266"/>
    <w:rsid w:val="00ED0444"/>
    <w:rsid w:val="00ED069E"/>
    <w:rsid w:val="00ED0886"/>
    <w:rsid w:val="00ED0B6E"/>
    <w:rsid w:val="00ED0B85"/>
    <w:rsid w:val="00ED0DFE"/>
    <w:rsid w:val="00ED0FA5"/>
    <w:rsid w:val="00ED0FD9"/>
    <w:rsid w:val="00ED10CE"/>
    <w:rsid w:val="00ED117C"/>
    <w:rsid w:val="00ED1855"/>
    <w:rsid w:val="00ED1F82"/>
    <w:rsid w:val="00ED2039"/>
    <w:rsid w:val="00ED2464"/>
    <w:rsid w:val="00ED2B2D"/>
    <w:rsid w:val="00ED2DDE"/>
    <w:rsid w:val="00ED2F30"/>
    <w:rsid w:val="00ED30A6"/>
    <w:rsid w:val="00ED31F6"/>
    <w:rsid w:val="00ED38D8"/>
    <w:rsid w:val="00ED3A23"/>
    <w:rsid w:val="00ED3FA1"/>
    <w:rsid w:val="00ED4268"/>
    <w:rsid w:val="00ED4474"/>
    <w:rsid w:val="00ED4E60"/>
    <w:rsid w:val="00ED50E1"/>
    <w:rsid w:val="00ED53D8"/>
    <w:rsid w:val="00ED5888"/>
    <w:rsid w:val="00ED58A9"/>
    <w:rsid w:val="00ED5A5B"/>
    <w:rsid w:val="00ED5E1E"/>
    <w:rsid w:val="00ED5FCB"/>
    <w:rsid w:val="00ED61D8"/>
    <w:rsid w:val="00ED652F"/>
    <w:rsid w:val="00ED6849"/>
    <w:rsid w:val="00ED68C3"/>
    <w:rsid w:val="00ED6D94"/>
    <w:rsid w:val="00ED7119"/>
    <w:rsid w:val="00ED72A7"/>
    <w:rsid w:val="00ED7446"/>
    <w:rsid w:val="00ED766C"/>
    <w:rsid w:val="00ED7731"/>
    <w:rsid w:val="00EE0469"/>
    <w:rsid w:val="00EE0560"/>
    <w:rsid w:val="00EE075B"/>
    <w:rsid w:val="00EE0D7A"/>
    <w:rsid w:val="00EE0E6F"/>
    <w:rsid w:val="00EE0FDC"/>
    <w:rsid w:val="00EE1032"/>
    <w:rsid w:val="00EE13D0"/>
    <w:rsid w:val="00EE1495"/>
    <w:rsid w:val="00EE1606"/>
    <w:rsid w:val="00EE16A1"/>
    <w:rsid w:val="00EE2506"/>
    <w:rsid w:val="00EE2558"/>
    <w:rsid w:val="00EE281D"/>
    <w:rsid w:val="00EE2D21"/>
    <w:rsid w:val="00EE2E1B"/>
    <w:rsid w:val="00EE2FDC"/>
    <w:rsid w:val="00EE313D"/>
    <w:rsid w:val="00EE3A9A"/>
    <w:rsid w:val="00EE3DD2"/>
    <w:rsid w:val="00EE619C"/>
    <w:rsid w:val="00EE6449"/>
    <w:rsid w:val="00EE6455"/>
    <w:rsid w:val="00EE6A97"/>
    <w:rsid w:val="00EE6B96"/>
    <w:rsid w:val="00EE7152"/>
    <w:rsid w:val="00EE7243"/>
    <w:rsid w:val="00EE7397"/>
    <w:rsid w:val="00EE75C7"/>
    <w:rsid w:val="00EE7914"/>
    <w:rsid w:val="00EE797A"/>
    <w:rsid w:val="00EE7E0E"/>
    <w:rsid w:val="00EF02E1"/>
    <w:rsid w:val="00EF0681"/>
    <w:rsid w:val="00EF1665"/>
    <w:rsid w:val="00EF1CF8"/>
    <w:rsid w:val="00EF222E"/>
    <w:rsid w:val="00EF2A27"/>
    <w:rsid w:val="00EF2A74"/>
    <w:rsid w:val="00EF2E10"/>
    <w:rsid w:val="00EF3CC3"/>
    <w:rsid w:val="00EF4252"/>
    <w:rsid w:val="00EF43CA"/>
    <w:rsid w:val="00EF49D0"/>
    <w:rsid w:val="00EF4E2E"/>
    <w:rsid w:val="00EF55C8"/>
    <w:rsid w:val="00EF56F8"/>
    <w:rsid w:val="00EF57FB"/>
    <w:rsid w:val="00EF5969"/>
    <w:rsid w:val="00EF5B87"/>
    <w:rsid w:val="00EF6453"/>
    <w:rsid w:val="00EF6459"/>
    <w:rsid w:val="00EF6E85"/>
    <w:rsid w:val="00EF6F92"/>
    <w:rsid w:val="00EF74EF"/>
    <w:rsid w:val="00EF75AE"/>
    <w:rsid w:val="00EF7761"/>
    <w:rsid w:val="00EF7BE9"/>
    <w:rsid w:val="00F0083A"/>
    <w:rsid w:val="00F00D3E"/>
    <w:rsid w:val="00F010CD"/>
    <w:rsid w:val="00F0151E"/>
    <w:rsid w:val="00F016B0"/>
    <w:rsid w:val="00F019F7"/>
    <w:rsid w:val="00F01E4B"/>
    <w:rsid w:val="00F01E65"/>
    <w:rsid w:val="00F01F52"/>
    <w:rsid w:val="00F01FC8"/>
    <w:rsid w:val="00F02754"/>
    <w:rsid w:val="00F02921"/>
    <w:rsid w:val="00F037A0"/>
    <w:rsid w:val="00F03ABB"/>
    <w:rsid w:val="00F03CC3"/>
    <w:rsid w:val="00F03CC7"/>
    <w:rsid w:val="00F04163"/>
    <w:rsid w:val="00F045D2"/>
    <w:rsid w:val="00F0499C"/>
    <w:rsid w:val="00F04E4E"/>
    <w:rsid w:val="00F054B1"/>
    <w:rsid w:val="00F0567C"/>
    <w:rsid w:val="00F05CD0"/>
    <w:rsid w:val="00F05D93"/>
    <w:rsid w:val="00F05E9F"/>
    <w:rsid w:val="00F06135"/>
    <w:rsid w:val="00F07305"/>
    <w:rsid w:val="00F0734A"/>
    <w:rsid w:val="00F0757F"/>
    <w:rsid w:val="00F07A24"/>
    <w:rsid w:val="00F07FDD"/>
    <w:rsid w:val="00F10299"/>
    <w:rsid w:val="00F107B9"/>
    <w:rsid w:val="00F10903"/>
    <w:rsid w:val="00F10D1D"/>
    <w:rsid w:val="00F1180B"/>
    <w:rsid w:val="00F1181D"/>
    <w:rsid w:val="00F12468"/>
    <w:rsid w:val="00F127FD"/>
    <w:rsid w:val="00F129C9"/>
    <w:rsid w:val="00F12B54"/>
    <w:rsid w:val="00F12C00"/>
    <w:rsid w:val="00F12C22"/>
    <w:rsid w:val="00F13211"/>
    <w:rsid w:val="00F1322E"/>
    <w:rsid w:val="00F13876"/>
    <w:rsid w:val="00F139B2"/>
    <w:rsid w:val="00F1411D"/>
    <w:rsid w:val="00F1461F"/>
    <w:rsid w:val="00F14C39"/>
    <w:rsid w:val="00F14D48"/>
    <w:rsid w:val="00F155D7"/>
    <w:rsid w:val="00F15859"/>
    <w:rsid w:val="00F1586B"/>
    <w:rsid w:val="00F15EC6"/>
    <w:rsid w:val="00F162C0"/>
    <w:rsid w:val="00F16951"/>
    <w:rsid w:val="00F16A7F"/>
    <w:rsid w:val="00F16EA3"/>
    <w:rsid w:val="00F17381"/>
    <w:rsid w:val="00F17BCA"/>
    <w:rsid w:val="00F17E45"/>
    <w:rsid w:val="00F17E62"/>
    <w:rsid w:val="00F20098"/>
    <w:rsid w:val="00F201BC"/>
    <w:rsid w:val="00F20419"/>
    <w:rsid w:val="00F205C0"/>
    <w:rsid w:val="00F2073A"/>
    <w:rsid w:val="00F20A81"/>
    <w:rsid w:val="00F20F4F"/>
    <w:rsid w:val="00F214FD"/>
    <w:rsid w:val="00F216FF"/>
    <w:rsid w:val="00F21DE3"/>
    <w:rsid w:val="00F223B6"/>
    <w:rsid w:val="00F2251E"/>
    <w:rsid w:val="00F22DE2"/>
    <w:rsid w:val="00F23395"/>
    <w:rsid w:val="00F235F2"/>
    <w:rsid w:val="00F2371C"/>
    <w:rsid w:val="00F2380B"/>
    <w:rsid w:val="00F23ADB"/>
    <w:rsid w:val="00F23D51"/>
    <w:rsid w:val="00F23F55"/>
    <w:rsid w:val="00F24562"/>
    <w:rsid w:val="00F245BA"/>
    <w:rsid w:val="00F2519B"/>
    <w:rsid w:val="00F2563D"/>
    <w:rsid w:val="00F265E9"/>
    <w:rsid w:val="00F2695A"/>
    <w:rsid w:val="00F269F7"/>
    <w:rsid w:val="00F27195"/>
    <w:rsid w:val="00F272AD"/>
    <w:rsid w:val="00F2751D"/>
    <w:rsid w:val="00F27578"/>
    <w:rsid w:val="00F27610"/>
    <w:rsid w:val="00F276E5"/>
    <w:rsid w:val="00F277BF"/>
    <w:rsid w:val="00F27B4A"/>
    <w:rsid w:val="00F3005C"/>
    <w:rsid w:val="00F30203"/>
    <w:rsid w:val="00F303F5"/>
    <w:rsid w:val="00F30EA4"/>
    <w:rsid w:val="00F30FB1"/>
    <w:rsid w:val="00F3165C"/>
    <w:rsid w:val="00F3167D"/>
    <w:rsid w:val="00F31787"/>
    <w:rsid w:val="00F3181C"/>
    <w:rsid w:val="00F31EF8"/>
    <w:rsid w:val="00F32185"/>
    <w:rsid w:val="00F322C0"/>
    <w:rsid w:val="00F32648"/>
    <w:rsid w:val="00F32844"/>
    <w:rsid w:val="00F32A1B"/>
    <w:rsid w:val="00F32E5E"/>
    <w:rsid w:val="00F32EE0"/>
    <w:rsid w:val="00F33703"/>
    <w:rsid w:val="00F337FD"/>
    <w:rsid w:val="00F339A6"/>
    <w:rsid w:val="00F33A32"/>
    <w:rsid w:val="00F33A99"/>
    <w:rsid w:val="00F33B53"/>
    <w:rsid w:val="00F33F2F"/>
    <w:rsid w:val="00F3451D"/>
    <w:rsid w:val="00F3454D"/>
    <w:rsid w:val="00F346FF"/>
    <w:rsid w:val="00F34AFC"/>
    <w:rsid w:val="00F3557D"/>
    <w:rsid w:val="00F355DA"/>
    <w:rsid w:val="00F35E0C"/>
    <w:rsid w:val="00F35E56"/>
    <w:rsid w:val="00F36463"/>
    <w:rsid w:val="00F36709"/>
    <w:rsid w:val="00F371D8"/>
    <w:rsid w:val="00F3777A"/>
    <w:rsid w:val="00F37D64"/>
    <w:rsid w:val="00F37DE6"/>
    <w:rsid w:val="00F37E01"/>
    <w:rsid w:val="00F37FC3"/>
    <w:rsid w:val="00F40643"/>
    <w:rsid w:val="00F4064C"/>
    <w:rsid w:val="00F40B79"/>
    <w:rsid w:val="00F4122F"/>
    <w:rsid w:val="00F4171E"/>
    <w:rsid w:val="00F41B32"/>
    <w:rsid w:val="00F420C3"/>
    <w:rsid w:val="00F42126"/>
    <w:rsid w:val="00F42201"/>
    <w:rsid w:val="00F42687"/>
    <w:rsid w:val="00F4286F"/>
    <w:rsid w:val="00F429E7"/>
    <w:rsid w:val="00F4327F"/>
    <w:rsid w:val="00F43292"/>
    <w:rsid w:val="00F4338E"/>
    <w:rsid w:val="00F43E17"/>
    <w:rsid w:val="00F43E42"/>
    <w:rsid w:val="00F4404E"/>
    <w:rsid w:val="00F44198"/>
    <w:rsid w:val="00F44F65"/>
    <w:rsid w:val="00F452C7"/>
    <w:rsid w:val="00F45313"/>
    <w:rsid w:val="00F459D8"/>
    <w:rsid w:val="00F45BA0"/>
    <w:rsid w:val="00F46170"/>
    <w:rsid w:val="00F468C0"/>
    <w:rsid w:val="00F46A12"/>
    <w:rsid w:val="00F47618"/>
    <w:rsid w:val="00F47693"/>
    <w:rsid w:val="00F47842"/>
    <w:rsid w:val="00F47B8F"/>
    <w:rsid w:val="00F515A3"/>
    <w:rsid w:val="00F51610"/>
    <w:rsid w:val="00F520F7"/>
    <w:rsid w:val="00F52384"/>
    <w:rsid w:val="00F5292D"/>
    <w:rsid w:val="00F52F65"/>
    <w:rsid w:val="00F52F89"/>
    <w:rsid w:val="00F5336C"/>
    <w:rsid w:val="00F540BD"/>
    <w:rsid w:val="00F54100"/>
    <w:rsid w:val="00F544E6"/>
    <w:rsid w:val="00F5506C"/>
    <w:rsid w:val="00F55571"/>
    <w:rsid w:val="00F55957"/>
    <w:rsid w:val="00F55F69"/>
    <w:rsid w:val="00F56FEB"/>
    <w:rsid w:val="00F571DF"/>
    <w:rsid w:val="00F57585"/>
    <w:rsid w:val="00F57734"/>
    <w:rsid w:val="00F577CA"/>
    <w:rsid w:val="00F600F8"/>
    <w:rsid w:val="00F604C7"/>
    <w:rsid w:val="00F607E5"/>
    <w:rsid w:val="00F60838"/>
    <w:rsid w:val="00F60965"/>
    <w:rsid w:val="00F60C9C"/>
    <w:rsid w:val="00F616FC"/>
    <w:rsid w:val="00F61D4A"/>
    <w:rsid w:val="00F61F5C"/>
    <w:rsid w:val="00F6264A"/>
    <w:rsid w:val="00F62715"/>
    <w:rsid w:val="00F631B1"/>
    <w:rsid w:val="00F632C3"/>
    <w:rsid w:val="00F63303"/>
    <w:rsid w:val="00F63ABE"/>
    <w:rsid w:val="00F6403D"/>
    <w:rsid w:val="00F64171"/>
    <w:rsid w:val="00F64A0A"/>
    <w:rsid w:val="00F64C9E"/>
    <w:rsid w:val="00F64E66"/>
    <w:rsid w:val="00F652DC"/>
    <w:rsid w:val="00F65537"/>
    <w:rsid w:val="00F65673"/>
    <w:rsid w:val="00F65771"/>
    <w:rsid w:val="00F659BC"/>
    <w:rsid w:val="00F66052"/>
    <w:rsid w:val="00F660E8"/>
    <w:rsid w:val="00F66152"/>
    <w:rsid w:val="00F6639A"/>
    <w:rsid w:val="00F66A87"/>
    <w:rsid w:val="00F678A4"/>
    <w:rsid w:val="00F67BE8"/>
    <w:rsid w:val="00F70754"/>
    <w:rsid w:val="00F70808"/>
    <w:rsid w:val="00F7083E"/>
    <w:rsid w:val="00F70DEF"/>
    <w:rsid w:val="00F70F91"/>
    <w:rsid w:val="00F71143"/>
    <w:rsid w:val="00F71393"/>
    <w:rsid w:val="00F7146E"/>
    <w:rsid w:val="00F71C75"/>
    <w:rsid w:val="00F7240C"/>
    <w:rsid w:val="00F725AE"/>
    <w:rsid w:val="00F72AFB"/>
    <w:rsid w:val="00F72C53"/>
    <w:rsid w:val="00F72E0E"/>
    <w:rsid w:val="00F7324B"/>
    <w:rsid w:val="00F738C9"/>
    <w:rsid w:val="00F7399A"/>
    <w:rsid w:val="00F73AC4"/>
    <w:rsid w:val="00F73C59"/>
    <w:rsid w:val="00F743BB"/>
    <w:rsid w:val="00F7453B"/>
    <w:rsid w:val="00F74B96"/>
    <w:rsid w:val="00F74F82"/>
    <w:rsid w:val="00F751A1"/>
    <w:rsid w:val="00F75957"/>
    <w:rsid w:val="00F75EAB"/>
    <w:rsid w:val="00F763E0"/>
    <w:rsid w:val="00F76417"/>
    <w:rsid w:val="00F76842"/>
    <w:rsid w:val="00F76D66"/>
    <w:rsid w:val="00F76EB1"/>
    <w:rsid w:val="00F76FDC"/>
    <w:rsid w:val="00F771EA"/>
    <w:rsid w:val="00F77341"/>
    <w:rsid w:val="00F7743A"/>
    <w:rsid w:val="00F77ADB"/>
    <w:rsid w:val="00F77E47"/>
    <w:rsid w:val="00F80178"/>
    <w:rsid w:val="00F801D5"/>
    <w:rsid w:val="00F801F6"/>
    <w:rsid w:val="00F80264"/>
    <w:rsid w:val="00F805F6"/>
    <w:rsid w:val="00F80AFB"/>
    <w:rsid w:val="00F80CBC"/>
    <w:rsid w:val="00F80F2D"/>
    <w:rsid w:val="00F80FD8"/>
    <w:rsid w:val="00F81E1D"/>
    <w:rsid w:val="00F823B5"/>
    <w:rsid w:val="00F825C0"/>
    <w:rsid w:val="00F82728"/>
    <w:rsid w:val="00F8309F"/>
    <w:rsid w:val="00F837E7"/>
    <w:rsid w:val="00F838F0"/>
    <w:rsid w:val="00F83920"/>
    <w:rsid w:val="00F84257"/>
    <w:rsid w:val="00F84421"/>
    <w:rsid w:val="00F84EA2"/>
    <w:rsid w:val="00F85277"/>
    <w:rsid w:val="00F852DC"/>
    <w:rsid w:val="00F853A5"/>
    <w:rsid w:val="00F855D9"/>
    <w:rsid w:val="00F8581D"/>
    <w:rsid w:val="00F858CF"/>
    <w:rsid w:val="00F85F89"/>
    <w:rsid w:val="00F86AA1"/>
    <w:rsid w:val="00F86DF6"/>
    <w:rsid w:val="00F870CC"/>
    <w:rsid w:val="00F874E4"/>
    <w:rsid w:val="00F874E5"/>
    <w:rsid w:val="00F876F1"/>
    <w:rsid w:val="00F87EA0"/>
    <w:rsid w:val="00F906A9"/>
    <w:rsid w:val="00F907CB"/>
    <w:rsid w:val="00F90880"/>
    <w:rsid w:val="00F90FDB"/>
    <w:rsid w:val="00F91CB6"/>
    <w:rsid w:val="00F9253F"/>
    <w:rsid w:val="00F92D18"/>
    <w:rsid w:val="00F939F2"/>
    <w:rsid w:val="00F94418"/>
    <w:rsid w:val="00F946BA"/>
    <w:rsid w:val="00F9474D"/>
    <w:rsid w:val="00F94A03"/>
    <w:rsid w:val="00F94DD9"/>
    <w:rsid w:val="00F94E40"/>
    <w:rsid w:val="00F94EE7"/>
    <w:rsid w:val="00F951C0"/>
    <w:rsid w:val="00F95985"/>
    <w:rsid w:val="00F95B16"/>
    <w:rsid w:val="00F95FD7"/>
    <w:rsid w:val="00F965B8"/>
    <w:rsid w:val="00F96AE6"/>
    <w:rsid w:val="00F975D6"/>
    <w:rsid w:val="00F97786"/>
    <w:rsid w:val="00F977ED"/>
    <w:rsid w:val="00FA041B"/>
    <w:rsid w:val="00FA04EC"/>
    <w:rsid w:val="00FA113F"/>
    <w:rsid w:val="00FA1263"/>
    <w:rsid w:val="00FA162A"/>
    <w:rsid w:val="00FA2169"/>
    <w:rsid w:val="00FA2428"/>
    <w:rsid w:val="00FA2933"/>
    <w:rsid w:val="00FA313C"/>
    <w:rsid w:val="00FA35A8"/>
    <w:rsid w:val="00FA3802"/>
    <w:rsid w:val="00FA43DB"/>
    <w:rsid w:val="00FA4B54"/>
    <w:rsid w:val="00FA4C88"/>
    <w:rsid w:val="00FA572A"/>
    <w:rsid w:val="00FA5BCE"/>
    <w:rsid w:val="00FA6084"/>
    <w:rsid w:val="00FA6153"/>
    <w:rsid w:val="00FA61BD"/>
    <w:rsid w:val="00FA6624"/>
    <w:rsid w:val="00FA66D0"/>
    <w:rsid w:val="00FA6E2D"/>
    <w:rsid w:val="00FA70E8"/>
    <w:rsid w:val="00FA725A"/>
    <w:rsid w:val="00FA75A3"/>
    <w:rsid w:val="00FA766F"/>
    <w:rsid w:val="00FA76D3"/>
    <w:rsid w:val="00FA79A8"/>
    <w:rsid w:val="00FA7A02"/>
    <w:rsid w:val="00FB0334"/>
    <w:rsid w:val="00FB055E"/>
    <w:rsid w:val="00FB0A45"/>
    <w:rsid w:val="00FB1606"/>
    <w:rsid w:val="00FB21E2"/>
    <w:rsid w:val="00FB2DEE"/>
    <w:rsid w:val="00FB2F08"/>
    <w:rsid w:val="00FB2F97"/>
    <w:rsid w:val="00FB30F5"/>
    <w:rsid w:val="00FB33CD"/>
    <w:rsid w:val="00FB3642"/>
    <w:rsid w:val="00FB3811"/>
    <w:rsid w:val="00FB3914"/>
    <w:rsid w:val="00FB3FB7"/>
    <w:rsid w:val="00FB41DB"/>
    <w:rsid w:val="00FB42EC"/>
    <w:rsid w:val="00FB4348"/>
    <w:rsid w:val="00FB46C5"/>
    <w:rsid w:val="00FB49A1"/>
    <w:rsid w:val="00FB4FDC"/>
    <w:rsid w:val="00FB585A"/>
    <w:rsid w:val="00FB59B8"/>
    <w:rsid w:val="00FB5AA3"/>
    <w:rsid w:val="00FB5FD8"/>
    <w:rsid w:val="00FB612B"/>
    <w:rsid w:val="00FB6198"/>
    <w:rsid w:val="00FB63FB"/>
    <w:rsid w:val="00FB6B6D"/>
    <w:rsid w:val="00FB7272"/>
    <w:rsid w:val="00FB775E"/>
    <w:rsid w:val="00FB776C"/>
    <w:rsid w:val="00FB7D36"/>
    <w:rsid w:val="00FB7FE4"/>
    <w:rsid w:val="00FC05BE"/>
    <w:rsid w:val="00FC07BE"/>
    <w:rsid w:val="00FC07C9"/>
    <w:rsid w:val="00FC119E"/>
    <w:rsid w:val="00FC159F"/>
    <w:rsid w:val="00FC1C33"/>
    <w:rsid w:val="00FC26E2"/>
    <w:rsid w:val="00FC2B52"/>
    <w:rsid w:val="00FC3B20"/>
    <w:rsid w:val="00FC3F29"/>
    <w:rsid w:val="00FC4255"/>
    <w:rsid w:val="00FC4675"/>
    <w:rsid w:val="00FC46BC"/>
    <w:rsid w:val="00FC475B"/>
    <w:rsid w:val="00FC50C1"/>
    <w:rsid w:val="00FC5248"/>
    <w:rsid w:val="00FC598E"/>
    <w:rsid w:val="00FC623F"/>
    <w:rsid w:val="00FC6393"/>
    <w:rsid w:val="00FC6579"/>
    <w:rsid w:val="00FC6738"/>
    <w:rsid w:val="00FC67C8"/>
    <w:rsid w:val="00FC68C8"/>
    <w:rsid w:val="00FC6AC4"/>
    <w:rsid w:val="00FC7A44"/>
    <w:rsid w:val="00FC7A8A"/>
    <w:rsid w:val="00FC7C4D"/>
    <w:rsid w:val="00FD0151"/>
    <w:rsid w:val="00FD02EF"/>
    <w:rsid w:val="00FD03D7"/>
    <w:rsid w:val="00FD07FC"/>
    <w:rsid w:val="00FD08AF"/>
    <w:rsid w:val="00FD0A25"/>
    <w:rsid w:val="00FD0B95"/>
    <w:rsid w:val="00FD125D"/>
    <w:rsid w:val="00FD12F9"/>
    <w:rsid w:val="00FD14A8"/>
    <w:rsid w:val="00FD1B25"/>
    <w:rsid w:val="00FD24C4"/>
    <w:rsid w:val="00FD2951"/>
    <w:rsid w:val="00FD332C"/>
    <w:rsid w:val="00FD4164"/>
    <w:rsid w:val="00FD42F2"/>
    <w:rsid w:val="00FD45F8"/>
    <w:rsid w:val="00FD49F9"/>
    <w:rsid w:val="00FD4C65"/>
    <w:rsid w:val="00FD4E33"/>
    <w:rsid w:val="00FD4FA3"/>
    <w:rsid w:val="00FD5BEC"/>
    <w:rsid w:val="00FD71B0"/>
    <w:rsid w:val="00FD73CE"/>
    <w:rsid w:val="00FD777D"/>
    <w:rsid w:val="00FD778E"/>
    <w:rsid w:val="00FD7853"/>
    <w:rsid w:val="00FE05D9"/>
    <w:rsid w:val="00FE0975"/>
    <w:rsid w:val="00FE0A55"/>
    <w:rsid w:val="00FE0BEC"/>
    <w:rsid w:val="00FE0E47"/>
    <w:rsid w:val="00FE1258"/>
    <w:rsid w:val="00FE16EC"/>
    <w:rsid w:val="00FE1DEA"/>
    <w:rsid w:val="00FE1E52"/>
    <w:rsid w:val="00FE2409"/>
    <w:rsid w:val="00FE2526"/>
    <w:rsid w:val="00FE278D"/>
    <w:rsid w:val="00FE3296"/>
    <w:rsid w:val="00FE3F66"/>
    <w:rsid w:val="00FE45F2"/>
    <w:rsid w:val="00FE4846"/>
    <w:rsid w:val="00FE48AA"/>
    <w:rsid w:val="00FE4F44"/>
    <w:rsid w:val="00FE5134"/>
    <w:rsid w:val="00FE5B84"/>
    <w:rsid w:val="00FE6084"/>
    <w:rsid w:val="00FE622F"/>
    <w:rsid w:val="00FE680F"/>
    <w:rsid w:val="00FE71B0"/>
    <w:rsid w:val="00FF0847"/>
    <w:rsid w:val="00FF0E57"/>
    <w:rsid w:val="00FF1195"/>
    <w:rsid w:val="00FF1316"/>
    <w:rsid w:val="00FF16A3"/>
    <w:rsid w:val="00FF1CA7"/>
    <w:rsid w:val="00FF1CDE"/>
    <w:rsid w:val="00FF1D60"/>
    <w:rsid w:val="00FF1DA7"/>
    <w:rsid w:val="00FF20E0"/>
    <w:rsid w:val="00FF273A"/>
    <w:rsid w:val="00FF294F"/>
    <w:rsid w:val="00FF335E"/>
    <w:rsid w:val="00FF4500"/>
    <w:rsid w:val="00FF477D"/>
    <w:rsid w:val="00FF4A30"/>
    <w:rsid w:val="00FF4DE1"/>
    <w:rsid w:val="00FF4F72"/>
    <w:rsid w:val="00FF4FD9"/>
    <w:rsid w:val="00FF52DB"/>
    <w:rsid w:val="00FF5C88"/>
    <w:rsid w:val="00FF5DCD"/>
    <w:rsid w:val="00FF61AD"/>
    <w:rsid w:val="00FF6269"/>
    <w:rsid w:val="00FF6754"/>
    <w:rsid w:val="00FF6E5E"/>
    <w:rsid w:val="00FF7114"/>
    <w:rsid w:val="00FF7269"/>
    <w:rsid w:val="00FF7855"/>
    <w:rsid w:val="00FF7932"/>
    <w:rsid w:val="01202556"/>
    <w:rsid w:val="0133005A"/>
    <w:rsid w:val="0145CCD0"/>
    <w:rsid w:val="01C6F952"/>
    <w:rsid w:val="01CCF17B"/>
    <w:rsid w:val="01E7821A"/>
    <w:rsid w:val="01FE390C"/>
    <w:rsid w:val="02021C0E"/>
    <w:rsid w:val="02426A3E"/>
    <w:rsid w:val="0247D58E"/>
    <w:rsid w:val="0266F9B2"/>
    <w:rsid w:val="02F2686D"/>
    <w:rsid w:val="03082D6E"/>
    <w:rsid w:val="0364E6C5"/>
    <w:rsid w:val="03910908"/>
    <w:rsid w:val="03A93C20"/>
    <w:rsid w:val="03EF0F6B"/>
    <w:rsid w:val="044B9BD9"/>
    <w:rsid w:val="045F68FD"/>
    <w:rsid w:val="04FCC361"/>
    <w:rsid w:val="0536FF12"/>
    <w:rsid w:val="054347FF"/>
    <w:rsid w:val="05873A42"/>
    <w:rsid w:val="05AFDF62"/>
    <w:rsid w:val="05C55D33"/>
    <w:rsid w:val="05CF2A1B"/>
    <w:rsid w:val="05DE8F71"/>
    <w:rsid w:val="060081B9"/>
    <w:rsid w:val="0626B045"/>
    <w:rsid w:val="0674DC20"/>
    <w:rsid w:val="06828005"/>
    <w:rsid w:val="06FB15C1"/>
    <w:rsid w:val="0749D194"/>
    <w:rsid w:val="07E5031E"/>
    <w:rsid w:val="0800A80D"/>
    <w:rsid w:val="0830C9D0"/>
    <w:rsid w:val="085EC2B0"/>
    <w:rsid w:val="08F0C9D0"/>
    <w:rsid w:val="08F8EC26"/>
    <w:rsid w:val="090DBEC5"/>
    <w:rsid w:val="0925C345"/>
    <w:rsid w:val="09441E59"/>
    <w:rsid w:val="0970B293"/>
    <w:rsid w:val="097C170F"/>
    <w:rsid w:val="09DCE0BB"/>
    <w:rsid w:val="0A0D2DF3"/>
    <w:rsid w:val="0A0F3AD9"/>
    <w:rsid w:val="0A23281E"/>
    <w:rsid w:val="0A60D8C2"/>
    <w:rsid w:val="0A71C48D"/>
    <w:rsid w:val="0A7E14AF"/>
    <w:rsid w:val="0A81B602"/>
    <w:rsid w:val="0AD506AF"/>
    <w:rsid w:val="0ADD23F2"/>
    <w:rsid w:val="0AF94476"/>
    <w:rsid w:val="0AFA585E"/>
    <w:rsid w:val="0AFB57D0"/>
    <w:rsid w:val="0B17E0FF"/>
    <w:rsid w:val="0B296841"/>
    <w:rsid w:val="0B5C1BAE"/>
    <w:rsid w:val="0B617591"/>
    <w:rsid w:val="0B6C3BB9"/>
    <w:rsid w:val="0B79A27B"/>
    <w:rsid w:val="0B873C42"/>
    <w:rsid w:val="0BAACECF"/>
    <w:rsid w:val="0BC45021"/>
    <w:rsid w:val="0BD9B389"/>
    <w:rsid w:val="0C0B478C"/>
    <w:rsid w:val="0C1F291A"/>
    <w:rsid w:val="0C7B826F"/>
    <w:rsid w:val="0C932F53"/>
    <w:rsid w:val="0C962B7F"/>
    <w:rsid w:val="0CAE47D5"/>
    <w:rsid w:val="0D0623D1"/>
    <w:rsid w:val="0D0A6112"/>
    <w:rsid w:val="0D14B588"/>
    <w:rsid w:val="0D3555C5"/>
    <w:rsid w:val="0D4CBC3B"/>
    <w:rsid w:val="0D5C6C2B"/>
    <w:rsid w:val="0D5E0A6E"/>
    <w:rsid w:val="0DA1AF76"/>
    <w:rsid w:val="0DC12292"/>
    <w:rsid w:val="0E2832A7"/>
    <w:rsid w:val="0E2A66D3"/>
    <w:rsid w:val="0E3891A8"/>
    <w:rsid w:val="0E90DCF4"/>
    <w:rsid w:val="0E918BF3"/>
    <w:rsid w:val="0E937ABD"/>
    <w:rsid w:val="0E96AB4E"/>
    <w:rsid w:val="0EE09F16"/>
    <w:rsid w:val="0F1C4460"/>
    <w:rsid w:val="0F5E0209"/>
    <w:rsid w:val="0F9FA62F"/>
    <w:rsid w:val="0FB191A0"/>
    <w:rsid w:val="0FB81979"/>
    <w:rsid w:val="0FBA38E1"/>
    <w:rsid w:val="10033435"/>
    <w:rsid w:val="1017BBDC"/>
    <w:rsid w:val="10574192"/>
    <w:rsid w:val="1080D139"/>
    <w:rsid w:val="10B23516"/>
    <w:rsid w:val="110CE2E2"/>
    <w:rsid w:val="1112AA52"/>
    <w:rsid w:val="112B63B8"/>
    <w:rsid w:val="112B7CF3"/>
    <w:rsid w:val="112BCDE2"/>
    <w:rsid w:val="11D92528"/>
    <w:rsid w:val="11E99166"/>
    <w:rsid w:val="12111984"/>
    <w:rsid w:val="121298A7"/>
    <w:rsid w:val="121B1344"/>
    <w:rsid w:val="122D2003"/>
    <w:rsid w:val="122F0A76"/>
    <w:rsid w:val="1271F8D8"/>
    <w:rsid w:val="12764D96"/>
    <w:rsid w:val="12BA26CF"/>
    <w:rsid w:val="12BC227C"/>
    <w:rsid w:val="12F73E2E"/>
    <w:rsid w:val="1313A53F"/>
    <w:rsid w:val="131E2664"/>
    <w:rsid w:val="1339BCD5"/>
    <w:rsid w:val="137C69A6"/>
    <w:rsid w:val="13878B0D"/>
    <w:rsid w:val="139143F1"/>
    <w:rsid w:val="13B2F4A3"/>
    <w:rsid w:val="13C1ABDC"/>
    <w:rsid w:val="140D7AA7"/>
    <w:rsid w:val="140DB75D"/>
    <w:rsid w:val="14111F41"/>
    <w:rsid w:val="142DCC2B"/>
    <w:rsid w:val="1445BD52"/>
    <w:rsid w:val="145ECA21"/>
    <w:rsid w:val="147733B3"/>
    <w:rsid w:val="14ABBE51"/>
    <w:rsid w:val="14B96ABA"/>
    <w:rsid w:val="14C6B26D"/>
    <w:rsid w:val="14F742B7"/>
    <w:rsid w:val="154C8AA8"/>
    <w:rsid w:val="15566F76"/>
    <w:rsid w:val="15786B12"/>
    <w:rsid w:val="15849DB2"/>
    <w:rsid w:val="15854733"/>
    <w:rsid w:val="15CF5928"/>
    <w:rsid w:val="15DD1E68"/>
    <w:rsid w:val="16278D32"/>
    <w:rsid w:val="16285F6D"/>
    <w:rsid w:val="163AC8EC"/>
    <w:rsid w:val="167C8DF9"/>
    <w:rsid w:val="1686FB1D"/>
    <w:rsid w:val="17583241"/>
    <w:rsid w:val="176AF4AF"/>
    <w:rsid w:val="17A98F69"/>
    <w:rsid w:val="17DB70F0"/>
    <w:rsid w:val="17F135AC"/>
    <w:rsid w:val="180E877C"/>
    <w:rsid w:val="1844E9F3"/>
    <w:rsid w:val="184E5135"/>
    <w:rsid w:val="184FFD6D"/>
    <w:rsid w:val="187418B1"/>
    <w:rsid w:val="188A05E4"/>
    <w:rsid w:val="18A3345A"/>
    <w:rsid w:val="18CA25ED"/>
    <w:rsid w:val="18CD1D15"/>
    <w:rsid w:val="18DB1358"/>
    <w:rsid w:val="18DC314A"/>
    <w:rsid w:val="19138328"/>
    <w:rsid w:val="19273427"/>
    <w:rsid w:val="192C01ED"/>
    <w:rsid w:val="196D5CE5"/>
    <w:rsid w:val="197CF25E"/>
    <w:rsid w:val="19AC269F"/>
    <w:rsid w:val="1A034961"/>
    <w:rsid w:val="1A084B0E"/>
    <w:rsid w:val="1A13605C"/>
    <w:rsid w:val="1A2B3F43"/>
    <w:rsid w:val="1A60B2E6"/>
    <w:rsid w:val="1A94E69D"/>
    <w:rsid w:val="1AD9BC63"/>
    <w:rsid w:val="1AF108EC"/>
    <w:rsid w:val="1B364432"/>
    <w:rsid w:val="1B9B645C"/>
    <w:rsid w:val="1BAD1983"/>
    <w:rsid w:val="1BB2BDAF"/>
    <w:rsid w:val="1BD95CB7"/>
    <w:rsid w:val="1C4B1F3B"/>
    <w:rsid w:val="1C5B4E43"/>
    <w:rsid w:val="1C93013C"/>
    <w:rsid w:val="1CD1E390"/>
    <w:rsid w:val="1CEEB102"/>
    <w:rsid w:val="1CF3A439"/>
    <w:rsid w:val="1D62E005"/>
    <w:rsid w:val="1D71727E"/>
    <w:rsid w:val="1D762B2E"/>
    <w:rsid w:val="1D85B548"/>
    <w:rsid w:val="1DA1B49F"/>
    <w:rsid w:val="1DFA1134"/>
    <w:rsid w:val="1E04A14F"/>
    <w:rsid w:val="1E5F9BDC"/>
    <w:rsid w:val="1E6F08C5"/>
    <w:rsid w:val="1EAB6E40"/>
    <w:rsid w:val="1F33B78B"/>
    <w:rsid w:val="1F691FE9"/>
    <w:rsid w:val="1FC110E0"/>
    <w:rsid w:val="206986D3"/>
    <w:rsid w:val="20750DEE"/>
    <w:rsid w:val="209A80C7"/>
    <w:rsid w:val="20CF3100"/>
    <w:rsid w:val="20D05602"/>
    <w:rsid w:val="20FD3A50"/>
    <w:rsid w:val="213ACE23"/>
    <w:rsid w:val="213FB9FE"/>
    <w:rsid w:val="2154D632"/>
    <w:rsid w:val="2167A289"/>
    <w:rsid w:val="21908A1F"/>
    <w:rsid w:val="2194F3D4"/>
    <w:rsid w:val="219B042A"/>
    <w:rsid w:val="21B10BB3"/>
    <w:rsid w:val="21C621AC"/>
    <w:rsid w:val="21D2B2CD"/>
    <w:rsid w:val="222B37BC"/>
    <w:rsid w:val="2248C549"/>
    <w:rsid w:val="224E29E2"/>
    <w:rsid w:val="225A2AF2"/>
    <w:rsid w:val="2270D77F"/>
    <w:rsid w:val="22885C54"/>
    <w:rsid w:val="22AC4312"/>
    <w:rsid w:val="22D95E17"/>
    <w:rsid w:val="231A2846"/>
    <w:rsid w:val="232C6FC8"/>
    <w:rsid w:val="234C6EF6"/>
    <w:rsid w:val="2366196C"/>
    <w:rsid w:val="23AAF525"/>
    <w:rsid w:val="2468841F"/>
    <w:rsid w:val="2479157E"/>
    <w:rsid w:val="249CC3A2"/>
    <w:rsid w:val="2572BCC3"/>
    <w:rsid w:val="25B51E24"/>
    <w:rsid w:val="25C2D03C"/>
    <w:rsid w:val="25F1F767"/>
    <w:rsid w:val="25F82CC7"/>
    <w:rsid w:val="261BF541"/>
    <w:rsid w:val="268236FC"/>
    <w:rsid w:val="26AE6A39"/>
    <w:rsid w:val="26DAA62F"/>
    <w:rsid w:val="26EB0899"/>
    <w:rsid w:val="26EEA363"/>
    <w:rsid w:val="26F1636E"/>
    <w:rsid w:val="26F85ECC"/>
    <w:rsid w:val="27067EE8"/>
    <w:rsid w:val="270FD324"/>
    <w:rsid w:val="2731C153"/>
    <w:rsid w:val="275D5025"/>
    <w:rsid w:val="276B0C80"/>
    <w:rsid w:val="27D459D0"/>
    <w:rsid w:val="2805E034"/>
    <w:rsid w:val="28281CD9"/>
    <w:rsid w:val="282C2DD1"/>
    <w:rsid w:val="2835D1AE"/>
    <w:rsid w:val="28C10448"/>
    <w:rsid w:val="28DE77F9"/>
    <w:rsid w:val="28E95AAB"/>
    <w:rsid w:val="2907A4C9"/>
    <w:rsid w:val="29375AB9"/>
    <w:rsid w:val="29397124"/>
    <w:rsid w:val="29420BB3"/>
    <w:rsid w:val="29656D6E"/>
    <w:rsid w:val="29698B46"/>
    <w:rsid w:val="298E99A6"/>
    <w:rsid w:val="29A13E36"/>
    <w:rsid w:val="29C7B424"/>
    <w:rsid w:val="29CFBEA2"/>
    <w:rsid w:val="2A095A52"/>
    <w:rsid w:val="2A183365"/>
    <w:rsid w:val="2A4248F4"/>
    <w:rsid w:val="2A6C637A"/>
    <w:rsid w:val="2AD6964A"/>
    <w:rsid w:val="2AE8DB6F"/>
    <w:rsid w:val="2B1BFDA3"/>
    <w:rsid w:val="2B20C54F"/>
    <w:rsid w:val="2B5C420C"/>
    <w:rsid w:val="2BDF28BD"/>
    <w:rsid w:val="2C01E8F3"/>
    <w:rsid w:val="2C0A9955"/>
    <w:rsid w:val="2C12B6FA"/>
    <w:rsid w:val="2C274321"/>
    <w:rsid w:val="2C3D7294"/>
    <w:rsid w:val="2C524F73"/>
    <w:rsid w:val="2CB274A6"/>
    <w:rsid w:val="2CE31EAC"/>
    <w:rsid w:val="2CE4A29F"/>
    <w:rsid w:val="2D0F3737"/>
    <w:rsid w:val="2D209A00"/>
    <w:rsid w:val="2D24A427"/>
    <w:rsid w:val="2D3657A4"/>
    <w:rsid w:val="2D55F112"/>
    <w:rsid w:val="2DCFF446"/>
    <w:rsid w:val="2E05F014"/>
    <w:rsid w:val="2E190A12"/>
    <w:rsid w:val="2E57DBEC"/>
    <w:rsid w:val="2E8F4B08"/>
    <w:rsid w:val="2E916A44"/>
    <w:rsid w:val="2EA62507"/>
    <w:rsid w:val="2EC94AFC"/>
    <w:rsid w:val="2ED85279"/>
    <w:rsid w:val="2ED92445"/>
    <w:rsid w:val="2EE121E4"/>
    <w:rsid w:val="2F0DA970"/>
    <w:rsid w:val="2F571608"/>
    <w:rsid w:val="2F5BC43B"/>
    <w:rsid w:val="2F64A5AB"/>
    <w:rsid w:val="2F761E18"/>
    <w:rsid w:val="2F943129"/>
    <w:rsid w:val="302A3F2E"/>
    <w:rsid w:val="302FAAE3"/>
    <w:rsid w:val="30432D4E"/>
    <w:rsid w:val="30517A09"/>
    <w:rsid w:val="306D3B5C"/>
    <w:rsid w:val="30A59D52"/>
    <w:rsid w:val="30F7FF96"/>
    <w:rsid w:val="311588B0"/>
    <w:rsid w:val="31198275"/>
    <w:rsid w:val="3161C464"/>
    <w:rsid w:val="318B3F27"/>
    <w:rsid w:val="31928457"/>
    <w:rsid w:val="3196A0D3"/>
    <w:rsid w:val="319C1BC5"/>
    <w:rsid w:val="31C66F96"/>
    <w:rsid w:val="321D528F"/>
    <w:rsid w:val="32456C5B"/>
    <w:rsid w:val="32577C28"/>
    <w:rsid w:val="32678109"/>
    <w:rsid w:val="326D8783"/>
    <w:rsid w:val="32F89A76"/>
    <w:rsid w:val="32FFA890"/>
    <w:rsid w:val="330DE72B"/>
    <w:rsid w:val="331C361D"/>
    <w:rsid w:val="331D037B"/>
    <w:rsid w:val="3320BE0F"/>
    <w:rsid w:val="33572862"/>
    <w:rsid w:val="337DD323"/>
    <w:rsid w:val="33C40884"/>
    <w:rsid w:val="33D87C97"/>
    <w:rsid w:val="33D9085F"/>
    <w:rsid w:val="33F4D1EA"/>
    <w:rsid w:val="3414C2CA"/>
    <w:rsid w:val="347F54F1"/>
    <w:rsid w:val="34B4DC9A"/>
    <w:rsid w:val="34C2DFE9"/>
    <w:rsid w:val="34C39984"/>
    <w:rsid w:val="35584F36"/>
    <w:rsid w:val="356B8E15"/>
    <w:rsid w:val="35854B87"/>
    <w:rsid w:val="358F7341"/>
    <w:rsid w:val="35AE6BAB"/>
    <w:rsid w:val="35F5A9AD"/>
    <w:rsid w:val="360F4956"/>
    <w:rsid w:val="363E35E8"/>
    <w:rsid w:val="3659C760"/>
    <w:rsid w:val="3665C3B5"/>
    <w:rsid w:val="3667344D"/>
    <w:rsid w:val="36A561FF"/>
    <w:rsid w:val="372163FE"/>
    <w:rsid w:val="3732423B"/>
    <w:rsid w:val="3755E558"/>
    <w:rsid w:val="377B2AF5"/>
    <w:rsid w:val="379588F7"/>
    <w:rsid w:val="37973E8E"/>
    <w:rsid w:val="37A81435"/>
    <w:rsid w:val="37C9F935"/>
    <w:rsid w:val="380F6D47"/>
    <w:rsid w:val="381F81B1"/>
    <w:rsid w:val="38255319"/>
    <w:rsid w:val="386DA6AB"/>
    <w:rsid w:val="388AD12A"/>
    <w:rsid w:val="38E2E459"/>
    <w:rsid w:val="38E66C54"/>
    <w:rsid w:val="38F96EDB"/>
    <w:rsid w:val="38FEBE05"/>
    <w:rsid w:val="3935D2AB"/>
    <w:rsid w:val="39A9C167"/>
    <w:rsid w:val="39E7CDBE"/>
    <w:rsid w:val="39FC1A6A"/>
    <w:rsid w:val="39FDEFAA"/>
    <w:rsid w:val="3A1425E0"/>
    <w:rsid w:val="3A1DDD4A"/>
    <w:rsid w:val="3A21C42B"/>
    <w:rsid w:val="3A2A9309"/>
    <w:rsid w:val="3A2D9542"/>
    <w:rsid w:val="3A731726"/>
    <w:rsid w:val="3A9C72C2"/>
    <w:rsid w:val="3AB65D0A"/>
    <w:rsid w:val="3AC123DD"/>
    <w:rsid w:val="3B1BF738"/>
    <w:rsid w:val="3B2DA6C9"/>
    <w:rsid w:val="3BCAABCE"/>
    <w:rsid w:val="3C46995E"/>
    <w:rsid w:val="3C5F346E"/>
    <w:rsid w:val="3C81D320"/>
    <w:rsid w:val="3CB1193E"/>
    <w:rsid w:val="3CC5F342"/>
    <w:rsid w:val="3CF6EE55"/>
    <w:rsid w:val="3D176CFD"/>
    <w:rsid w:val="3D3299EA"/>
    <w:rsid w:val="3D62EAF0"/>
    <w:rsid w:val="3D863F1C"/>
    <w:rsid w:val="3DAC031C"/>
    <w:rsid w:val="3E66E0EC"/>
    <w:rsid w:val="3E88DF0B"/>
    <w:rsid w:val="3E91C492"/>
    <w:rsid w:val="3EE57876"/>
    <w:rsid w:val="3EFC2C10"/>
    <w:rsid w:val="3F1F9B8E"/>
    <w:rsid w:val="3F235945"/>
    <w:rsid w:val="3F32A693"/>
    <w:rsid w:val="3F431354"/>
    <w:rsid w:val="3F4CF282"/>
    <w:rsid w:val="3F9E51C7"/>
    <w:rsid w:val="3FEA196A"/>
    <w:rsid w:val="4007EEB4"/>
    <w:rsid w:val="4020FC2F"/>
    <w:rsid w:val="4088280F"/>
    <w:rsid w:val="40D761C2"/>
    <w:rsid w:val="40DB99CA"/>
    <w:rsid w:val="40DF1A2B"/>
    <w:rsid w:val="41123C16"/>
    <w:rsid w:val="4177DFF9"/>
    <w:rsid w:val="417E0109"/>
    <w:rsid w:val="417F76D9"/>
    <w:rsid w:val="41915EAD"/>
    <w:rsid w:val="419CE53E"/>
    <w:rsid w:val="41B3D83C"/>
    <w:rsid w:val="41DA031C"/>
    <w:rsid w:val="42366553"/>
    <w:rsid w:val="4241934C"/>
    <w:rsid w:val="426BFC3C"/>
    <w:rsid w:val="4284E6C0"/>
    <w:rsid w:val="42AB8C82"/>
    <w:rsid w:val="42E840B8"/>
    <w:rsid w:val="42F25F32"/>
    <w:rsid w:val="4321332F"/>
    <w:rsid w:val="434B36E0"/>
    <w:rsid w:val="435B74D2"/>
    <w:rsid w:val="438706DE"/>
    <w:rsid w:val="43899BA7"/>
    <w:rsid w:val="43A62322"/>
    <w:rsid w:val="43B54704"/>
    <w:rsid w:val="43BF66A4"/>
    <w:rsid w:val="43D2E302"/>
    <w:rsid w:val="44031B9C"/>
    <w:rsid w:val="4414826F"/>
    <w:rsid w:val="444D8226"/>
    <w:rsid w:val="445AF250"/>
    <w:rsid w:val="4491EB1A"/>
    <w:rsid w:val="44CBECC6"/>
    <w:rsid w:val="44CFFC8C"/>
    <w:rsid w:val="45213833"/>
    <w:rsid w:val="452F7EFE"/>
    <w:rsid w:val="45C9186A"/>
    <w:rsid w:val="45E06D31"/>
    <w:rsid w:val="45F8CBA1"/>
    <w:rsid w:val="4681F3D9"/>
    <w:rsid w:val="46840363"/>
    <w:rsid w:val="46A07DE4"/>
    <w:rsid w:val="46AC7C26"/>
    <w:rsid w:val="480446B8"/>
    <w:rsid w:val="4821C8B0"/>
    <w:rsid w:val="48289904"/>
    <w:rsid w:val="484E4F83"/>
    <w:rsid w:val="48F4FFAC"/>
    <w:rsid w:val="490786AE"/>
    <w:rsid w:val="4912D88C"/>
    <w:rsid w:val="491503CE"/>
    <w:rsid w:val="495584D7"/>
    <w:rsid w:val="49924CB7"/>
    <w:rsid w:val="49AB52E3"/>
    <w:rsid w:val="49FE9929"/>
    <w:rsid w:val="4A0A2B66"/>
    <w:rsid w:val="4A4786D8"/>
    <w:rsid w:val="4AD578B5"/>
    <w:rsid w:val="4B185D8A"/>
    <w:rsid w:val="4B362CAE"/>
    <w:rsid w:val="4B5D252D"/>
    <w:rsid w:val="4B71B4F2"/>
    <w:rsid w:val="4B9B76F1"/>
    <w:rsid w:val="4BA1C5F2"/>
    <w:rsid w:val="4BFCC7C6"/>
    <w:rsid w:val="4C1FC8D7"/>
    <w:rsid w:val="4C361B8E"/>
    <w:rsid w:val="4C3DF0F4"/>
    <w:rsid w:val="4C5E7932"/>
    <w:rsid w:val="4C9E0E49"/>
    <w:rsid w:val="4CFF2EF2"/>
    <w:rsid w:val="4D892589"/>
    <w:rsid w:val="4D8BD080"/>
    <w:rsid w:val="4D8E22A7"/>
    <w:rsid w:val="4D920DF5"/>
    <w:rsid w:val="4DB79418"/>
    <w:rsid w:val="4DE1C0FE"/>
    <w:rsid w:val="4DED8F05"/>
    <w:rsid w:val="4DFE587E"/>
    <w:rsid w:val="4E486360"/>
    <w:rsid w:val="4E5AE89C"/>
    <w:rsid w:val="4E63F5D8"/>
    <w:rsid w:val="4E77E6D8"/>
    <w:rsid w:val="4E7A66B7"/>
    <w:rsid w:val="4E7E3823"/>
    <w:rsid w:val="4E8D8160"/>
    <w:rsid w:val="4EDBFEAF"/>
    <w:rsid w:val="4EF6AB86"/>
    <w:rsid w:val="4F19A8E9"/>
    <w:rsid w:val="4F574514"/>
    <w:rsid w:val="4F9CD02D"/>
    <w:rsid w:val="4FCC5D2E"/>
    <w:rsid w:val="4FD91DB6"/>
    <w:rsid w:val="4FED6B1B"/>
    <w:rsid w:val="50181391"/>
    <w:rsid w:val="5058D6DF"/>
    <w:rsid w:val="507AD4CD"/>
    <w:rsid w:val="509022F1"/>
    <w:rsid w:val="50979250"/>
    <w:rsid w:val="509BB1F3"/>
    <w:rsid w:val="50C52FC0"/>
    <w:rsid w:val="50CEE0BF"/>
    <w:rsid w:val="50D37032"/>
    <w:rsid w:val="50E3FC8F"/>
    <w:rsid w:val="50E6BEB6"/>
    <w:rsid w:val="5120B3FB"/>
    <w:rsid w:val="5126029D"/>
    <w:rsid w:val="5147D75F"/>
    <w:rsid w:val="5161A3A6"/>
    <w:rsid w:val="5173D7DD"/>
    <w:rsid w:val="5197EE95"/>
    <w:rsid w:val="51ABA41D"/>
    <w:rsid w:val="51AEAC92"/>
    <w:rsid w:val="51DBAE97"/>
    <w:rsid w:val="51E756BB"/>
    <w:rsid w:val="5214F83E"/>
    <w:rsid w:val="522BE3AC"/>
    <w:rsid w:val="527B88D9"/>
    <w:rsid w:val="527F0C14"/>
    <w:rsid w:val="5293BBE6"/>
    <w:rsid w:val="52B07E29"/>
    <w:rsid w:val="52CEBB6C"/>
    <w:rsid w:val="53238043"/>
    <w:rsid w:val="5357FF29"/>
    <w:rsid w:val="537B8B28"/>
    <w:rsid w:val="539ED5C8"/>
    <w:rsid w:val="53DCF3D7"/>
    <w:rsid w:val="540ACDC1"/>
    <w:rsid w:val="5493389E"/>
    <w:rsid w:val="54AFF813"/>
    <w:rsid w:val="54C64838"/>
    <w:rsid w:val="54E50700"/>
    <w:rsid w:val="54F232CB"/>
    <w:rsid w:val="5518CA16"/>
    <w:rsid w:val="55687074"/>
    <w:rsid w:val="558F5B23"/>
    <w:rsid w:val="55BDA653"/>
    <w:rsid w:val="55C6573A"/>
    <w:rsid w:val="55D855DB"/>
    <w:rsid w:val="55DABA2D"/>
    <w:rsid w:val="565C6CC4"/>
    <w:rsid w:val="56785577"/>
    <w:rsid w:val="567F7188"/>
    <w:rsid w:val="56800DCC"/>
    <w:rsid w:val="572EAAAF"/>
    <w:rsid w:val="57397EA2"/>
    <w:rsid w:val="576C3BD5"/>
    <w:rsid w:val="5777B0E4"/>
    <w:rsid w:val="57862F50"/>
    <w:rsid w:val="57868B04"/>
    <w:rsid w:val="58082341"/>
    <w:rsid w:val="582067BA"/>
    <w:rsid w:val="582D720A"/>
    <w:rsid w:val="58490CB6"/>
    <w:rsid w:val="584E94F5"/>
    <w:rsid w:val="5858762A"/>
    <w:rsid w:val="586CF0A2"/>
    <w:rsid w:val="593CE028"/>
    <w:rsid w:val="596746BE"/>
    <w:rsid w:val="59E1BC3F"/>
    <w:rsid w:val="59F657ED"/>
    <w:rsid w:val="5A461200"/>
    <w:rsid w:val="5A47500D"/>
    <w:rsid w:val="5A6B78EA"/>
    <w:rsid w:val="5AB31E67"/>
    <w:rsid w:val="5B5E826F"/>
    <w:rsid w:val="5B60772D"/>
    <w:rsid w:val="5B70D133"/>
    <w:rsid w:val="5B71D183"/>
    <w:rsid w:val="5B85B88E"/>
    <w:rsid w:val="5BB293C5"/>
    <w:rsid w:val="5BBA9518"/>
    <w:rsid w:val="5BDCF742"/>
    <w:rsid w:val="5BDF9BAA"/>
    <w:rsid w:val="5C7FD958"/>
    <w:rsid w:val="5C88639F"/>
    <w:rsid w:val="5D1170D9"/>
    <w:rsid w:val="5D7A7398"/>
    <w:rsid w:val="5DBE6241"/>
    <w:rsid w:val="5DC4B706"/>
    <w:rsid w:val="5DC60F0B"/>
    <w:rsid w:val="5E030E91"/>
    <w:rsid w:val="5E3A0BA0"/>
    <w:rsid w:val="5E4419E5"/>
    <w:rsid w:val="5E492661"/>
    <w:rsid w:val="5E967EB4"/>
    <w:rsid w:val="5EAACBBA"/>
    <w:rsid w:val="5F188148"/>
    <w:rsid w:val="5F9E0F7D"/>
    <w:rsid w:val="5FACDFB2"/>
    <w:rsid w:val="5FC5F88F"/>
    <w:rsid w:val="5FD06644"/>
    <w:rsid w:val="5FE15222"/>
    <w:rsid w:val="5FF6AAF3"/>
    <w:rsid w:val="5FFC3977"/>
    <w:rsid w:val="60009B8A"/>
    <w:rsid w:val="604241A7"/>
    <w:rsid w:val="60459E42"/>
    <w:rsid w:val="604F7D28"/>
    <w:rsid w:val="6068268E"/>
    <w:rsid w:val="60C4DC17"/>
    <w:rsid w:val="60DF4674"/>
    <w:rsid w:val="60F8D538"/>
    <w:rsid w:val="61BE764D"/>
    <w:rsid w:val="61C08DDD"/>
    <w:rsid w:val="62165510"/>
    <w:rsid w:val="628F6C62"/>
    <w:rsid w:val="62970A44"/>
    <w:rsid w:val="62B82169"/>
    <w:rsid w:val="630DBCDD"/>
    <w:rsid w:val="630FA66A"/>
    <w:rsid w:val="634E7805"/>
    <w:rsid w:val="6354DEDE"/>
    <w:rsid w:val="635A3635"/>
    <w:rsid w:val="63776615"/>
    <w:rsid w:val="637BD611"/>
    <w:rsid w:val="63C57C7C"/>
    <w:rsid w:val="63CD84E4"/>
    <w:rsid w:val="63D48915"/>
    <w:rsid w:val="643A8329"/>
    <w:rsid w:val="64B9EADF"/>
    <w:rsid w:val="64C30AA5"/>
    <w:rsid w:val="64CEB1C1"/>
    <w:rsid w:val="6510D935"/>
    <w:rsid w:val="656BD5A3"/>
    <w:rsid w:val="6575B888"/>
    <w:rsid w:val="657D8162"/>
    <w:rsid w:val="6585BE60"/>
    <w:rsid w:val="6597D03F"/>
    <w:rsid w:val="65B84E90"/>
    <w:rsid w:val="6666904F"/>
    <w:rsid w:val="66889882"/>
    <w:rsid w:val="66B389C9"/>
    <w:rsid w:val="66CD7B26"/>
    <w:rsid w:val="672E85E1"/>
    <w:rsid w:val="67350479"/>
    <w:rsid w:val="6767707A"/>
    <w:rsid w:val="67AD3075"/>
    <w:rsid w:val="67D699C2"/>
    <w:rsid w:val="680CBB69"/>
    <w:rsid w:val="6824F326"/>
    <w:rsid w:val="682FDAA1"/>
    <w:rsid w:val="68462367"/>
    <w:rsid w:val="68525946"/>
    <w:rsid w:val="6864D86B"/>
    <w:rsid w:val="687E892B"/>
    <w:rsid w:val="688AE017"/>
    <w:rsid w:val="68AC8CE3"/>
    <w:rsid w:val="68B22F8A"/>
    <w:rsid w:val="68BF06FD"/>
    <w:rsid w:val="68CDDC88"/>
    <w:rsid w:val="68D3CED7"/>
    <w:rsid w:val="68EE9DA4"/>
    <w:rsid w:val="68F3AA2A"/>
    <w:rsid w:val="68F5C696"/>
    <w:rsid w:val="691FB86F"/>
    <w:rsid w:val="695A1CB5"/>
    <w:rsid w:val="69723B54"/>
    <w:rsid w:val="6979A30E"/>
    <w:rsid w:val="69A303CD"/>
    <w:rsid w:val="69DC72CA"/>
    <w:rsid w:val="69F3847B"/>
    <w:rsid w:val="6A0EDB12"/>
    <w:rsid w:val="6A5B8585"/>
    <w:rsid w:val="6A79AB94"/>
    <w:rsid w:val="6AEE9963"/>
    <w:rsid w:val="6AF3E9EF"/>
    <w:rsid w:val="6B0F2E3B"/>
    <w:rsid w:val="6B819029"/>
    <w:rsid w:val="6BA22F68"/>
    <w:rsid w:val="6BB99643"/>
    <w:rsid w:val="6BD1A0F0"/>
    <w:rsid w:val="6BD6FAA8"/>
    <w:rsid w:val="6BE72805"/>
    <w:rsid w:val="6C075F6F"/>
    <w:rsid w:val="6C36DEEE"/>
    <w:rsid w:val="6C442514"/>
    <w:rsid w:val="6C617035"/>
    <w:rsid w:val="6C7CD38D"/>
    <w:rsid w:val="6C85599C"/>
    <w:rsid w:val="6CA50442"/>
    <w:rsid w:val="6CC30462"/>
    <w:rsid w:val="6CE05177"/>
    <w:rsid w:val="6CFA4AD0"/>
    <w:rsid w:val="6D04E411"/>
    <w:rsid w:val="6D0A46EC"/>
    <w:rsid w:val="6D2CEEAB"/>
    <w:rsid w:val="6D35D25E"/>
    <w:rsid w:val="6D5872BD"/>
    <w:rsid w:val="6D9A2FC3"/>
    <w:rsid w:val="6DA26023"/>
    <w:rsid w:val="6DA93F38"/>
    <w:rsid w:val="6E1C01FF"/>
    <w:rsid w:val="6E46B88D"/>
    <w:rsid w:val="6E912E9B"/>
    <w:rsid w:val="6E937BD0"/>
    <w:rsid w:val="6EA048B8"/>
    <w:rsid w:val="6EF5117B"/>
    <w:rsid w:val="6F208148"/>
    <w:rsid w:val="6F3A2FF4"/>
    <w:rsid w:val="6F95183D"/>
    <w:rsid w:val="6FAA5053"/>
    <w:rsid w:val="6FAFB7F8"/>
    <w:rsid w:val="6FC46C91"/>
    <w:rsid w:val="6FDEF5AD"/>
    <w:rsid w:val="6FF197D2"/>
    <w:rsid w:val="6FFA0A08"/>
    <w:rsid w:val="6FFECA4C"/>
    <w:rsid w:val="702AF6A3"/>
    <w:rsid w:val="703AFC3F"/>
    <w:rsid w:val="707E93D5"/>
    <w:rsid w:val="709F8308"/>
    <w:rsid w:val="70CC75AD"/>
    <w:rsid w:val="70CD0F31"/>
    <w:rsid w:val="70E38553"/>
    <w:rsid w:val="70F9BD47"/>
    <w:rsid w:val="70FD3830"/>
    <w:rsid w:val="71188B80"/>
    <w:rsid w:val="71930F28"/>
    <w:rsid w:val="71C6C6DD"/>
    <w:rsid w:val="71EBB89E"/>
    <w:rsid w:val="71EEAE1B"/>
    <w:rsid w:val="71F48DBD"/>
    <w:rsid w:val="71FC1320"/>
    <w:rsid w:val="7259F75C"/>
    <w:rsid w:val="72666172"/>
    <w:rsid w:val="7339CA18"/>
    <w:rsid w:val="73A0F101"/>
    <w:rsid w:val="73EAE9C8"/>
    <w:rsid w:val="740189DD"/>
    <w:rsid w:val="74092BB5"/>
    <w:rsid w:val="74492649"/>
    <w:rsid w:val="745C9C5C"/>
    <w:rsid w:val="747B259E"/>
    <w:rsid w:val="74899FDB"/>
    <w:rsid w:val="74D2D705"/>
    <w:rsid w:val="74FE1B5D"/>
    <w:rsid w:val="75160B95"/>
    <w:rsid w:val="753AD1EE"/>
    <w:rsid w:val="754B9000"/>
    <w:rsid w:val="756A2C59"/>
    <w:rsid w:val="757E011C"/>
    <w:rsid w:val="75E4E931"/>
    <w:rsid w:val="76085765"/>
    <w:rsid w:val="762211B1"/>
    <w:rsid w:val="763199EA"/>
    <w:rsid w:val="767B7C53"/>
    <w:rsid w:val="76A03820"/>
    <w:rsid w:val="76A26630"/>
    <w:rsid w:val="76F4F564"/>
    <w:rsid w:val="76FECB6E"/>
    <w:rsid w:val="770B5615"/>
    <w:rsid w:val="778FE80E"/>
    <w:rsid w:val="77956451"/>
    <w:rsid w:val="7803AB89"/>
    <w:rsid w:val="785B1342"/>
    <w:rsid w:val="7861F9FD"/>
    <w:rsid w:val="78640A3D"/>
    <w:rsid w:val="788496F3"/>
    <w:rsid w:val="788E45AA"/>
    <w:rsid w:val="789C48E1"/>
    <w:rsid w:val="78AD485B"/>
    <w:rsid w:val="78C8266D"/>
    <w:rsid w:val="78E346DA"/>
    <w:rsid w:val="78E8563A"/>
    <w:rsid w:val="78F7A612"/>
    <w:rsid w:val="78FF1543"/>
    <w:rsid w:val="7908B460"/>
    <w:rsid w:val="790A80CB"/>
    <w:rsid w:val="79381B95"/>
    <w:rsid w:val="796CC228"/>
    <w:rsid w:val="79D45F83"/>
    <w:rsid w:val="7A268074"/>
    <w:rsid w:val="7A3C755D"/>
    <w:rsid w:val="7A5EC9F7"/>
    <w:rsid w:val="7AF465F4"/>
    <w:rsid w:val="7B15161B"/>
    <w:rsid w:val="7B2E57BD"/>
    <w:rsid w:val="7B378317"/>
    <w:rsid w:val="7C5874D9"/>
    <w:rsid w:val="7CCCBCD8"/>
    <w:rsid w:val="7CD0AC8E"/>
    <w:rsid w:val="7D0BD65B"/>
    <w:rsid w:val="7D1204C4"/>
    <w:rsid w:val="7D17AF12"/>
    <w:rsid w:val="7D970B57"/>
    <w:rsid w:val="7DC6D1B5"/>
    <w:rsid w:val="7E6066A9"/>
    <w:rsid w:val="7E6A675D"/>
    <w:rsid w:val="7E7F8F5E"/>
    <w:rsid w:val="7E99B2B8"/>
    <w:rsid w:val="7EB2BFCA"/>
    <w:rsid w:val="7ECD8E32"/>
    <w:rsid w:val="7ED5BB92"/>
    <w:rsid w:val="7EDA5EB7"/>
    <w:rsid w:val="7F222E17"/>
    <w:rsid w:val="7F2CB3F0"/>
    <w:rsid w:val="7F3F8B02"/>
    <w:rsid w:val="7F48BBD8"/>
    <w:rsid w:val="7FF58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562CB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2CB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E192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s Points"/>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PBAC table,HTAtableplain,Lash Style Table"/>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styleId="BodyText">
    <w:name w:val="Body Text"/>
    <w:basedOn w:val="Normal"/>
    <w:link w:val="BodyTextChar"/>
    <w:uiPriority w:val="99"/>
    <w:unhideWhenUsed/>
    <w:rsid w:val="00307D48"/>
    <w:pPr>
      <w:spacing w:after="120"/>
    </w:pPr>
    <w:rPr>
      <w:rFonts w:ascii="Montserrat" w:hAnsi="Montserrat" w:cs="Calibri"/>
      <w:sz w:val="18"/>
      <w:szCs w:val="20"/>
    </w:rPr>
  </w:style>
  <w:style w:type="character" w:customStyle="1" w:styleId="BodyTextChar">
    <w:name w:val="Body Text Char"/>
    <w:basedOn w:val="DefaultParagraphFont"/>
    <w:link w:val="BodyText"/>
    <w:uiPriority w:val="99"/>
    <w:rsid w:val="00307D48"/>
    <w:rPr>
      <w:rFonts w:ascii="Montserrat" w:eastAsia="Calibri" w:hAnsi="Montserrat" w:cs="Calibri"/>
      <w:sz w:val="18"/>
      <w:szCs w:val="20"/>
    </w:rPr>
  </w:style>
  <w:style w:type="paragraph" w:styleId="FootnoteText">
    <w:name w:val="footnote text"/>
    <w:basedOn w:val="Normal"/>
    <w:link w:val="FootnoteTextChar"/>
    <w:uiPriority w:val="99"/>
    <w:semiHidden/>
    <w:unhideWhenUsed/>
    <w:rsid w:val="008E2A4F"/>
    <w:pPr>
      <w:spacing w:after="0" w:line="240" w:lineRule="auto"/>
    </w:pPr>
    <w:rPr>
      <w:rFonts w:ascii="Montserrat" w:hAnsi="Montserrat" w:cs="Calibri"/>
      <w:sz w:val="20"/>
      <w:szCs w:val="20"/>
    </w:rPr>
  </w:style>
  <w:style w:type="character" w:customStyle="1" w:styleId="FootnoteTextChar">
    <w:name w:val="Footnote Text Char"/>
    <w:basedOn w:val="DefaultParagraphFont"/>
    <w:link w:val="FootnoteText"/>
    <w:uiPriority w:val="99"/>
    <w:semiHidden/>
    <w:rsid w:val="008E2A4F"/>
    <w:rPr>
      <w:rFonts w:ascii="Montserrat" w:eastAsia="Calibri" w:hAnsi="Montserrat" w:cs="Calibri"/>
      <w:sz w:val="20"/>
      <w:szCs w:val="20"/>
    </w:rPr>
  </w:style>
  <w:style w:type="character" w:styleId="FootnoteReference">
    <w:name w:val="footnote reference"/>
    <w:basedOn w:val="DefaultParagraphFont"/>
    <w:uiPriority w:val="99"/>
    <w:semiHidden/>
    <w:unhideWhenUsed/>
    <w:rsid w:val="008E2A4F"/>
    <w:rPr>
      <w:vertAlign w:val="superscript"/>
    </w:rPr>
  </w:style>
  <w:style w:type="paragraph" w:styleId="NormalWeb">
    <w:name w:val="Normal (Web)"/>
    <w:basedOn w:val="Normal"/>
    <w:uiPriority w:val="99"/>
    <w:unhideWhenUsed/>
    <w:rsid w:val="00496067"/>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4Char">
    <w:name w:val="Heading 4 Char"/>
    <w:basedOn w:val="DefaultParagraphFont"/>
    <w:link w:val="Heading4"/>
    <w:uiPriority w:val="9"/>
    <w:rsid w:val="00562C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62C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E1921"/>
    <w:rPr>
      <w:rFonts w:asciiTheme="majorHAnsi" w:eastAsiaTheme="majorEastAsia" w:hAnsiTheme="majorHAnsi" w:cstheme="majorBidi"/>
      <w:color w:val="1F4D78" w:themeColor="accent1" w:themeShade="7F"/>
    </w:rPr>
  </w:style>
  <w:style w:type="paragraph" w:styleId="NoSpacing">
    <w:name w:val="No Spacing"/>
    <w:uiPriority w:val="1"/>
    <w:qFormat/>
    <w:rsid w:val="00207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63861474">
      <w:bodyDiv w:val="1"/>
      <w:marLeft w:val="0"/>
      <w:marRight w:val="0"/>
      <w:marTop w:val="0"/>
      <w:marBottom w:val="0"/>
      <w:divBdr>
        <w:top w:val="none" w:sz="0" w:space="0" w:color="auto"/>
        <w:left w:val="none" w:sz="0" w:space="0" w:color="auto"/>
        <w:bottom w:val="none" w:sz="0" w:space="0" w:color="auto"/>
        <w:right w:val="none" w:sz="0" w:space="0" w:color="auto"/>
      </w:divBdr>
    </w:div>
    <w:div w:id="347291370">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63224461">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95878417">
      <w:bodyDiv w:val="1"/>
      <w:marLeft w:val="0"/>
      <w:marRight w:val="0"/>
      <w:marTop w:val="0"/>
      <w:marBottom w:val="0"/>
      <w:divBdr>
        <w:top w:val="none" w:sz="0" w:space="0" w:color="auto"/>
        <w:left w:val="none" w:sz="0" w:space="0" w:color="auto"/>
        <w:bottom w:val="none" w:sz="0" w:space="0" w:color="auto"/>
        <w:right w:val="none" w:sz="0" w:space="0" w:color="auto"/>
      </w:divBdr>
    </w:div>
    <w:div w:id="100867783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58043649">
      <w:bodyDiv w:val="1"/>
      <w:marLeft w:val="0"/>
      <w:marRight w:val="0"/>
      <w:marTop w:val="0"/>
      <w:marBottom w:val="0"/>
      <w:divBdr>
        <w:top w:val="none" w:sz="0" w:space="0" w:color="auto"/>
        <w:left w:val="none" w:sz="0" w:space="0" w:color="auto"/>
        <w:bottom w:val="none" w:sz="0" w:space="0" w:color="auto"/>
        <w:right w:val="none" w:sz="0" w:space="0" w:color="auto"/>
      </w:divBdr>
    </w:div>
    <w:div w:id="1222520615">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57777417">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27429552">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037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msac.gov.au/sites/default/files/documents/FINAL%2520PSD%2520-%25201366%2520%2520Transient%2520Elastography%2520at%252050Hz-WebAccessible%2520%28D16-668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esa.org.au/public/13/files/Education%20%26%20Resources/Clinical%20Practice%20Resources/MAFLD/MAFLD%20consensus%20statement%202024.pdf" TargetMode="External"/><Relationship Id="rId2" Type="http://schemas.openxmlformats.org/officeDocument/2006/relationships/numbering" Target="numbering.xml"/><Relationship Id="rId16" Type="http://schemas.openxmlformats.org/officeDocument/2006/relationships/hyperlink" Target="https://www.cda-amc.ca/sites/default/files/pdf/htis/mar-2012/RC0327_Hepatitis%20C_003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20517/mtod.2021.05" TargetMode="External"/><Relationship Id="rId10" Type="http://schemas.openxmlformats.org/officeDocument/2006/relationships/header" Target="header1.xml"/><Relationship Id="rId19" Type="http://schemas.openxmlformats.org/officeDocument/2006/relationships/hyperlink" Target="https://www.msac.gov.au/sites/default/files/documents/1446%2520Final%2520PSD_Nov2020_redacted.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msac.gov.au/sites/default/files/2024-10/guidelines-for-preparing-assessments-for-msac.pdf" TargetMode="External"/><Relationship Id="rId2" Type="http://schemas.openxmlformats.org/officeDocument/2006/relationships/hyperlink" Target="https://www9.health.gov.au/mbs/fullDisplay.cfm?type=item&amp;q=55036&amp;qt=item&amp;criteria=55036" TargetMode="External"/><Relationship Id="rId1" Type="http://schemas.openxmlformats.org/officeDocument/2006/relationships/hyperlink" Target="https://www.msac.gov.au/applications/1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7150-5795-4231-AD8D-F6E9F607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21691</Words>
  <Characters>123644</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2025-06-06T05:18:00Z</dcterms:created>
  <dcterms:modified xsi:type="dcterms:W3CDTF">2025-06-06T05:18:00Z</dcterms:modified>
</cp:coreProperties>
</file>