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E6B6C" w14:textId="38CC7182" w:rsidR="006478E7" w:rsidRPr="00490FBB" w:rsidRDefault="006478E7" w:rsidP="006478E7">
      <w:pPr>
        <w:spacing w:before="120" w:after="120" w:line="312" w:lineRule="auto"/>
        <w:jc w:val="center"/>
      </w:pPr>
    </w:p>
    <w:p w14:paraId="50B6D781" w14:textId="0729377B" w:rsidR="006478E7" w:rsidRPr="00AD26D1" w:rsidRDefault="00BB0FFB" w:rsidP="00BB0FFB">
      <w:pPr>
        <w:pStyle w:val="Heading10"/>
        <w:spacing w:before="2880"/>
        <w:jc w:val="center"/>
        <w:rPr>
          <w:sz w:val="48"/>
          <w:szCs w:val="48"/>
          <w:lang w:val="en-AU"/>
        </w:rPr>
      </w:pPr>
      <w:r w:rsidRPr="00AD26D1">
        <w:rPr>
          <w:sz w:val="48"/>
          <w:szCs w:val="48"/>
          <w:lang w:val="en-AU"/>
        </w:rPr>
        <w:t xml:space="preserve">MSAC </w:t>
      </w:r>
      <w:r w:rsidR="006478E7" w:rsidRPr="00AD26D1">
        <w:rPr>
          <w:sz w:val="48"/>
          <w:szCs w:val="48"/>
          <w:lang w:val="en-AU"/>
        </w:rPr>
        <w:t xml:space="preserve">Application </w:t>
      </w:r>
      <w:r w:rsidR="006B18ED" w:rsidRPr="00AD26D1">
        <w:rPr>
          <w:sz w:val="48"/>
          <w:szCs w:val="48"/>
          <w:lang w:val="en-AU"/>
        </w:rPr>
        <w:t>1799</w:t>
      </w:r>
    </w:p>
    <w:p w14:paraId="11765312" w14:textId="28C25A28" w:rsidR="006478E7" w:rsidRPr="00AD26D1" w:rsidRDefault="00455EEC" w:rsidP="006478E7">
      <w:pPr>
        <w:pStyle w:val="Heading10"/>
        <w:jc w:val="center"/>
        <w:rPr>
          <w:color w:val="548DD4"/>
          <w:sz w:val="48"/>
          <w:szCs w:val="48"/>
          <w:lang w:val="en-AU"/>
        </w:rPr>
      </w:pPr>
      <w:r w:rsidRPr="00AD26D1">
        <w:rPr>
          <w:color w:val="548DD4"/>
          <w:sz w:val="48"/>
          <w:szCs w:val="48"/>
          <w:lang w:val="en-AU"/>
        </w:rPr>
        <w:t xml:space="preserve">Transcatheter tricuspid valve replacement in patients with severe, symptomatic </w:t>
      </w:r>
      <w:r w:rsidR="00132780" w:rsidRPr="00AD26D1">
        <w:rPr>
          <w:color w:val="548DD4"/>
          <w:sz w:val="48"/>
          <w:szCs w:val="48"/>
          <w:lang w:val="en-AU"/>
        </w:rPr>
        <w:t>tricuspid regurgitation</w:t>
      </w:r>
      <w:r w:rsidRPr="00AD26D1">
        <w:rPr>
          <w:color w:val="548DD4"/>
          <w:sz w:val="48"/>
          <w:szCs w:val="48"/>
          <w:lang w:val="en-AU"/>
        </w:rPr>
        <w:t xml:space="preserve"> despite optimal medical therapy</w:t>
      </w:r>
    </w:p>
    <w:p w14:paraId="44FD303D" w14:textId="6A7D3FEF" w:rsidR="00477EE1" w:rsidRPr="00AD26D1" w:rsidRDefault="00D47F16" w:rsidP="00557FBD">
      <w:pPr>
        <w:pStyle w:val="Heading10"/>
        <w:spacing w:before="720"/>
        <w:jc w:val="center"/>
        <w:rPr>
          <w:color w:val="548DD4"/>
          <w:sz w:val="40"/>
          <w:szCs w:val="40"/>
          <w:lang w:val="en-AU"/>
        </w:rPr>
      </w:pPr>
      <w:r w:rsidRPr="10CC5A80">
        <w:rPr>
          <w:color w:val="548DD4"/>
          <w:sz w:val="40"/>
          <w:szCs w:val="40"/>
          <w:lang w:val="en-AU"/>
        </w:rPr>
        <w:t xml:space="preserve">Applicant: </w:t>
      </w:r>
      <w:r w:rsidR="004E0EB5" w:rsidRPr="10CC5A80">
        <w:rPr>
          <w:color w:val="548DD4"/>
          <w:sz w:val="40"/>
          <w:szCs w:val="40"/>
          <w:lang w:val="en-AU"/>
        </w:rPr>
        <w:t>Edwards Lifesciences Pty L</w:t>
      </w:r>
      <w:r w:rsidR="2351246E" w:rsidRPr="10CC5A80">
        <w:rPr>
          <w:color w:val="548DD4"/>
          <w:sz w:val="40"/>
          <w:szCs w:val="40"/>
          <w:lang w:val="en-AU"/>
        </w:rPr>
        <w:t>td</w:t>
      </w:r>
    </w:p>
    <w:p w14:paraId="23900CA0" w14:textId="5FDA20ED" w:rsidR="006478E7" w:rsidRPr="00AD26D1" w:rsidRDefault="006478E7" w:rsidP="00BB0FFB">
      <w:pPr>
        <w:pStyle w:val="Heading1"/>
        <w:rPr>
          <w:lang w:val="en-AU"/>
        </w:rPr>
      </w:pPr>
      <w:r w:rsidRPr="00AD26D1">
        <w:rPr>
          <w:lang w:val="en-AU"/>
        </w:rPr>
        <w:t>PICO Confirmation</w:t>
      </w:r>
      <w:r w:rsidRPr="00AD26D1">
        <w:rPr>
          <w:lang w:val="en-AU"/>
        </w:rPr>
        <w:br w:type="page"/>
      </w:r>
    </w:p>
    <w:p w14:paraId="219312C8" w14:textId="33CD6F52" w:rsidR="006478E7" w:rsidRPr="00D52956" w:rsidRDefault="006478E7" w:rsidP="00BB0FFB">
      <w:pPr>
        <w:pStyle w:val="Heading2"/>
      </w:pPr>
      <w:r w:rsidRPr="00D52956">
        <w:lastRenderedPageBreak/>
        <w:t>Summary of PI</w:t>
      </w:r>
      <w:r w:rsidR="00235B21">
        <w:t xml:space="preserve">CO criteria to define </w:t>
      </w:r>
      <w:r w:rsidRPr="00D52956">
        <w:t>question to be addressed in an Assessment Report to the Medical Services Advisory Committee (MSAC)</w:t>
      </w:r>
    </w:p>
    <w:p w14:paraId="224459F3" w14:textId="4DD71E79" w:rsidR="00D52956" w:rsidRPr="00AD26D1" w:rsidRDefault="00D52956" w:rsidP="00D52956">
      <w:pPr>
        <w:pStyle w:val="Caption"/>
        <w:rPr>
          <w:lang w:val="en-AU"/>
        </w:rPr>
      </w:pPr>
      <w:bookmarkStart w:id="0" w:name="_Ref69732160"/>
      <w:bookmarkStart w:id="1" w:name="_Ref69732155"/>
      <w:r w:rsidRPr="00AD26D1">
        <w:rPr>
          <w:lang w:val="en-AU"/>
        </w:rPr>
        <w:t>Table</w:t>
      </w:r>
      <w:r w:rsidR="00FD4C65" w:rsidRPr="00AD26D1">
        <w:rPr>
          <w:lang w:val="en-AU"/>
        </w:rPr>
        <w:t> </w:t>
      </w:r>
      <w:r w:rsidRPr="00AD26D1">
        <w:rPr>
          <w:lang w:val="en-AU"/>
        </w:rPr>
        <w:fldChar w:fldCharType="begin"/>
      </w:r>
      <w:r w:rsidRPr="00AD26D1">
        <w:rPr>
          <w:lang w:val="en-AU"/>
        </w:rPr>
        <w:instrText xml:space="preserve"> SEQ Table \* ARABIC </w:instrText>
      </w:r>
      <w:r w:rsidRPr="00AD26D1">
        <w:rPr>
          <w:lang w:val="en-AU"/>
        </w:rPr>
        <w:fldChar w:fldCharType="separate"/>
      </w:r>
      <w:r w:rsidR="00481F36">
        <w:rPr>
          <w:noProof/>
          <w:lang w:val="en-AU"/>
        </w:rPr>
        <w:t>1</w:t>
      </w:r>
      <w:r w:rsidRPr="00AD26D1">
        <w:rPr>
          <w:lang w:val="en-AU"/>
        </w:rPr>
        <w:fldChar w:fldCharType="end"/>
      </w:r>
      <w:bookmarkEnd w:id="0"/>
      <w:r w:rsidRPr="00AD26D1">
        <w:rPr>
          <w:lang w:val="en-AU"/>
        </w:rPr>
        <w:tab/>
        <w:t xml:space="preserve">PICO for </w:t>
      </w:r>
      <w:r w:rsidR="004B1E55" w:rsidRPr="00AD26D1">
        <w:rPr>
          <w:lang w:val="en-AU"/>
        </w:rPr>
        <w:t>transcatheter tricuspid valve replacement</w:t>
      </w:r>
      <w:r w:rsidRPr="00AD26D1">
        <w:rPr>
          <w:lang w:val="en-AU"/>
        </w:rPr>
        <w:t xml:space="preserve"> in </w:t>
      </w:r>
      <w:r w:rsidR="006E6CD8" w:rsidRPr="00AD26D1">
        <w:rPr>
          <w:lang w:val="en-AU"/>
        </w:rPr>
        <w:t xml:space="preserve">patients with severe, symptomatic </w:t>
      </w:r>
      <w:r w:rsidR="007F6E3E" w:rsidRPr="00AD26D1">
        <w:rPr>
          <w:lang w:val="en-AU"/>
        </w:rPr>
        <w:t>tricuspid regurgitation</w:t>
      </w:r>
      <w:r w:rsidR="006E6CD8" w:rsidRPr="00AD26D1">
        <w:rPr>
          <w:lang w:val="en-AU"/>
        </w:rPr>
        <w:t xml:space="preserve"> despite </w:t>
      </w:r>
      <w:r w:rsidR="007F6E3E" w:rsidRPr="00AD26D1">
        <w:rPr>
          <w:lang w:val="en-AU"/>
        </w:rPr>
        <w:t>optimal medical therapy</w:t>
      </w:r>
      <w:bookmarkEnd w:id="1"/>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PICO for transcatheter tricuspid valve replacement in patients with severe, symptomatic tricuspid regurgitation despite optimal medical therapy"/>
        <w:tblDescription w:val="This table sets out the PICO criteria and the research question to guide the assessment."/>
      </w:tblPr>
      <w:tblGrid>
        <w:gridCol w:w="1923"/>
        <w:gridCol w:w="7643"/>
      </w:tblGrid>
      <w:tr w:rsidR="006478E7" w:rsidRPr="00490FBB" w14:paraId="2A509B30" w14:textId="77777777" w:rsidTr="39D7B982">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33B8A35" w14:textId="77777777" w:rsidR="006478E7" w:rsidRPr="00490FBB" w:rsidRDefault="006478E7" w:rsidP="00C54349">
            <w:pPr>
              <w:spacing w:before="20" w:after="20" w:line="240" w:lineRule="auto"/>
              <w:rPr>
                <w:b/>
              </w:rPr>
            </w:pPr>
            <w:bookmarkStart w:id="2" w:name="Title_Table1" w:colFirst="0" w:colLast="0"/>
            <w:r w:rsidRPr="00490FBB">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DF4F" w14:textId="77777777" w:rsidR="006478E7" w:rsidRPr="00490FBB" w:rsidRDefault="006478E7" w:rsidP="00C54349">
            <w:pPr>
              <w:spacing w:before="20" w:after="20" w:line="240" w:lineRule="auto"/>
              <w:rPr>
                <w:b/>
              </w:rPr>
            </w:pPr>
            <w:r w:rsidRPr="00490FBB">
              <w:rPr>
                <w:b/>
              </w:rPr>
              <w:t>Description</w:t>
            </w:r>
          </w:p>
        </w:tc>
      </w:tr>
      <w:bookmarkEnd w:id="2"/>
      <w:tr w:rsidR="006478E7" w:rsidRPr="00490FBB" w14:paraId="78E0BB65" w14:textId="77777777" w:rsidTr="39D7B982">
        <w:tc>
          <w:tcPr>
            <w:tcW w:w="1005" w:type="pct"/>
            <w:tcBorders>
              <w:top w:val="single" w:sz="8" w:space="0" w:color="auto"/>
              <w:left w:val="single" w:sz="8" w:space="0" w:color="auto"/>
              <w:bottom w:val="single" w:sz="4" w:space="0" w:color="auto"/>
              <w:right w:val="single" w:sz="4" w:space="0" w:color="auto"/>
            </w:tcBorders>
            <w:hideMark/>
          </w:tcPr>
          <w:p w14:paraId="715E50D5" w14:textId="74EB4863" w:rsidR="006478E7" w:rsidRPr="00490FBB" w:rsidRDefault="00F660E8" w:rsidP="00E01349">
            <w:pPr>
              <w:spacing w:before="120" w:after="120" w:line="240" w:lineRule="auto"/>
              <w:rPr>
                <w:rFonts w:cs="Arial"/>
              </w:rPr>
            </w:pPr>
            <w:r>
              <w:rPr>
                <w:rFonts w:cs="Arial"/>
              </w:rPr>
              <w:t>Population</w:t>
            </w:r>
          </w:p>
        </w:tc>
        <w:tc>
          <w:tcPr>
            <w:tcW w:w="3995" w:type="pct"/>
            <w:tcBorders>
              <w:top w:val="single" w:sz="4" w:space="0" w:color="auto"/>
              <w:left w:val="single" w:sz="4" w:space="0" w:color="auto"/>
              <w:bottom w:val="single" w:sz="4" w:space="0" w:color="auto"/>
              <w:right w:val="single" w:sz="4" w:space="0" w:color="auto"/>
            </w:tcBorders>
            <w:hideMark/>
          </w:tcPr>
          <w:p w14:paraId="4A4FF7C2" w14:textId="7643ECB5" w:rsidR="009C22C3" w:rsidRPr="004C3A5F" w:rsidRDefault="003D414E" w:rsidP="009C22C3">
            <w:pPr>
              <w:spacing w:before="120" w:after="120" w:line="240" w:lineRule="auto"/>
            </w:pPr>
            <w:r>
              <w:rPr>
                <w:rFonts w:cs="Arial"/>
              </w:rPr>
              <w:t>Patients</w:t>
            </w:r>
            <w:r w:rsidR="00EA5508">
              <w:rPr>
                <w:rFonts w:cs="Arial"/>
              </w:rPr>
              <w:t xml:space="preserve"> with </w:t>
            </w:r>
            <w:r w:rsidR="004A01C2">
              <w:rPr>
                <w:rFonts w:cs="Arial"/>
              </w:rPr>
              <w:t>primary or secondary</w:t>
            </w:r>
            <w:r w:rsidR="006865AD">
              <w:rPr>
                <w:rFonts w:cs="Arial"/>
              </w:rPr>
              <w:t xml:space="preserve"> </w:t>
            </w:r>
            <w:r w:rsidR="00D568FE">
              <w:rPr>
                <w:rFonts w:cs="Arial"/>
              </w:rPr>
              <w:t>tricuspid regurgitation</w:t>
            </w:r>
            <w:r w:rsidR="00DC40F9">
              <w:rPr>
                <w:rFonts w:cs="Arial"/>
              </w:rPr>
              <w:t xml:space="preserve"> (TR)</w:t>
            </w:r>
            <w:r w:rsidR="00B1165B">
              <w:rPr>
                <w:rFonts w:cs="Arial"/>
              </w:rPr>
              <w:t xml:space="preserve"> graded </w:t>
            </w:r>
            <w:r w:rsidR="00B1165B" w:rsidRPr="000F7EBB">
              <w:rPr>
                <w:rFonts w:cs="Arial"/>
              </w:rPr>
              <w:t>at least severe</w:t>
            </w:r>
            <w:r w:rsidR="00B1165B">
              <w:rPr>
                <w:rFonts w:cs="Arial"/>
              </w:rPr>
              <w:t>,</w:t>
            </w:r>
            <w:r w:rsidR="00B1165B" w:rsidRPr="000F7EBB">
              <w:rPr>
                <w:rFonts w:cs="Arial"/>
              </w:rPr>
              <w:t xml:space="preserve"> as determined by echocardiography</w:t>
            </w:r>
            <w:r w:rsidR="00B1165B">
              <w:rPr>
                <w:rFonts w:cs="Arial"/>
              </w:rPr>
              <w:t>,</w:t>
            </w:r>
            <w:r w:rsidR="000B2644" w:rsidRPr="00E577CB">
              <w:rPr>
                <w:rFonts w:cs="Arial"/>
              </w:rPr>
              <w:t xml:space="preserve"> </w:t>
            </w:r>
            <w:r w:rsidR="00EE661F">
              <w:rPr>
                <w:rFonts w:cs="Arial"/>
              </w:rPr>
              <w:t xml:space="preserve">with symptoms </w:t>
            </w:r>
            <w:r w:rsidR="005A5610">
              <w:rPr>
                <w:rFonts w:cs="Arial"/>
              </w:rPr>
              <w:t xml:space="preserve">(New York Heart Association [NYHA] functional class </w:t>
            </w:r>
            <w:r w:rsidR="000A4F0A">
              <w:rPr>
                <w:rFonts w:cs="Arial"/>
              </w:rPr>
              <w:t>II</w:t>
            </w:r>
            <w:r w:rsidR="005A5610">
              <w:rPr>
                <w:rFonts w:cs="Arial"/>
              </w:rPr>
              <w:t xml:space="preserve"> or </w:t>
            </w:r>
            <w:r w:rsidR="0030216B">
              <w:rPr>
                <w:rFonts w:cs="Arial"/>
              </w:rPr>
              <w:t>greater</w:t>
            </w:r>
            <w:r w:rsidR="00DD32A1">
              <w:rPr>
                <w:rFonts w:cs="Arial"/>
              </w:rPr>
              <w:t xml:space="preserve">) </w:t>
            </w:r>
            <w:r w:rsidR="00EE661F">
              <w:rPr>
                <w:rFonts w:cs="Arial"/>
              </w:rPr>
              <w:t xml:space="preserve">that persist </w:t>
            </w:r>
            <w:r w:rsidR="00D07BE7">
              <w:rPr>
                <w:rFonts w:cs="Arial"/>
              </w:rPr>
              <w:t>despite</w:t>
            </w:r>
            <w:r w:rsidR="000B2644" w:rsidRPr="00E577CB">
              <w:rPr>
                <w:rFonts w:cs="Arial"/>
              </w:rPr>
              <w:t xml:space="preserve"> </w:t>
            </w:r>
            <w:r w:rsidR="00D568FE">
              <w:rPr>
                <w:rFonts w:cs="Arial"/>
              </w:rPr>
              <w:t>optimal medical therapy</w:t>
            </w:r>
            <w:r w:rsidR="001779BF">
              <w:rPr>
                <w:rFonts w:cs="Arial"/>
              </w:rPr>
              <w:t xml:space="preserve"> (OMT)</w:t>
            </w:r>
            <w:r w:rsidR="005F50A7">
              <w:rPr>
                <w:rFonts w:cs="Arial"/>
              </w:rPr>
              <w:t xml:space="preserve">, and who have </w:t>
            </w:r>
            <w:r w:rsidR="005F50A7" w:rsidRPr="000F7EBB">
              <w:rPr>
                <w:rFonts w:cs="Arial"/>
              </w:rPr>
              <w:t xml:space="preserve">left ventricular ejection </w:t>
            </w:r>
            <w:r w:rsidR="005F50A7" w:rsidRPr="00BC3038">
              <w:rPr>
                <w:rFonts w:cs="Arial"/>
              </w:rPr>
              <w:t>fraction (LVEF) of 25% or more</w:t>
            </w:r>
            <w:r w:rsidR="00E13FB3" w:rsidRPr="00BC3038">
              <w:rPr>
                <w:rFonts w:cs="Arial"/>
              </w:rPr>
              <w:t xml:space="preserve">, </w:t>
            </w:r>
            <w:r w:rsidR="005F50A7" w:rsidRPr="00BC3038">
              <w:t xml:space="preserve">and </w:t>
            </w:r>
            <w:r w:rsidR="00AD268C" w:rsidRPr="00BC3038">
              <w:t xml:space="preserve">are deemed </w:t>
            </w:r>
            <w:r w:rsidR="000B5E57" w:rsidRPr="00BC3038">
              <w:t>by a qualified multidisciplinary heart team to be</w:t>
            </w:r>
            <w:r w:rsidR="00CA178A">
              <w:t xml:space="preserve"> </w:t>
            </w:r>
            <w:r w:rsidR="00AD268C" w:rsidRPr="00BC3038">
              <w:t xml:space="preserve">suitable for </w:t>
            </w:r>
            <w:r w:rsidR="00200117">
              <w:t xml:space="preserve">isolated </w:t>
            </w:r>
            <w:r w:rsidR="00AD268C" w:rsidRPr="00BC3038">
              <w:t xml:space="preserve">transcatheter tricuspid valve replacement </w:t>
            </w:r>
            <w:r w:rsidR="001F116D" w:rsidRPr="00BC3038">
              <w:t>(TTVR)</w:t>
            </w:r>
          </w:p>
        </w:tc>
      </w:tr>
      <w:tr w:rsidR="006478E7" w:rsidRPr="00490FBB" w14:paraId="654E13A9" w14:textId="77777777" w:rsidTr="39D7B982">
        <w:tc>
          <w:tcPr>
            <w:tcW w:w="1005" w:type="pct"/>
            <w:tcBorders>
              <w:top w:val="single" w:sz="4" w:space="0" w:color="auto"/>
              <w:left w:val="single" w:sz="8" w:space="0" w:color="auto"/>
              <w:bottom w:val="single" w:sz="4" w:space="0" w:color="auto"/>
              <w:right w:val="single" w:sz="4" w:space="0" w:color="auto"/>
            </w:tcBorders>
            <w:hideMark/>
          </w:tcPr>
          <w:p w14:paraId="5BF0C211" w14:textId="77777777" w:rsidR="006478E7" w:rsidRPr="00490FBB" w:rsidRDefault="006478E7" w:rsidP="00E01349">
            <w:pPr>
              <w:spacing w:before="120" w:after="120" w:line="240" w:lineRule="auto"/>
              <w:rPr>
                <w:rFonts w:cs="Arial"/>
              </w:rPr>
            </w:pPr>
            <w:r w:rsidRPr="00490FBB">
              <w:rPr>
                <w:rFonts w:cs="Arial"/>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3E51DB12" w14:textId="24E1ECB2" w:rsidR="006478E7" w:rsidRPr="00E577CB" w:rsidRDefault="001B0276" w:rsidP="00E577CB">
            <w:pPr>
              <w:spacing w:before="120" w:after="120" w:line="240" w:lineRule="auto"/>
              <w:rPr>
                <w:rFonts w:cs="Arial"/>
              </w:rPr>
            </w:pPr>
            <w:r>
              <w:t>T</w:t>
            </w:r>
            <w:r w:rsidRPr="001B0276">
              <w:t xml:space="preserve">ranscatheter tricuspid valve replacement </w:t>
            </w:r>
            <w:r w:rsidR="706EFC58" w:rsidRPr="39D7B982">
              <w:rPr>
                <w:rFonts w:cs="Arial"/>
              </w:rPr>
              <w:t xml:space="preserve">in </w:t>
            </w:r>
            <w:r w:rsidR="5BD9B976" w:rsidRPr="39D7B982">
              <w:rPr>
                <w:rFonts w:cs="Arial"/>
              </w:rPr>
              <w:t>addition to</w:t>
            </w:r>
            <w:r w:rsidR="330928D4" w:rsidRPr="39D7B982">
              <w:rPr>
                <w:rFonts w:cs="Arial"/>
              </w:rPr>
              <w:t xml:space="preserve"> </w:t>
            </w:r>
            <w:r w:rsidR="10B403DE" w:rsidRPr="39D7B982">
              <w:rPr>
                <w:rFonts w:cs="Arial"/>
              </w:rPr>
              <w:t xml:space="preserve">continued </w:t>
            </w:r>
            <w:r w:rsidR="330928D4" w:rsidRPr="39D7B982">
              <w:rPr>
                <w:rFonts w:cs="Arial"/>
              </w:rPr>
              <w:t>OMT</w:t>
            </w:r>
          </w:p>
        </w:tc>
      </w:tr>
      <w:tr w:rsidR="006478E7" w:rsidRPr="00490FBB" w14:paraId="1F5647C3" w14:textId="77777777" w:rsidTr="39D7B982">
        <w:tc>
          <w:tcPr>
            <w:tcW w:w="1005" w:type="pct"/>
            <w:tcBorders>
              <w:top w:val="single" w:sz="4" w:space="0" w:color="auto"/>
              <w:left w:val="single" w:sz="8" w:space="0" w:color="auto"/>
              <w:bottom w:val="single" w:sz="4" w:space="0" w:color="auto"/>
              <w:right w:val="single" w:sz="4" w:space="0" w:color="auto"/>
            </w:tcBorders>
            <w:hideMark/>
          </w:tcPr>
          <w:p w14:paraId="7F55173A" w14:textId="74BA09FF" w:rsidR="006478E7" w:rsidRPr="00490FBB" w:rsidRDefault="006478E7" w:rsidP="00E01349">
            <w:pPr>
              <w:spacing w:before="120" w:after="120" w:line="240" w:lineRule="auto"/>
              <w:rPr>
                <w:rFonts w:cs="Arial"/>
              </w:rPr>
            </w:pPr>
            <w:r w:rsidRPr="00490FBB">
              <w:rPr>
                <w:rFonts w:cs="Arial"/>
              </w:rPr>
              <w:t>Comparator</w:t>
            </w:r>
          </w:p>
        </w:tc>
        <w:tc>
          <w:tcPr>
            <w:tcW w:w="3995" w:type="pct"/>
            <w:tcBorders>
              <w:top w:val="single" w:sz="4" w:space="0" w:color="auto"/>
              <w:left w:val="single" w:sz="4" w:space="0" w:color="auto"/>
              <w:bottom w:val="single" w:sz="4" w:space="0" w:color="auto"/>
              <w:right w:val="single" w:sz="4" w:space="0" w:color="auto"/>
            </w:tcBorders>
            <w:hideMark/>
          </w:tcPr>
          <w:p w14:paraId="7E690E4B" w14:textId="135C313F" w:rsidR="00742F0F" w:rsidRPr="00E577CB" w:rsidRDefault="00C119BA" w:rsidP="00E577CB">
            <w:pPr>
              <w:spacing w:before="120" w:after="120" w:line="240" w:lineRule="auto"/>
              <w:rPr>
                <w:rFonts w:cs="Arial"/>
              </w:rPr>
            </w:pPr>
            <w:r>
              <w:rPr>
                <w:rFonts w:cs="Arial"/>
              </w:rPr>
              <w:t xml:space="preserve">Continued </w:t>
            </w:r>
            <w:r w:rsidR="00F74699">
              <w:rPr>
                <w:rFonts w:cs="Arial"/>
              </w:rPr>
              <w:t>OMT</w:t>
            </w:r>
            <w:r w:rsidR="00394143">
              <w:rPr>
                <w:rFonts w:cs="Arial"/>
              </w:rPr>
              <w:t xml:space="preserve"> alone</w:t>
            </w:r>
          </w:p>
        </w:tc>
      </w:tr>
      <w:tr w:rsidR="006478E7" w:rsidRPr="00490FBB" w14:paraId="591B1D2D" w14:textId="77777777" w:rsidTr="39D7B982">
        <w:tc>
          <w:tcPr>
            <w:tcW w:w="1005" w:type="pct"/>
            <w:tcBorders>
              <w:top w:val="single" w:sz="4" w:space="0" w:color="auto"/>
              <w:left w:val="single" w:sz="8" w:space="0" w:color="auto"/>
              <w:bottom w:val="single" w:sz="4" w:space="0" w:color="auto"/>
              <w:right w:val="single" w:sz="4" w:space="0" w:color="auto"/>
            </w:tcBorders>
            <w:hideMark/>
          </w:tcPr>
          <w:p w14:paraId="635F9D15" w14:textId="77777777" w:rsidR="006478E7" w:rsidRPr="00490FBB" w:rsidRDefault="006478E7" w:rsidP="00E01349">
            <w:pPr>
              <w:spacing w:before="120" w:after="120" w:line="240" w:lineRule="auto"/>
              <w:rPr>
                <w:rFonts w:cs="Arial"/>
              </w:rPr>
            </w:pPr>
            <w:r w:rsidRPr="00490FBB">
              <w:rPr>
                <w:rFonts w:cs="Arial"/>
              </w:rPr>
              <w:t>Outcomes</w:t>
            </w:r>
          </w:p>
        </w:tc>
        <w:tc>
          <w:tcPr>
            <w:tcW w:w="3995" w:type="pct"/>
            <w:tcBorders>
              <w:top w:val="single" w:sz="4" w:space="0" w:color="auto"/>
              <w:left w:val="single" w:sz="4" w:space="0" w:color="auto"/>
              <w:bottom w:val="single" w:sz="4" w:space="0" w:color="auto"/>
              <w:right w:val="single" w:sz="4" w:space="0" w:color="auto"/>
            </w:tcBorders>
            <w:hideMark/>
          </w:tcPr>
          <w:p w14:paraId="332B7CF8" w14:textId="77777777" w:rsidR="00E01349" w:rsidRPr="00DE74AD" w:rsidRDefault="007C2C76" w:rsidP="005B65D9">
            <w:pPr>
              <w:keepNext/>
              <w:spacing w:before="120" w:after="0" w:line="240" w:lineRule="auto"/>
              <w:rPr>
                <w:rFonts w:cs="Arial"/>
                <w:b/>
                <w:bCs/>
              </w:rPr>
            </w:pPr>
            <w:r w:rsidRPr="00DE74AD">
              <w:rPr>
                <w:rFonts w:cs="Arial"/>
                <w:b/>
                <w:bCs/>
              </w:rPr>
              <w:t>Safety outcomes:</w:t>
            </w:r>
          </w:p>
          <w:p w14:paraId="182BB7A4" w14:textId="0F4E6310" w:rsidR="001471E0" w:rsidRDefault="00997BA6" w:rsidP="001471E0">
            <w:pPr>
              <w:pStyle w:val="ListParagraph"/>
              <w:numPr>
                <w:ilvl w:val="0"/>
                <w:numId w:val="10"/>
              </w:numPr>
              <w:spacing w:after="0" w:line="240" w:lineRule="auto"/>
              <w:ind w:left="511" w:hanging="284"/>
              <w:contextualSpacing w:val="0"/>
              <w:rPr>
                <w:rFonts w:cs="Arial"/>
              </w:rPr>
            </w:pPr>
            <w:r>
              <w:rPr>
                <w:rFonts w:cs="Arial"/>
              </w:rPr>
              <w:t xml:space="preserve">major cardiovascular </w:t>
            </w:r>
            <w:r w:rsidR="00D00A77">
              <w:rPr>
                <w:rFonts w:cs="Arial"/>
              </w:rPr>
              <w:t xml:space="preserve">(CV) </w:t>
            </w:r>
            <w:r>
              <w:rPr>
                <w:rFonts w:cs="Arial"/>
              </w:rPr>
              <w:t>events (</w:t>
            </w:r>
            <w:r w:rsidR="001471E0">
              <w:rPr>
                <w:rFonts w:cs="Arial"/>
              </w:rPr>
              <w:t>myocardial infarction</w:t>
            </w:r>
            <w:r>
              <w:rPr>
                <w:rFonts w:cs="Arial"/>
              </w:rPr>
              <w:t xml:space="preserve">, stroke, </w:t>
            </w:r>
            <w:r w:rsidR="00D00A77">
              <w:rPr>
                <w:rFonts w:cs="Arial"/>
              </w:rPr>
              <w:t>CV</w:t>
            </w:r>
            <w:r>
              <w:rPr>
                <w:rFonts w:cs="Arial"/>
              </w:rPr>
              <w:t xml:space="preserve"> death)</w:t>
            </w:r>
          </w:p>
          <w:p w14:paraId="58DBA7B9" w14:textId="55CA4D01" w:rsidR="00DE74AD" w:rsidRPr="00423FC1" w:rsidRDefault="00464F79" w:rsidP="003356AB">
            <w:pPr>
              <w:pStyle w:val="ListParagraph"/>
              <w:numPr>
                <w:ilvl w:val="0"/>
                <w:numId w:val="10"/>
              </w:numPr>
              <w:spacing w:after="0" w:line="240" w:lineRule="auto"/>
              <w:ind w:left="511" w:hanging="284"/>
              <w:contextualSpacing w:val="0"/>
              <w:rPr>
                <w:rFonts w:cs="Arial"/>
              </w:rPr>
            </w:pPr>
            <w:r>
              <w:rPr>
                <w:rFonts w:cs="Arial"/>
              </w:rPr>
              <w:t xml:space="preserve">severe </w:t>
            </w:r>
            <w:r w:rsidR="00FA5299" w:rsidRPr="00423FC1">
              <w:rPr>
                <w:rFonts w:cs="Arial"/>
              </w:rPr>
              <w:t>b</w:t>
            </w:r>
            <w:r w:rsidR="002D7656" w:rsidRPr="00423FC1">
              <w:rPr>
                <w:rFonts w:cs="Arial"/>
              </w:rPr>
              <w:t>leeding</w:t>
            </w:r>
          </w:p>
          <w:p w14:paraId="5C1D2FD1" w14:textId="61938FC4" w:rsidR="002D7656" w:rsidRDefault="00B73BAC" w:rsidP="003356AB">
            <w:pPr>
              <w:pStyle w:val="ListParagraph"/>
              <w:numPr>
                <w:ilvl w:val="0"/>
                <w:numId w:val="10"/>
              </w:numPr>
              <w:spacing w:after="0" w:line="240" w:lineRule="auto"/>
              <w:ind w:left="511" w:hanging="284"/>
              <w:contextualSpacing w:val="0"/>
              <w:rPr>
                <w:rFonts w:cs="Arial"/>
              </w:rPr>
            </w:pPr>
            <w:r>
              <w:rPr>
                <w:rFonts w:cs="Arial"/>
              </w:rPr>
              <w:t xml:space="preserve">major access site and </w:t>
            </w:r>
            <w:r w:rsidR="00FA5299" w:rsidRPr="00423FC1">
              <w:rPr>
                <w:rFonts w:cs="Arial"/>
              </w:rPr>
              <w:t>vascular complications</w:t>
            </w:r>
          </w:p>
          <w:p w14:paraId="1BFAD835" w14:textId="7869DFF0" w:rsidR="00FA5299" w:rsidRPr="0017215E" w:rsidRDefault="00B73BAC" w:rsidP="003356AB">
            <w:pPr>
              <w:pStyle w:val="ListParagraph"/>
              <w:numPr>
                <w:ilvl w:val="0"/>
                <w:numId w:val="10"/>
              </w:numPr>
              <w:spacing w:after="0" w:line="240" w:lineRule="auto"/>
              <w:ind w:left="511" w:hanging="284"/>
              <w:contextualSpacing w:val="0"/>
              <w:rPr>
                <w:rFonts w:cs="Arial"/>
              </w:rPr>
            </w:pPr>
            <w:r w:rsidRPr="00923826">
              <w:rPr>
                <w:rFonts w:cs="Arial"/>
              </w:rPr>
              <w:t xml:space="preserve">major </w:t>
            </w:r>
            <w:r w:rsidR="00FA5299" w:rsidRPr="00923826">
              <w:rPr>
                <w:rFonts w:cs="Arial"/>
              </w:rPr>
              <w:t>cardiac structural complications</w:t>
            </w:r>
            <w:r w:rsidR="001B3B44" w:rsidRPr="00923826">
              <w:rPr>
                <w:rFonts w:cs="Arial"/>
              </w:rPr>
              <w:t xml:space="preserve"> (e.g. </w:t>
            </w:r>
            <w:r w:rsidR="001B3B44" w:rsidRPr="0017215E">
              <w:rPr>
                <w:rFonts w:cs="Arial"/>
              </w:rPr>
              <w:t>coronary structure perforation)</w:t>
            </w:r>
          </w:p>
          <w:p w14:paraId="075E8948" w14:textId="209A1816" w:rsidR="001B3B44" w:rsidRPr="0017215E" w:rsidRDefault="00E160B6" w:rsidP="003356AB">
            <w:pPr>
              <w:pStyle w:val="ListParagraph"/>
              <w:numPr>
                <w:ilvl w:val="0"/>
                <w:numId w:val="10"/>
              </w:numPr>
              <w:spacing w:after="0" w:line="240" w:lineRule="auto"/>
              <w:ind w:left="511" w:hanging="284"/>
              <w:contextualSpacing w:val="0"/>
              <w:rPr>
                <w:rFonts w:cs="Arial"/>
              </w:rPr>
            </w:pPr>
            <w:r w:rsidRPr="0017215E">
              <w:rPr>
                <w:rFonts w:cs="Arial"/>
              </w:rPr>
              <w:t>arrhythmia</w:t>
            </w:r>
            <w:r w:rsidR="0017215E" w:rsidRPr="0017215E">
              <w:rPr>
                <w:rFonts w:cs="Arial"/>
              </w:rPr>
              <w:t xml:space="preserve"> or </w:t>
            </w:r>
            <w:r w:rsidR="00C20EB7" w:rsidRPr="0017215E">
              <w:rPr>
                <w:rFonts w:cs="Arial"/>
              </w:rPr>
              <w:t xml:space="preserve">conduction </w:t>
            </w:r>
            <w:r w:rsidR="0017215E" w:rsidRPr="0017215E">
              <w:rPr>
                <w:rFonts w:cs="Arial"/>
              </w:rPr>
              <w:t>disorder requiring</w:t>
            </w:r>
            <w:r w:rsidR="0008517F" w:rsidRPr="0017215E">
              <w:rPr>
                <w:rFonts w:cs="Arial"/>
              </w:rPr>
              <w:t xml:space="preserve"> </w:t>
            </w:r>
            <w:r w:rsidR="0017215E" w:rsidRPr="0017215E">
              <w:rPr>
                <w:rFonts w:cs="Arial"/>
              </w:rPr>
              <w:t>permanent pacing</w:t>
            </w:r>
          </w:p>
          <w:p w14:paraId="5889F7E6" w14:textId="1E729AEB" w:rsidR="0031053D" w:rsidRDefault="0031053D" w:rsidP="003356AB">
            <w:pPr>
              <w:pStyle w:val="ListParagraph"/>
              <w:numPr>
                <w:ilvl w:val="0"/>
                <w:numId w:val="10"/>
              </w:numPr>
              <w:spacing w:after="0" w:line="240" w:lineRule="auto"/>
              <w:ind w:left="511" w:hanging="284"/>
              <w:contextualSpacing w:val="0"/>
              <w:rPr>
                <w:rFonts w:cs="Arial"/>
              </w:rPr>
            </w:pPr>
            <w:r w:rsidRPr="000B1681">
              <w:rPr>
                <w:rFonts w:cs="Arial"/>
              </w:rPr>
              <w:t>new need for renal replacement therapy</w:t>
            </w:r>
          </w:p>
          <w:p w14:paraId="6B54864E" w14:textId="34C16AB5" w:rsidR="003075B6" w:rsidRPr="000B1681" w:rsidRDefault="003075B6" w:rsidP="003356AB">
            <w:pPr>
              <w:pStyle w:val="ListParagraph"/>
              <w:numPr>
                <w:ilvl w:val="0"/>
                <w:numId w:val="10"/>
              </w:numPr>
              <w:spacing w:after="0" w:line="240" w:lineRule="auto"/>
              <w:ind w:left="511" w:hanging="284"/>
              <w:contextualSpacing w:val="0"/>
              <w:rPr>
                <w:rFonts w:cs="Arial"/>
              </w:rPr>
            </w:pPr>
            <w:r>
              <w:rPr>
                <w:rFonts w:cs="Arial"/>
              </w:rPr>
              <w:t>conversion to surgery</w:t>
            </w:r>
          </w:p>
          <w:p w14:paraId="329E379A" w14:textId="3C122FC2" w:rsidR="002024C4" w:rsidRDefault="002024C4" w:rsidP="002024C4">
            <w:pPr>
              <w:pStyle w:val="ListParagraph"/>
              <w:numPr>
                <w:ilvl w:val="0"/>
                <w:numId w:val="10"/>
              </w:numPr>
              <w:spacing w:after="0" w:line="240" w:lineRule="auto"/>
              <w:ind w:left="511" w:hanging="284"/>
              <w:contextualSpacing w:val="0"/>
              <w:rPr>
                <w:rFonts w:cs="Arial"/>
              </w:rPr>
            </w:pPr>
            <w:r w:rsidRPr="006D1BD2">
              <w:rPr>
                <w:rFonts w:cs="Arial"/>
              </w:rPr>
              <w:t>tricuspid valve reintervention</w:t>
            </w:r>
            <w:r w:rsidR="00E73B0F">
              <w:rPr>
                <w:rFonts w:cs="Arial"/>
              </w:rPr>
              <w:t xml:space="preserve"> (percutaneous or surgical)</w:t>
            </w:r>
          </w:p>
          <w:p w14:paraId="61B71339" w14:textId="5DE37660" w:rsidR="00D66C78" w:rsidRPr="002024C4" w:rsidRDefault="00D66C78" w:rsidP="002024C4">
            <w:pPr>
              <w:pStyle w:val="ListParagraph"/>
              <w:numPr>
                <w:ilvl w:val="0"/>
                <w:numId w:val="10"/>
              </w:numPr>
              <w:spacing w:after="0" w:line="240" w:lineRule="auto"/>
              <w:ind w:left="511" w:hanging="284"/>
              <w:contextualSpacing w:val="0"/>
              <w:rPr>
                <w:rFonts w:cs="Arial"/>
              </w:rPr>
            </w:pPr>
            <w:r>
              <w:t>prosthetic valve dysfunction</w:t>
            </w:r>
          </w:p>
          <w:p w14:paraId="58C80D7E" w14:textId="77777777" w:rsidR="007C2C76" w:rsidRPr="00DE74AD" w:rsidRDefault="007C2C76" w:rsidP="005B65D9">
            <w:pPr>
              <w:keepNext/>
              <w:spacing w:before="120" w:after="0" w:line="240" w:lineRule="auto"/>
              <w:rPr>
                <w:rFonts w:cs="Arial"/>
                <w:b/>
                <w:bCs/>
              </w:rPr>
            </w:pPr>
            <w:r w:rsidRPr="00DE74AD">
              <w:rPr>
                <w:rFonts w:cs="Arial"/>
                <w:b/>
                <w:bCs/>
              </w:rPr>
              <w:t>Efficacy/effectiven</w:t>
            </w:r>
            <w:r w:rsidR="00E63D16" w:rsidRPr="00DE74AD">
              <w:rPr>
                <w:rFonts w:cs="Arial"/>
                <w:b/>
                <w:bCs/>
              </w:rPr>
              <w:t>ess outcomes:</w:t>
            </w:r>
          </w:p>
          <w:p w14:paraId="5EEC855E" w14:textId="56F628B5" w:rsidR="00DE74AD" w:rsidRPr="002024C4" w:rsidRDefault="00045DEE" w:rsidP="003356AB">
            <w:pPr>
              <w:pStyle w:val="ListParagraph"/>
              <w:numPr>
                <w:ilvl w:val="0"/>
                <w:numId w:val="10"/>
              </w:numPr>
              <w:spacing w:after="0" w:line="240" w:lineRule="auto"/>
              <w:ind w:left="511" w:hanging="284"/>
              <w:contextualSpacing w:val="0"/>
              <w:rPr>
                <w:rFonts w:cs="Arial"/>
              </w:rPr>
            </w:pPr>
            <w:r w:rsidRPr="002024C4">
              <w:rPr>
                <w:rFonts w:cs="Arial"/>
              </w:rPr>
              <w:t>mortality (all cause</w:t>
            </w:r>
            <w:r w:rsidR="00221389">
              <w:rPr>
                <w:rFonts w:cs="Arial"/>
              </w:rPr>
              <w:t xml:space="preserve">, </w:t>
            </w:r>
            <w:r w:rsidR="00D00A77">
              <w:rPr>
                <w:rFonts w:cs="Arial"/>
              </w:rPr>
              <w:t>CV</w:t>
            </w:r>
            <w:r w:rsidRPr="002024C4">
              <w:rPr>
                <w:rFonts w:cs="Arial"/>
              </w:rPr>
              <w:t>)</w:t>
            </w:r>
          </w:p>
          <w:p w14:paraId="55684420" w14:textId="229228A3" w:rsidR="000D6711" w:rsidRDefault="005667C6" w:rsidP="003356AB">
            <w:pPr>
              <w:pStyle w:val="ListParagraph"/>
              <w:numPr>
                <w:ilvl w:val="0"/>
                <w:numId w:val="10"/>
              </w:numPr>
              <w:spacing w:after="0" w:line="240" w:lineRule="auto"/>
              <w:ind w:left="513" w:hanging="284"/>
              <w:rPr>
                <w:rFonts w:cs="Arial"/>
              </w:rPr>
            </w:pPr>
            <w:r w:rsidRPr="007729D6">
              <w:rPr>
                <w:rFonts w:cs="Arial"/>
              </w:rPr>
              <w:t xml:space="preserve">hospitalisation </w:t>
            </w:r>
            <w:r w:rsidR="007729D6">
              <w:rPr>
                <w:rFonts w:cs="Arial"/>
              </w:rPr>
              <w:t>for heart failure</w:t>
            </w:r>
          </w:p>
          <w:p w14:paraId="0E3970E7" w14:textId="4223550F" w:rsidR="0047635E" w:rsidRPr="007729D6" w:rsidRDefault="0047635E" w:rsidP="003356AB">
            <w:pPr>
              <w:pStyle w:val="ListParagraph"/>
              <w:numPr>
                <w:ilvl w:val="0"/>
                <w:numId w:val="10"/>
              </w:numPr>
              <w:spacing w:after="0" w:line="240" w:lineRule="auto"/>
              <w:ind w:left="513" w:hanging="284"/>
              <w:rPr>
                <w:rFonts w:cs="Arial"/>
              </w:rPr>
            </w:pPr>
            <w:r w:rsidRPr="0047635E">
              <w:rPr>
                <w:rFonts w:cs="Arial"/>
              </w:rPr>
              <w:t>implantation of a right ventricular assist device or heart transplantation</w:t>
            </w:r>
          </w:p>
          <w:p w14:paraId="4BD37D60" w14:textId="28D8C49C" w:rsidR="00F37147" w:rsidRPr="008A4AE4" w:rsidRDefault="008A4AE4" w:rsidP="003356AB">
            <w:pPr>
              <w:pStyle w:val="ListParagraph"/>
              <w:numPr>
                <w:ilvl w:val="0"/>
                <w:numId w:val="10"/>
              </w:numPr>
              <w:spacing w:after="0" w:line="240" w:lineRule="auto"/>
              <w:ind w:left="513" w:hanging="284"/>
              <w:rPr>
                <w:rFonts w:cs="Arial"/>
              </w:rPr>
            </w:pPr>
            <w:r>
              <w:rPr>
                <w:rFonts w:cs="Arial"/>
              </w:rPr>
              <w:t xml:space="preserve">change in </w:t>
            </w:r>
            <w:r w:rsidR="002008FB" w:rsidRPr="008A4AE4">
              <w:rPr>
                <w:rFonts w:cs="Arial"/>
              </w:rPr>
              <w:t>TR grad</w:t>
            </w:r>
            <w:r>
              <w:rPr>
                <w:rFonts w:cs="Arial"/>
              </w:rPr>
              <w:t>e</w:t>
            </w:r>
          </w:p>
          <w:p w14:paraId="53DBFA67" w14:textId="4D4A3F35" w:rsidR="005667C6" w:rsidRDefault="001509B4" w:rsidP="003356AB">
            <w:pPr>
              <w:pStyle w:val="ListParagraph"/>
              <w:numPr>
                <w:ilvl w:val="0"/>
                <w:numId w:val="10"/>
              </w:numPr>
              <w:spacing w:after="0" w:line="240" w:lineRule="auto"/>
              <w:ind w:left="513" w:hanging="284"/>
              <w:rPr>
                <w:rFonts w:cs="Arial"/>
              </w:rPr>
            </w:pPr>
            <w:r w:rsidRPr="005B65D9">
              <w:rPr>
                <w:rFonts w:cs="Arial"/>
              </w:rPr>
              <w:t xml:space="preserve">quality of life </w:t>
            </w:r>
            <w:r>
              <w:rPr>
                <w:rFonts w:cs="Arial"/>
              </w:rPr>
              <w:t xml:space="preserve">using </w:t>
            </w:r>
            <w:r w:rsidR="00F03402">
              <w:rPr>
                <w:rFonts w:cs="Arial"/>
              </w:rPr>
              <w:t>disease-specific tool</w:t>
            </w:r>
            <w:r w:rsidR="008439D8">
              <w:rPr>
                <w:rFonts w:cs="Arial"/>
              </w:rPr>
              <w:t>s</w:t>
            </w:r>
            <w:r w:rsidR="00F03402">
              <w:rPr>
                <w:rFonts w:cs="Arial"/>
              </w:rPr>
              <w:t xml:space="preserve"> </w:t>
            </w:r>
            <w:r w:rsidR="0050017E">
              <w:rPr>
                <w:rFonts w:cs="Arial"/>
              </w:rPr>
              <w:t>(</w:t>
            </w:r>
            <w:r w:rsidR="008439D8">
              <w:rPr>
                <w:rFonts w:cs="Arial"/>
              </w:rPr>
              <w:t xml:space="preserve">e.g. </w:t>
            </w:r>
            <w:r w:rsidR="0050017E" w:rsidRPr="005B65D9">
              <w:rPr>
                <w:rFonts w:cs="Arial"/>
              </w:rPr>
              <w:t xml:space="preserve">Kansas City Cardiomyopathy Questionnaire </w:t>
            </w:r>
            <w:r w:rsidR="0050017E">
              <w:rPr>
                <w:rFonts w:cs="Arial"/>
              </w:rPr>
              <w:t>[</w:t>
            </w:r>
            <w:r w:rsidR="0050017E" w:rsidRPr="005B65D9">
              <w:rPr>
                <w:rFonts w:cs="Arial"/>
              </w:rPr>
              <w:t>KCCQ</w:t>
            </w:r>
            <w:r w:rsidR="0050017E">
              <w:rPr>
                <w:rFonts w:cs="Arial"/>
              </w:rPr>
              <w:t>]</w:t>
            </w:r>
            <w:r w:rsidR="0050017E" w:rsidRPr="005B65D9">
              <w:rPr>
                <w:rFonts w:cs="Arial"/>
              </w:rPr>
              <w:t>)</w:t>
            </w:r>
            <w:r w:rsidR="0050017E">
              <w:rPr>
                <w:rFonts w:cs="Arial"/>
              </w:rPr>
              <w:t xml:space="preserve"> and </w:t>
            </w:r>
            <w:r w:rsidR="00F809CA" w:rsidRPr="005B65D9">
              <w:rPr>
                <w:rFonts w:cs="Arial"/>
              </w:rPr>
              <w:t xml:space="preserve">generic tools </w:t>
            </w:r>
            <w:r w:rsidR="0050017E">
              <w:rPr>
                <w:rFonts w:cs="Arial"/>
              </w:rPr>
              <w:t>(</w:t>
            </w:r>
            <w:r w:rsidR="008439D8">
              <w:rPr>
                <w:rFonts w:cs="Arial"/>
              </w:rPr>
              <w:t>e.g.</w:t>
            </w:r>
            <w:r w:rsidR="00F809CA" w:rsidRPr="005B65D9">
              <w:rPr>
                <w:rFonts w:cs="Arial"/>
              </w:rPr>
              <w:t xml:space="preserve"> Euro</w:t>
            </w:r>
            <w:r w:rsidR="00DC447B" w:rsidRPr="005B65D9">
              <w:rPr>
                <w:rFonts w:cs="Arial"/>
              </w:rPr>
              <w:t xml:space="preserve">Qol 5-dimension tool </w:t>
            </w:r>
            <w:r w:rsidR="0050017E">
              <w:rPr>
                <w:rFonts w:cs="Arial"/>
              </w:rPr>
              <w:t>[</w:t>
            </w:r>
            <w:r w:rsidR="00DC447B" w:rsidRPr="005B65D9">
              <w:rPr>
                <w:rFonts w:cs="Arial"/>
              </w:rPr>
              <w:t>EQ-5D</w:t>
            </w:r>
            <w:r w:rsidR="0050017E">
              <w:rPr>
                <w:rFonts w:cs="Arial"/>
              </w:rPr>
              <w:t>]</w:t>
            </w:r>
            <w:r w:rsidR="00DC447B" w:rsidRPr="005B65D9">
              <w:rPr>
                <w:rFonts w:cs="Arial"/>
              </w:rPr>
              <w:t xml:space="preserve"> or </w:t>
            </w:r>
            <w:r w:rsidR="00E44E65">
              <w:rPr>
                <w:rFonts w:cs="Arial"/>
              </w:rPr>
              <w:t xml:space="preserve">36-item </w:t>
            </w:r>
            <w:r w:rsidR="00DC447B" w:rsidRPr="005B65D9">
              <w:rPr>
                <w:rFonts w:cs="Arial"/>
              </w:rPr>
              <w:t>Short Form</w:t>
            </w:r>
            <w:r w:rsidR="00E44E65">
              <w:rPr>
                <w:rFonts w:cs="Arial"/>
              </w:rPr>
              <w:t xml:space="preserve"> Health Survey</w:t>
            </w:r>
            <w:r w:rsidR="00DC447B" w:rsidRPr="005B65D9">
              <w:rPr>
                <w:rFonts w:cs="Arial"/>
              </w:rPr>
              <w:t xml:space="preserve"> </w:t>
            </w:r>
            <w:r w:rsidR="0050017E">
              <w:rPr>
                <w:rFonts w:cs="Arial"/>
              </w:rPr>
              <w:t>[</w:t>
            </w:r>
            <w:r w:rsidR="00150CB4" w:rsidRPr="005B65D9">
              <w:rPr>
                <w:rFonts w:cs="Arial"/>
              </w:rPr>
              <w:t>SF-36</w:t>
            </w:r>
            <w:r w:rsidR="0050017E">
              <w:rPr>
                <w:rFonts w:cs="Arial"/>
              </w:rPr>
              <w:t>]</w:t>
            </w:r>
            <w:r>
              <w:rPr>
                <w:rFonts w:cs="Arial"/>
              </w:rPr>
              <w:t>)</w:t>
            </w:r>
          </w:p>
          <w:p w14:paraId="087E64C3" w14:textId="4077827A" w:rsidR="00F03402" w:rsidRDefault="00E6526D" w:rsidP="00F03402">
            <w:pPr>
              <w:pStyle w:val="ListParagraph"/>
              <w:numPr>
                <w:ilvl w:val="0"/>
                <w:numId w:val="10"/>
              </w:numPr>
              <w:spacing w:after="0" w:line="240" w:lineRule="auto"/>
              <w:ind w:left="513" w:hanging="284"/>
              <w:rPr>
                <w:rFonts w:cs="Arial"/>
              </w:rPr>
            </w:pPr>
            <w:r>
              <w:rPr>
                <w:rFonts w:cs="Arial"/>
              </w:rPr>
              <w:t xml:space="preserve">health status </w:t>
            </w:r>
            <w:r w:rsidR="008439D8">
              <w:rPr>
                <w:rFonts w:cs="Arial"/>
              </w:rPr>
              <w:t>(</w:t>
            </w:r>
            <w:r w:rsidR="00F03402">
              <w:rPr>
                <w:rFonts w:cs="Arial"/>
              </w:rPr>
              <w:t xml:space="preserve">New York Heart Association </w:t>
            </w:r>
            <w:r w:rsidR="008439D8">
              <w:rPr>
                <w:rFonts w:cs="Arial"/>
              </w:rPr>
              <w:t>[</w:t>
            </w:r>
            <w:r w:rsidR="00F03402" w:rsidRPr="005B65D9">
              <w:rPr>
                <w:rFonts w:cs="Arial"/>
              </w:rPr>
              <w:t>NYHA</w:t>
            </w:r>
            <w:r w:rsidR="008439D8">
              <w:rPr>
                <w:rFonts w:cs="Arial"/>
              </w:rPr>
              <w:t>]</w:t>
            </w:r>
            <w:r w:rsidR="00F03402" w:rsidRPr="005B65D9">
              <w:rPr>
                <w:rFonts w:cs="Arial"/>
              </w:rPr>
              <w:t xml:space="preserve"> functional class</w:t>
            </w:r>
            <w:r>
              <w:rPr>
                <w:rFonts w:cs="Arial"/>
              </w:rPr>
              <w:t xml:space="preserve"> and </w:t>
            </w:r>
            <w:r w:rsidR="00F03402" w:rsidRPr="005B65D9">
              <w:rPr>
                <w:rFonts w:cs="Arial"/>
              </w:rPr>
              <w:t>6</w:t>
            </w:r>
            <w:r w:rsidR="00463571">
              <w:rPr>
                <w:rFonts w:cs="Arial"/>
              </w:rPr>
              <w:noBreakHyphen/>
            </w:r>
            <w:r w:rsidR="00F03402" w:rsidRPr="005B65D9">
              <w:rPr>
                <w:rFonts w:cs="Arial"/>
              </w:rPr>
              <w:t xml:space="preserve">minute walk </w:t>
            </w:r>
            <w:r w:rsidR="00FE7E2F">
              <w:rPr>
                <w:rFonts w:cs="Arial"/>
              </w:rPr>
              <w:t>test</w:t>
            </w:r>
            <w:r w:rsidR="00F03402">
              <w:rPr>
                <w:rFonts w:cs="Arial"/>
              </w:rPr>
              <w:t xml:space="preserve"> </w:t>
            </w:r>
            <w:r w:rsidR="008439D8">
              <w:rPr>
                <w:rFonts w:cs="Arial"/>
              </w:rPr>
              <w:t>[</w:t>
            </w:r>
            <w:r w:rsidR="00F03402">
              <w:rPr>
                <w:rFonts w:cs="Arial"/>
              </w:rPr>
              <w:t>6MW</w:t>
            </w:r>
            <w:r w:rsidR="00FE7E2F">
              <w:rPr>
                <w:rFonts w:cs="Arial"/>
              </w:rPr>
              <w:t>T</w:t>
            </w:r>
            <w:r w:rsidR="008439D8">
              <w:rPr>
                <w:rFonts w:cs="Arial"/>
              </w:rPr>
              <w:t>]</w:t>
            </w:r>
            <w:r>
              <w:rPr>
                <w:rFonts w:cs="Arial"/>
              </w:rPr>
              <w:t>)</w:t>
            </w:r>
          </w:p>
          <w:p w14:paraId="1307F04A" w14:textId="0418735D" w:rsidR="0044545E" w:rsidRPr="00F03402" w:rsidRDefault="00CE2D5A" w:rsidP="00F03402">
            <w:pPr>
              <w:pStyle w:val="ListParagraph"/>
              <w:numPr>
                <w:ilvl w:val="0"/>
                <w:numId w:val="10"/>
              </w:numPr>
              <w:spacing w:after="0" w:line="240" w:lineRule="auto"/>
              <w:ind w:left="513" w:hanging="284"/>
              <w:rPr>
                <w:rFonts w:cs="Arial"/>
              </w:rPr>
            </w:pPr>
            <w:r>
              <w:t>change in medical therapy (dose, frequency</w:t>
            </w:r>
            <w:r w:rsidR="001469E0">
              <w:t>,</w:t>
            </w:r>
            <w:r>
              <w:t xml:space="preserve"> type)</w:t>
            </w:r>
          </w:p>
          <w:p w14:paraId="53DC1251" w14:textId="77777777" w:rsidR="00E63D16" w:rsidRPr="00DE74AD" w:rsidRDefault="00E63D16" w:rsidP="005B65D9">
            <w:pPr>
              <w:keepNext/>
              <w:spacing w:before="120" w:after="0" w:line="240" w:lineRule="auto"/>
              <w:rPr>
                <w:rFonts w:cs="Arial"/>
                <w:b/>
                <w:bCs/>
              </w:rPr>
            </w:pPr>
            <w:r w:rsidRPr="00DE74AD">
              <w:rPr>
                <w:rFonts w:cs="Arial"/>
                <w:b/>
                <w:bCs/>
              </w:rPr>
              <w:t>Healthcare resources:</w:t>
            </w:r>
          </w:p>
          <w:p w14:paraId="3C2A539A" w14:textId="5ECA33E3" w:rsidR="00E63D16" w:rsidRDefault="00DE74AD" w:rsidP="003356AB">
            <w:pPr>
              <w:pStyle w:val="ListParagraph"/>
              <w:numPr>
                <w:ilvl w:val="0"/>
                <w:numId w:val="10"/>
              </w:numPr>
              <w:spacing w:after="0" w:line="240" w:lineRule="auto"/>
              <w:ind w:left="511" w:hanging="284"/>
              <w:contextualSpacing w:val="0"/>
              <w:rPr>
                <w:rFonts w:cs="Arial"/>
              </w:rPr>
            </w:pPr>
            <w:r>
              <w:rPr>
                <w:rFonts w:cs="Arial"/>
              </w:rPr>
              <w:t>c</w:t>
            </w:r>
            <w:r w:rsidR="00E63D16">
              <w:rPr>
                <w:rFonts w:cs="Arial"/>
              </w:rPr>
              <w:t xml:space="preserve">ost of </w:t>
            </w:r>
            <w:r w:rsidR="00B36E65">
              <w:rPr>
                <w:rFonts w:cs="Arial"/>
              </w:rPr>
              <w:t>tricuspid valve</w:t>
            </w:r>
            <w:r w:rsidR="00E63D16">
              <w:rPr>
                <w:rFonts w:cs="Arial"/>
              </w:rPr>
              <w:t xml:space="preserve"> </w:t>
            </w:r>
            <w:r w:rsidR="0018456A">
              <w:rPr>
                <w:rFonts w:cs="Arial"/>
              </w:rPr>
              <w:t>prosthesis</w:t>
            </w:r>
            <w:r w:rsidR="000A21F2">
              <w:rPr>
                <w:rFonts w:cs="Arial"/>
              </w:rPr>
              <w:t xml:space="preserve"> and other consumables</w:t>
            </w:r>
          </w:p>
          <w:p w14:paraId="2267125D" w14:textId="5FBCEC25" w:rsidR="00B36E65" w:rsidRDefault="00B36E65" w:rsidP="003356AB">
            <w:pPr>
              <w:pStyle w:val="ListParagraph"/>
              <w:numPr>
                <w:ilvl w:val="0"/>
                <w:numId w:val="10"/>
              </w:numPr>
              <w:spacing w:after="0" w:line="240" w:lineRule="auto"/>
              <w:ind w:left="511" w:hanging="284"/>
              <w:contextualSpacing w:val="0"/>
              <w:rPr>
                <w:rFonts w:cs="Arial"/>
              </w:rPr>
            </w:pPr>
            <w:r>
              <w:rPr>
                <w:rFonts w:cs="Arial"/>
              </w:rPr>
              <w:t xml:space="preserve">cost to deliver </w:t>
            </w:r>
            <w:r w:rsidR="00A5302B">
              <w:rPr>
                <w:rFonts w:cs="Arial"/>
              </w:rPr>
              <w:t xml:space="preserve">TTVR </w:t>
            </w:r>
            <w:r>
              <w:rPr>
                <w:rFonts w:cs="Arial"/>
              </w:rPr>
              <w:t>intervention</w:t>
            </w:r>
          </w:p>
          <w:p w14:paraId="2D43F882" w14:textId="1A3BF233" w:rsidR="0018456A" w:rsidRDefault="00DE74AD" w:rsidP="60C4ED7E">
            <w:pPr>
              <w:pStyle w:val="ListParagraph"/>
              <w:numPr>
                <w:ilvl w:val="0"/>
                <w:numId w:val="10"/>
              </w:numPr>
              <w:spacing w:after="0" w:line="240" w:lineRule="auto"/>
              <w:ind w:left="511" w:hanging="284"/>
              <w:rPr>
                <w:rFonts w:cs="Arial"/>
              </w:rPr>
            </w:pPr>
            <w:r>
              <w:rPr>
                <w:rFonts w:cs="Arial"/>
              </w:rPr>
              <w:t>c</w:t>
            </w:r>
            <w:r w:rsidR="0018456A">
              <w:rPr>
                <w:rFonts w:cs="Arial"/>
              </w:rPr>
              <w:t>ost associated with changes in clinical management (testing required before the procedure, length of hospital stay, post-discharge rehabilitation)</w:t>
            </w:r>
          </w:p>
          <w:p w14:paraId="7095F424" w14:textId="1992BE23" w:rsidR="00A5302B" w:rsidRDefault="00A5302B" w:rsidP="00A4449B">
            <w:pPr>
              <w:pStyle w:val="ListParagraph"/>
              <w:numPr>
                <w:ilvl w:val="0"/>
                <w:numId w:val="10"/>
              </w:numPr>
              <w:spacing w:after="120" w:line="240" w:lineRule="auto"/>
              <w:ind w:left="511" w:hanging="284"/>
              <w:contextualSpacing w:val="0"/>
              <w:rPr>
                <w:rFonts w:cs="Arial"/>
              </w:rPr>
            </w:pPr>
            <w:r>
              <w:rPr>
                <w:rFonts w:cs="Arial"/>
              </w:rPr>
              <w:t xml:space="preserve">cost associated with </w:t>
            </w:r>
            <w:r w:rsidR="00915009">
              <w:rPr>
                <w:rFonts w:cs="Arial"/>
              </w:rPr>
              <w:t xml:space="preserve">management of </w:t>
            </w:r>
            <w:r>
              <w:rPr>
                <w:rFonts w:cs="Arial"/>
              </w:rPr>
              <w:t>complications</w:t>
            </w:r>
            <w:r w:rsidR="006D5F20">
              <w:rPr>
                <w:rFonts w:cs="Arial"/>
              </w:rPr>
              <w:t xml:space="preserve"> (including reintervention)</w:t>
            </w:r>
          </w:p>
          <w:p w14:paraId="026F9CC9" w14:textId="77777777" w:rsidR="001A68F9" w:rsidRPr="00DE74AD" w:rsidRDefault="001A68F9" w:rsidP="001A68F9">
            <w:pPr>
              <w:keepNext/>
              <w:spacing w:before="120" w:after="0" w:line="240" w:lineRule="auto"/>
              <w:rPr>
                <w:rFonts w:cs="Arial"/>
                <w:b/>
                <w:bCs/>
              </w:rPr>
            </w:pPr>
            <w:r w:rsidRPr="005B65D9">
              <w:rPr>
                <w:rFonts w:cs="Arial"/>
                <w:b/>
                <w:bCs/>
              </w:rPr>
              <w:lastRenderedPageBreak/>
              <w:t>Cost-effectiveness:</w:t>
            </w:r>
          </w:p>
          <w:p w14:paraId="0EDE7DF9" w14:textId="60A45399" w:rsidR="001A68F9" w:rsidRDefault="001A68F9" w:rsidP="001A68F9">
            <w:pPr>
              <w:pStyle w:val="ListParagraph"/>
              <w:numPr>
                <w:ilvl w:val="0"/>
                <w:numId w:val="10"/>
              </w:numPr>
              <w:spacing w:after="0" w:line="240" w:lineRule="auto"/>
              <w:ind w:left="511" w:hanging="284"/>
              <w:contextualSpacing w:val="0"/>
              <w:rPr>
                <w:rFonts w:cs="Arial"/>
              </w:rPr>
            </w:pPr>
            <w:r>
              <w:rPr>
                <w:rFonts w:cs="Arial"/>
              </w:rPr>
              <w:t>cost per life</w:t>
            </w:r>
            <w:r w:rsidR="004B7BB6">
              <w:rPr>
                <w:rFonts w:cs="Arial"/>
              </w:rPr>
              <w:t xml:space="preserve"> </w:t>
            </w:r>
            <w:r>
              <w:rPr>
                <w:rFonts w:cs="Arial"/>
              </w:rPr>
              <w:t>year gained</w:t>
            </w:r>
          </w:p>
          <w:p w14:paraId="089380B8" w14:textId="77777777" w:rsidR="001A68F9" w:rsidRDefault="001A68F9" w:rsidP="001A68F9">
            <w:pPr>
              <w:pStyle w:val="ListParagraph"/>
              <w:numPr>
                <w:ilvl w:val="0"/>
                <w:numId w:val="10"/>
              </w:numPr>
              <w:spacing w:after="0" w:line="240" w:lineRule="auto"/>
              <w:ind w:left="511" w:hanging="284"/>
              <w:contextualSpacing w:val="0"/>
              <w:rPr>
                <w:rFonts w:cs="Arial"/>
              </w:rPr>
            </w:pPr>
            <w:r>
              <w:rPr>
                <w:rFonts w:cs="Arial"/>
              </w:rPr>
              <w:t>cost per quality-adjusted life year (QALY) gained</w:t>
            </w:r>
          </w:p>
          <w:p w14:paraId="4B15A8CF" w14:textId="7BD6FCE4" w:rsidR="003356AB" w:rsidRPr="003356AB" w:rsidRDefault="003356AB" w:rsidP="005B65D9">
            <w:pPr>
              <w:keepNext/>
              <w:spacing w:before="120" w:after="0" w:line="240" w:lineRule="auto"/>
              <w:rPr>
                <w:rFonts w:cs="Arial"/>
                <w:b/>
                <w:bCs/>
              </w:rPr>
            </w:pPr>
            <w:r w:rsidRPr="003356AB">
              <w:rPr>
                <w:rFonts w:cs="Arial"/>
                <w:b/>
                <w:bCs/>
              </w:rPr>
              <w:t xml:space="preserve">Total Australian </w:t>
            </w:r>
            <w:r w:rsidR="006C6553">
              <w:rPr>
                <w:rFonts w:cs="Arial"/>
                <w:b/>
                <w:bCs/>
              </w:rPr>
              <w:t>g</w:t>
            </w:r>
            <w:r w:rsidRPr="003356AB">
              <w:rPr>
                <w:rFonts w:cs="Arial"/>
                <w:b/>
                <w:bCs/>
              </w:rPr>
              <w:t xml:space="preserve">overnment </w:t>
            </w:r>
            <w:r w:rsidR="006C6553">
              <w:rPr>
                <w:rFonts w:cs="Arial"/>
                <w:b/>
                <w:bCs/>
              </w:rPr>
              <w:t>h</w:t>
            </w:r>
            <w:r w:rsidRPr="003356AB">
              <w:rPr>
                <w:rFonts w:cs="Arial"/>
                <w:b/>
                <w:bCs/>
              </w:rPr>
              <w:t>ealthcare costs</w:t>
            </w:r>
          </w:p>
          <w:p w14:paraId="2CE71DFC" w14:textId="5455E690" w:rsidR="003356AB" w:rsidRDefault="006C6553" w:rsidP="003356AB">
            <w:pPr>
              <w:pStyle w:val="ListParagraph"/>
              <w:numPr>
                <w:ilvl w:val="0"/>
                <w:numId w:val="10"/>
              </w:numPr>
              <w:spacing w:after="0" w:line="240" w:lineRule="auto"/>
              <w:ind w:left="511" w:hanging="284"/>
              <w:contextualSpacing w:val="0"/>
              <w:rPr>
                <w:rFonts w:cs="Arial"/>
              </w:rPr>
            </w:pPr>
            <w:r>
              <w:rPr>
                <w:rFonts w:cs="Arial"/>
              </w:rPr>
              <w:t>t</w:t>
            </w:r>
            <w:r w:rsidR="003356AB">
              <w:rPr>
                <w:rFonts w:cs="Arial"/>
              </w:rPr>
              <w:t xml:space="preserve">otal cost </w:t>
            </w:r>
            <w:r w:rsidR="00A60793">
              <w:rPr>
                <w:rFonts w:cs="Arial"/>
              </w:rPr>
              <w:t>to the Medical Benefits Schedule (MBS)</w:t>
            </w:r>
          </w:p>
          <w:p w14:paraId="6F9242D7" w14:textId="01564458" w:rsidR="00A60793" w:rsidRPr="00E577CB" w:rsidRDefault="006C6553" w:rsidP="00A4449B">
            <w:pPr>
              <w:pStyle w:val="ListParagraph"/>
              <w:numPr>
                <w:ilvl w:val="0"/>
                <w:numId w:val="10"/>
              </w:numPr>
              <w:spacing w:after="120" w:line="240" w:lineRule="auto"/>
              <w:ind w:left="511" w:hanging="284"/>
              <w:contextualSpacing w:val="0"/>
              <w:rPr>
                <w:rFonts w:cs="Arial"/>
              </w:rPr>
            </w:pPr>
            <w:r>
              <w:rPr>
                <w:rFonts w:cs="Arial"/>
              </w:rPr>
              <w:t>t</w:t>
            </w:r>
            <w:r w:rsidR="00A60793">
              <w:rPr>
                <w:rFonts w:cs="Arial"/>
              </w:rPr>
              <w:t>otal cost to other government health budgets</w:t>
            </w:r>
            <w:r w:rsidR="00B5233C">
              <w:rPr>
                <w:rFonts w:cs="Arial"/>
              </w:rPr>
              <w:t>, including the Pharmaceutical Benefits Scheme (PBS)</w:t>
            </w:r>
          </w:p>
        </w:tc>
      </w:tr>
      <w:tr w:rsidR="00BB1698" w:rsidRPr="00490FBB" w14:paraId="4A55FFDB" w14:textId="77777777" w:rsidTr="39D7B982">
        <w:tc>
          <w:tcPr>
            <w:tcW w:w="1005" w:type="pct"/>
            <w:tcBorders>
              <w:top w:val="single" w:sz="4" w:space="0" w:color="auto"/>
              <w:left w:val="single" w:sz="8" w:space="0" w:color="auto"/>
              <w:bottom w:val="single" w:sz="8" w:space="0" w:color="auto"/>
              <w:right w:val="single" w:sz="4" w:space="0" w:color="auto"/>
            </w:tcBorders>
          </w:tcPr>
          <w:p w14:paraId="003B36EC" w14:textId="77777777" w:rsidR="00BB1698" w:rsidRPr="00490FBB" w:rsidRDefault="00BB1698" w:rsidP="00E01349">
            <w:pPr>
              <w:spacing w:before="120" w:after="120" w:line="240" w:lineRule="auto"/>
              <w:rPr>
                <w:rFonts w:cs="Arial"/>
              </w:rPr>
            </w:pPr>
            <w:r w:rsidRPr="00490FBB">
              <w:rPr>
                <w:rFonts w:cs="Arial"/>
              </w:rPr>
              <w:lastRenderedPageBreak/>
              <w:t>Assessment questions</w:t>
            </w:r>
          </w:p>
        </w:tc>
        <w:tc>
          <w:tcPr>
            <w:tcW w:w="3995" w:type="pct"/>
            <w:tcBorders>
              <w:top w:val="single" w:sz="4" w:space="0" w:color="auto"/>
              <w:left w:val="single" w:sz="4" w:space="0" w:color="auto"/>
              <w:bottom w:val="single" w:sz="4" w:space="0" w:color="auto"/>
              <w:right w:val="single" w:sz="4" w:space="0" w:color="auto"/>
            </w:tcBorders>
          </w:tcPr>
          <w:p w14:paraId="7AB69A9A" w14:textId="116AD09F" w:rsidR="00BB1698" w:rsidRPr="00E577CB" w:rsidRDefault="156C1B82" w:rsidP="00E01349">
            <w:pPr>
              <w:spacing w:before="120" w:after="120" w:line="240" w:lineRule="auto"/>
              <w:rPr>
                <w:rFonts w:cs="Arial"/>
              </w:rPr>
            </w:pPr>
            <w:r w:rsidRPr="39D7B982">
              <w:rPr>
                <w:rFonts w:cs="Arial"/>
              </w:rPr>
              <w:t xml:space="preserve">What is the </w:t>
            </w:r>
            <w:r w:rsidR="7306EAA8" w:rsidRPr="39D7B982">
              <w:rPr>
                <w:rFonts w:cs="Arial"/>
              </w:rPr>
              <w:t xml:space="preserve">comparative </w:t>
            </w:r>
            <w:r w:rsidRPr="39D7B982">
              <w:rPr>
                <w:rFonts w:cs="Arial"/>
              </w:rPr>
              <w:t xml:space="preserve">safety, </w:t>
            </w:r>
            <w:r w:rsidR="7306EAA8" w:rsidRPr="39D7B982">
              <w:rPr>
                <w:rFonts w:cs="Arial"/>
              </w:rPr>
              <w:t xml:space="preserve">comparative </w:t>
            </w:r>
            <w:r w:rsidRPr="39D7B982">
              <w:rPr>
                <w:rFonts w:cs="Arial"/>
              </w:rPr>
              <w:t xml:space="preserve">effectiveness and cost-effectiveness of </w:t>
            </w:r>
            <w:r w:rsidR="4790A92C" w:rsidRPr="39D7B982">
              <w:rPr>
                <w:rFonts w:cs="Arial"/>
              </w:rPr>
              <w:t>TTVR</w:t>
            </w:r>
            <w:r w:rsidR="75766631" w:rsidRPr="39D7B982">
              <w:rPr>
                <w:rFonts w:cs="Arial"/>
              </w:rPr>
              <w:t xml:space="preserve"> </w:t>
            </w:r>
            <w:r w:rsidR="2422FEEA" w:rsidRPr="39D7B982">
              <w:rPr>
                <w:rFonts w:cs="Arial"/>
              </w:rPr>
              <w:t xml:space="preserve">in </w:t>
            </w:r>
            <w:r w:rsidR="5BD9B976" w:rsidRPr="39D7B982">
              <w:rPr>
                <w:rFonts w:cs="Arial"/>
              </w:rPr>
              <w:t>addition to</w:t>
            </w:r>
            <w:r w:rsidR="2422FEEA" w:rsidRPr="39D7B982">
              <w:rPr>
                <w:rFonts w:cs="Arial"/>
              </w:rPr>
              <w:t xml:space="preserve"> contin</w:t>
            </w:r>
            <w:r w:rsidR="4790A92C" w:rsidRPr="39D7B982">
              <w:rPr>
                <w:rFonts w:cs="Arial"/>
              </w:rPr>
              <w:t xml:space="preserve">ued OMT </w:t>
            </w:r>
            <w:r w:rsidRPr="39D7B982">
              <w:rPr>
                <w:rFonts w:cs="Arial"/>
              </w:rPr>
              <w:t xml:space="preserve">versus </w:t>
            </w:r>
            <w:r w:rsidR="4790A92C" w:rsidRPr="39D7B982">
              <w:rPr>
                <w:rFonts w:cs="Arial"/>
              </w:rPr>
              <w:t>OMT</w:t>
            </w:r>
            <w:r w:rsidR="60FDCEB0" w:rsidRPr="39D7B982">
              <w:rPr>
                <w:rFonts w:cs="Arial"/>
              </w:rPr>
              <w:t xml:space="preserve"> alone</w:t>
            </w:r>
            <w:r w:rsidRPr="39D7B982">
              <w:rPr>
                <w:rFonts w:cs="Arial"/>
              </w:rPr>
              <w:t xml:space="preserve"> in</w:t>
            </w:r>
            <w:r w:rsidR="18518A51" w:rsidRPr="39D7B982">
              <w:rPr>
                <w:rFonts w:cs="Arial"/>
              </w:rPr>
              <w:t xml:space="preserve"> </w:t>
            </w:r>
            <w:r w:rsidR="742B8F67" w:rsidRPr="39D7B982">
              <w:rPr>
                <w:rFonts w:cs="Arial"/>
              </w:rPr>
              <w:t xml:space="preserve">patients with severe, symptomatic </w:t>
            </w:r>
            <w:r w:rsidR="4790A92C" w:rsidRPr="39D7B982">
              <w:rPr>
                <w:rFonts w:cs="Arial"/>
              </w:rPr>
              <w:t>TR</w:t>
            </w:r>
            <w:r w:rsidR="742B8F67" w:rsidRPr="39D7B982">
              <w:rPr>
                <w:rFonts w:cs="Arial"/>
              </w:rPr>
              <w:t xml:space="preserve"> despite </w:t>
            </w:r>
            <w:r w:rsidR="4790A92C" w:rsidRPr="39D7B982">
              <w:rPr>
                <w:rFonts w:cs="Arial"/>
              </w:rPr>
              <w:t>OMT</w:t>
            </w:r>
            <w:r w:rsidR="753AFA38" w:rsidRPr="39D7B982">
              <w:rPr>
                <w:rFonts w:cs="Arial"/>
              </w:rPr>
              <w:t xml:space="preserve"> who </w:t>
            </w:r>
            <w:r w:rsidR="42EF7F5F">
              <w:t xml:space="preserve">are </w:t>
            </w:r>
            <w:r w:rsidR="6C8857DD">
              <w:t>suitable for TTVR</w:t>
            </w:r>
            <w:r w:rsidRPr="39D7B982">
              <w:rPr>
                <w:rFonts w:cs="Arial"/>
              </w:rPr>
              <w:t>?</w:t>
            </w:r>
          </w:p>
        </w:tc>
      </w:tr>
    </w:tbl>
    <w:p w14:paraId="5D5376EF" w14:textId="2A610A91" w:rsidR="006478E7" w:rsidRPr="00490FBB" w:rsidRDefault="006478E7" w:rsidP="00E01349"/>
    <w:p w14:paraId="53297713" w14:textId="0DA7B658" w:rsidR="00912660" w:rsidRDefault="00912660" w:rsidP="00713728">
      <w:pPr>
        <w:pStyle w:val="Heading2"/>
      </w:pPr>
      <w:r>
        <w:t>Purpose of application</w:t>
      </w:r>
    </w:p>
    <w:p w14:paraId="0E65AD1B" w14:textId="011DB9B8" w:rsidR="004C2C5E" w:rsidRDefault="004C2C5E" w:rsidP="004C2C5E">
      <w:pPr>
        <w:spacing w:after="240"/>
        <w:rPr>
          <w:iCs/>
        </w:rPr>
      </w:pPr>
      <w:r w:rsidRPr="009A3778">
        <w:rPr>
          <w:iCs/>
        </w:rPr>
        <w:t xml:space="preserve">An application </w:t>
      </w:r>
      <w:r w:rsidRPr="00C7132B">
        <w:rPr>
          <w:iCs/>
        </w:rPr>
        <w:t xml:space="preserve">requesting Medicare Benefits Schedule (MBS) listing of </w:t>
      </w:r>
      <w:r w:rsidR="001F1009" w:rsidRPr="00C7132B">
        <w:rPr>
          <w:iCs/>
        </w:rPr>
        <w:t>transcatheter</w:t>
      </w:r>
      <w:r w:rsidR="001F1009">
        <w:rPr>
          <w:iCs/>
        </w:rPr>
        <w:t xml:space="preserve"> </w:t>
      </w:r>
      <w:r w:rsidR="00B35EBD">
        <w:rPr>
          <w:iCs/>
        </w:rPr>
        <w:t>tricuspid valve replacement (TTVR)</w:t>
      </w:r>
      <w:r w:rsidRPr="009A3778">
        <w:rPr>
          <w:iCs/>
        </w:rPr>
        <w:t xml:space="preserve"> for </w:t>
      </w:r>
      <w:r w:rsidR="00B35EBD">
        <w:rPr>
          <w:iCs/>
        </w:rPr>
        <w:t xml:space="preserve">the treatment of </w:t>
      </w:r>
      <w:r w:rsidR="008312BD">
        <w:rPr>
          <w:iCs/>
        </w:rPr>
        <w:t xml:space="preserve">severe, symptomatic tricuspid regurgitation (TR) despite optimal </w:t>
      </w:r>
      <w:r w:rsidR="000722A4">
        <w:rPr>
          <w:iCs/>
        </w:rPr>
        <w:t>medical therapy (OMT)</w:t>
      </w:r>
      <w:r w:rsidRPr="009A3778">
        <w:rPr>
          <w:iCs/>
        </w:rPr>
        <w:t xml:space="preserve"> was received from </w:t>
      </w:r>
      <w:r w:rsidR="000722A4">
        <w:rPr>
          <w:iCs/>
        </w:rPr>
        <w:t xml:space="preserve">Edwards Lifesciences Pty Limited </w:t>
      </w:r>
      <w:r w:rsidRPr="009A3778">
        <w:rPr>
          <w:iCs/>
        </w:rPr>
        <w:t>by the Department of Health</w:t>
      </w:r>
      <w:r w:rsidR="000722A4">
        <w:rPr>
          <w:iCs/>
        </w:rPr>
        <w:t xml:space="preserve"> and Aged Care.</w:t>
      </w:r>
    </w:p>
    <w:p w14:paraId="167772D8" w14:textId="27570D76" w:rsidR="001E19A8" w:rsidRPr="0070417B" w:rsidRDefault="00E45334" w:rsidP="006D0D62">
      <w:pPr>
        <w:spacing w:after="120"/>
        <w:contextualSpacing/>
        <w:rPr>
          <w:iCs/>
        </w:rPr>
      </w:pPr>
      <w:r>
        <w:rPr>
          <w:iCs/>
        </w:rPr>
        <w:t xml:space="preserve">The clinical claim made in the application </w:t>
      </w:r>
      <w:r w:rsidR="00CC36E7">
        <w:rPr>
          <w:iCs/>
        </w:rPr>
        <w:t>wa</w:t>
      </w:r>
      <w:r>
        <w:rPr>
          <w:iCs/>
        </w:rPr>
        <w:t>s that</w:t>
      </w:r>
      <w:r w:rsidR="00F130EF">
        <w:rPr>
          <w:iCs/>
        </w:rPr>
        <w:t xml:space="preserve"> TTVR </w:t>
      </w:r>
      <w:r w:rsidR="00CB0ABB">
        <w:rPr>
          <w:iCs/>
        </w:rPr>
        <w:t xml:space="preserve">using the </w:t>
      </w:r>
      <w:r w:rsidR="00FC6E17" w:rsidRPr="00FC6E17">
        <w:rPr>
          <w:iCs/>
        </w:rPr>
        <w:t xml:space="preserve">Edwards EVOQUE </w:t>
      </w:r>
      <w:r w:rsidR="00283291">
        <w:rPr>
          <w:iCs/>
        </w:rPr>
        <w:t>T</w:t>
      </w:r>
      <w:r w:rsidR="00FC6E17" w:rsidRPr="00FC6E17">
        <w:rPr>
          <w:iCs/>
        </w:rPr>
        <w:t xml:space="preserve">ricuspid </w:t>
      </w:r>
      <w:r w:rsidR="00283291">
        <w:rPr>
          <w:iCs/>
        </w:rPr>
        <w:t>V</w:t>
      </w:r>
      <w:r w:rsidR="00FC6E17" w:rsidRPr="00FC6E17">
        <w:rPr>
          <w:iCs/>
        </w:rPr>
        <w:t xml:space="preserve">alve </w:t>
      </w:r>
      <w:r w:rsidR="00283291">
        <w:rPr>
          <w:iCs/>
        </w:rPr>
        <w:t>R</w:t>
      </w:r>
      <w:r w:rsidR="00FC6E17" w:rsidRPr="00FC6E17">
        <w:rPr>
          <w:iCs/>
        </w:rPr>
        <w:t xml:space="preserve">eplacement </w:t>
      </w:r>
      <w:r w:rsidR="00283291">
        <w:rPr>
          <w:iCs/>
        </w:rPr>
        <w:t>S</w:t>
      </w:r>
      <w:r w:rsidR="00FC6E17" w:rsidRPr="00FC6E17">
        <w:rPr>
          <w:iCs/>
        </w:rPr>
        <w:t>ystem (</w:t>
      </w:r>
      <w:r w:rsidR="007C6A88">
        <w:rPr>
          <w:iCs/>
        </w:rPr>
        <w:t xml:space="preserve">herein referred to as the </w:t>
      </w:r>
      <w:r w:rsidR="00FC6E17" w:rsidRPr="00FC6E17">
        <w:rPr>
          <w:iCs/>
        </w:rPr>
        <w:t xml:space="preserve">EVOQUE system) </w:t>
      </w:r>
      <w:r w:rsidR="00443B09">
        <w:rPr>
          <w:iCs/>
        </w:rPr>
        <w:t>is</w:t>
      </w:r>
      <w:r w:rsidR="00F130EF">
        <w:rPr>
          <w:iCs/>
        </w:rPr>
        <w:t xml:space="preserve"> superior </w:t>
      </w:r>
      <w:r w:rsidR="00FE7B09">
        <w:rPr>
          <w:iCs/>
        </w:rPr>
        <w:t xml:space="preserve">with respect to efficacy </w:t>
      </w:r>
      <w:r w:rsidR="00B645EA">
        <w:rPr>
          <w:iCs/>
        </w:rPr>
        <w:t xml:space="preserve">(in terms of health status) </w:t>
      </w:r>
      <w:r w:rsidR="00FE7B09">
        <w:rPr>
          <w:iCs/>
        </w:rPr>
        <w:t>and non-inferior with respect to safety</w:t>
      </w:r>
      <w:r w:rsidR="00F130EF">
        <w:rPr>
          <w:iCs/>
        </w:rPr>
        <w:t xml:space="preserve"> </w:t>
      </w:r>
      <w:r w:rsidR="00FA3C9C">
        <w:rPr>
          <w:iCs/>
        </w:rPr>
        <w:t xml:space="preserve">(long-term adverse events) </w:t>
      </w:r>
      <w:r w:rsidR="006F4100">
        <w:rPr>
          <w:iCs/>
        </w:rPr>
        <w:t>compared to OMT</w:t>
      </w:r>
      <w:r w:rsidR="00731841">
        <w:rPr>
          <w:iCs/>
        </w:rPr>
        <w:t xml:space="preserve"> without </w:t>
      </w:r>
      <w:r w:rsidR="001E19A8">
        <w:rPr>
          <w:iCs/>
        </w:rPr>
        <w:t>TTVR.</w:t>
      </w:r>
    </w:p>
    <w:p w14:paraId="18E66948" w14:textId="3233BE11" w:rsidR="00D73332" w:rsidRPr="00FD4C65" w:rsidRDefault="00D73332" w:rsidP="006D0D62">
      <w:pPr>
        <w:pStyle w:val="Heading2"/>
        <w:spacing w:before="240" w:after="0"/>
      </w:pPr>
      <w:r w:rsidRPr="00FD4C65">
        <w:t xml:space="preserve">PICO </w:t>
      </w:r>
      <w:r w:rsidR="00FD4E33" w:rsidRPr="00FD4C65">
        <w:t>criteria</w:t>
      </w:r>
    </w:p>
    <w:p w14:paraId="06B30611" w14:textId="77777777" w:rsidR="007D6B83" w:rsidRDefault="007D6B83" w:rsidP="006D0D62">
      <w:pPr>
        <w:pStyle w:val="Heading3"/>
        <w:spacing w:before="240"/>
      </w:pPr>
      <w:r w:rsidRPr="00713728">
        <w:t>Population</w:t>
      </w:r>
    </w:p>
    <w:p w14:paraId="29CB166E" w14:textId="470D3D5D" w:rsidR="00AB0466" w:rsidRDefault="00B47061" w:rsidP="004C16A9">
      <w:r>
        <w:t xml:space="preserve">The proposed population </w:t>
      </w:r>
      <w:r w:rsidR="003A1D57">
        <w:t xml:space="preserve">is </w:t>
      </w:r>
      <w:r w:rsidR="00A94779">
        <w:t>patients</w:t>
      </w:r>
      <w:r w:rsidR="001B4F28" w:rsidRPr="001B4F28">
        <w:t xml:space="preserve"> with TR </w:t>
      </w:r>
      <w:r w:rsidR="007E01D4">
        <w:t>(</w:t>
      </w:r>
      <w:r w:rsidR="00B611DB">
        <w:t>primary or secondary</w:t>
      </w:r>
      <w:r w:rsidR="007E01D4">
        <w:t xml:space="preserve">) </w:t>
      </w:r>
      <w:r w:rsidR="001B4F28" w:rsidRPr="001B4F28">
        <w:t xml:space="preserve">graded at least severe, as determined by echocardiography, with symptoms </w:t>
      </w:r>
      <w:r w:rsidR="00193184">
        <w:rPr>
          <w:rFonts w:cs="Arial"/>
        </w:rPr>
        <w:t xml:space="preserve">(New York Heart Association [NYHA] functional class </w:t>
      </w:r>
      <w:r w:rsidR="009C11A3">
        <w:rPr>
          <w:rFonts w:cs="Arial"/>
        </w:rPr>
        <w:t>II</w:t>
      </w:r>
      <w:r w:rsidR="00193184">
        <w:rPr>
          <w:rFonts w:cs="Arial"/>
        </w:rPr>
        <w:t xml:space="preserve"> or greater) </w:t>
      </w:r>
      <w:r w:rsidR="001B4F28" w:rsidRPr="001B4F28">
        <w:t>that persist despite OMT, and who have left ventricular ejection fraction (LVEF) of 25% or more.</w:t>
      </w:r>
      <w:r w:rsidR="00D4113F">
        <w:t xml:space="preserve"> </w:t>
      </w:r>
      <w:r w:rsidR="00467280">
        <w:t>To be eligible for the intervention, p</w:t>
      </w:r>
      <w:r w:rsidR="00A94779">
        <w:t xml:space="preserve">atients must </w:t>
      </w:r>
      <w:r w:rsidR="00467280">
        <w:t xml:space="preserve">also </w:t>
      </w:r>
      <w:r w:rsidR="00A94779">
        <w:t>be</w:t>
      </w:r>
      <w:r w:rsidR="00AB0466" w:rsidRPr="00BC3038">
        <w:t xml:space="preserve"> deemed by a qualified multidisciplinary heart team to be suitable for </w:t>
      </w:r>
      <w:r w:rsidR="00200117">
        <w:t xml:space="preserve">isolated </w:t>
      </w:r>
      <w:r w:rsidR="00AB0466" w:rsidRPr="00BC3038">
        <w:t>TTVR.</w:t>
      </w:r>
    </w:p>
    <w:p w14:paraId="31406B87" w14:textId="52DC2CC6" w:rsidR="0030053D" w:rsidRDefault="0030053D" w:rsidP="004C16A9">
      <w:r>
        <w:t>The application did not specify that the patient population had to be inoperable or at high surgical risk but acknowledged that open heart surgery would be an unsafe or unacceptable option for the majority of patients with severe, symptomatic TR.</w:t>
      </w:r>
    </w:p>
    <w:p w14:paraId="03D5E2EB" w14:textId="447BD7C5" w:rsidR="00912B6B" w:rsidRDefault="00803AC3" w:rsidP="00912B6B">
      <w:r>
        <w:t xml:space="preserve">The </w:t>
      </w:r>
      <w:r w:rsidR="006B3EEE">
        <w:t xml:space="preserve">assessment group added the </w:t>
      </w:r>
      <w:r w:rsidR="003113D6">
        <w:t>requirement for echocardiography to determine TR severity</w:t>
      </w:r>
      <w:r w:rsidR="00265E80">
        <w:t>,</w:t>
      </w:r>
      <w:r w:rsidR="003113D6">
        <w:t xml:space="preserve"> and </w:t>
      </w:r>
      <w:r w:rsidR="00FC55EA">
        <w:t xml:space="preserve">confirmation of symptoms using </w:t>
      </w:r>
      <w:r w:rsidR="003113D6">
        <w:t>NYHA functional class</w:t>
      </w:r>
      <w:r w:rsidR="007D2C59">
        <w:t>.</w:t>
      </w:r>
      <w:r w:rsidR="00FC55EA">
        <w:t xml:space="preserve"> </w:t>
      </w:r>
      <w:r w:rsidR="001A20A1">
        <w:t xml:space="preserve">At the pre-PASC </w:t>
      </w:r>
      <w:r w:rsidR="00C81C6D">
        <w:t>meeting,</w:t>
      </w:r>
      <w:bookmarkStart w:id="3" w:name="_Ref197029188"/>
      <w:r w:rsidR="00C81C6D">
        <w:rPr>
          <w:rStyle w:val="FootnoteReference"/>
        </w:rPr>
        <w:footnoteReference w:id="2"/>
      </w:r>
      <w:bookmarkEnd w:id="3"/>
      <w:r w:rsidR="00C81C6D">
        <w:t xml:space="preserve"> the applicant </w:t>
      </w:r>
      <w:r w:rsidR="006877B3">
        <w:t xml:space="preserve">confirmed </w:t>
      </w:r>
      <w:r w:rsidR="00E8475A" w:rsidRPr="00E8475A">
        <w:t xml:space="preserve">that the intervention is intended for patients eligible for isolated TTVR, without </w:t>
      </w:r>
      <w:r w:rsidR="00912B6B">
        <w:t xml:space="preserve">concomitant </w:t>
      </w:r>
      <w:r w:rsidR="00912B6B">
        <w:lastRenderedPageBreak/>
        <w:t xml:space="preserve">cardiovascular procedures, such as coronary artery bypass grafts, other valvular operations, aortic operations, </w:t>
      </w:r>
      <w:r w:rsidR="00806680">
        <w:t>or</w:t>
      </w:r>
      <w:r w:rsidR="00912B6B">
        <w:t xml:space="preserve"> ventricular assist device implantations.</w:t>
      </w:r>
      <w:r w:rsidR="0040712B">
        <w:t xml:space="preserve"> </w:t>
      </w:r>
    </w:p>
    <w:p w14:paraId="75C5EAB9" w14:textId="159FADE2" w:rsidR="00743C93" w:rsidRDefault="003E345A" w:rsidP="00F16F8F">
      <w:r>
        <w:t xml:space="preserve">The </w:t>
      </w:r>
      <w:r w:rsidR="00E65D4F">
        <w:t xml:space="preserve">proposed </w:t>
      </w:r>
      <w:r>
        <w:t xml:space="preserve">population is consistent with the </w:t>
      </w:r>
      <w:r w:rsidR="00E65D4F">
        <w:t xml:space="preserve">study </w:t>
      </w:r>
      <w:r w:rsidR="009B2DB1">
        <w:t xml:space="preserve">population in the pivotal </w:t>
      </w:r>
      <w:r w:rsidR="006A3339">
        <w:t xml:space="preserve">randomised controlled trial (RCT) </w:t>
      </w:r>
      <w:r w:rsidR="008A14D5">
        <w:t>that</w:t>
      </w:r>
      <w:r w:rsidR="00B55A3C">
        <w:t xml:space="preserve"> evaluate</w:t>
      </w:r>
      <w:r w:rsidR="008A14D5">
        <w:t>d</w:t>
      </w:r>
      <w:r w:rsidR="00B55A3C">
        <w:t xml:space="preserve"> the safety and </w:t>
      </w:r>
      <w:r w:rsidR="003107A8">
        <w:t>efficacy</w:t>
      </w:r>
      <w:r w:rsidR="00B55A3C">
        <w:t xml:space="preserve"> of the EVOQUE system</w:t>
      </w:r>
      <w:r w:rsidR="00427B5D">
        <w:t xml:space="preserve"> </w:t>
      </w:r>
      <w:r w:rsidR="008A14D5">
        <w:t xml:space="preserve">(in </w:t>
      </w:r>
      <w:r w:rsidR="006B0099">
        <w:t>addition to</w:t>
      </w:r>
      <w:r w:rsidR="008A14D5">
        <w:t xml:space="preserve"> continued OMT) versus OMT alone</w:t>
      </w:r>
      <w:r w:rsidR="0034273F">
        <w:t xml:space="preserve">, </w:t>
      </w:r>
      <w:r w:rsidR="007357A4">
        <w:t>referred to</w:t>
      </w:r>
      <w:r w:rsidR="00E65D4F">
        <w:t xml:space="preserve"> as the </w:t>
      </w:r>
      <w:r w:rsidR="009A75BA">
        <w:t xml:space="preserve">TRISCEND II Pivotal Trial </w:t>
      </w:r>
      <w:r w:rsidR="006C01C4">
        <w:t>(</w:t>
      </w:r>
      <w:hyperlink r:id="rId11" w:tooltip="Hyperlink to ClinicalTrials.gov website entry for the TRISCEND II Pivotal Trial" w:history="1">
        <w:r w:rsidR="009A75BA" w:rsidRPr="005E0A38">
          <w:rPr>
            <w:rStyle w:val="Hyperlink"/>
            <w:rFonts w:ascii="Calibri" w:hAnsi="Calibri"/>
          </w:rPr>
          <w:t>NCT</w:t>
        </w:r>
        <w:r w:rsidR="0034273F" w:rsidRPr="005E0A38">
          <w:rPr>
            <w:rStyle w:val="Hyperlink"/>
            <w:rFonts w:ascii="Calibri" w:hAnsi="Calibri"/>
          </w:rPr>
          <w:t>04482062</w:t>
        </w:r>
      </w:hyperlink>
      <w:r w:rsidR="005E3D1A" w:rsidRPr="005E0A38">
        <w:t xml:space="preserve">; Grayburn et al. </w:t>
      </w:r>
      <w:r w:rsidR="0047738D" w:rsidRPr="005E0A38">
        <w:t>2024</w:t>
      </w:r>
      <w:r w:rsidR="006C01C4" w:rsidRPr="005E0A38">
        <w:t>).</w:t>
      </w:r>
      <w:r w:rsidR="002833C4" w:rsidRPr="00E41DDF">
        <w:t xml:space="preserve"> </w:t>
      </w:r>
      <w:r w:rsidR="00743C93">
        <w:t>Although</w:t>
      </w:r>
      <w:r w:rsidR="000821A8">
        <w:t xml:space="preserve"> </w:t>
      </w:r>
      <w:r w:rsidR="007A2A34">
        <w:t xml:space="preserve">high </w:t>
      </w:r>
      <w:r w:rsidR="000821A8">
        <w:t xml:space="preserve">surgical risk was not an explicit </w:t>
      </w:r>
      <w:r w:rsidR="00D53367">
        <w:t>exclusion</w:t>
      </w:r>
      <w:r w:rsidR="00197ABD">
        <w:t xml:space="preserve"> criterion </w:t>
      </w:r>
      <w:r w:rsidR="00CD0126">
        <w:t>in</w:t>
      </w:r>
      <w:r w:rsidR="00197ABD">
        <w:t xml:space="preserve"> TRISCEND II, </w:t>
      </w:r>
      <w:r w:rsidR="00A06D11">
        <w:t xml:space="preserve">the applicant’s clinical expert </w:t>
      </w:r>
      <w:r w:rsidR="005B353F">
        <w:t>advised</w:t>
      </w:r>
      <w:r w:rsidR="00AD2590">
        <w:t xml:space="preserve"> that it was implicit in the </w:t>
      </w:r>
      <w:r w:rsidR="007A2A34">
        <w:t>trial design</w:t>
      </w:r>
      <w:r w:rsidR="00A07174">
        <w:t xml:space="preserve"> because </w:t>
      </w:r>
      <w:r w:rsidR="00DD10DB">
        <w:t xml:space="preserve">the local heart team </w:t>
      </w:r>
      <w:r w:rsidR="0020708C">
        <w:t xml:space="preserve">would have </w:t>
      </w:r>
      <w:r w:rsidR="00D52BBD">
        <w:t xml:space="preserve">assessed whether surgery was the most suitable option for the patient when evaluating the </w:t>
      </w:r>
      <w:r w:rsidR="00A07174">
        <w:t>appropriateness</w:t>
      </w:r>
      <w:r w:rsidR="002C0776">
        <w:t xml:space="preserve"> </w:t>
      </w:r>
      <w:r w:rsidR="00D52BBD">
        <w:t>of</w:t>
      </w:r>
      <w:r w:rsidR="002C0776">
        <w:t xml:space="preserve"> TTVR</w:t>
      </w:r>
      <w:r w:rsidR="00D53367">
        <w:t>.</w:t>
      </w:r>
      <w:r w:rsidR="0013182E" w:rsidRPr="0013182E">
        <w:rPr>
          <w:vertAlign w:val="superscript"/>
        </w:rPr>
        <w:fldChar w:fldCharType="begin"/>
      </w:r>
      <w:r w:rsidR="0013182E" w:rsidRPr="0013182E">
        <w:rPr>
          <w:vertAlign w:val="superscript"/>
        </w:rPr>
        <w:instrText xml:space="preserve"> NOTEREF _Ref197029188 \h </w:instrText>
      </w:r>
      <w:r w:rsidR="0013182E">
        <w:rPr>
          <w:vertAlign w:val="superscript"/>
        </w:rPr>
        <w:instrText xml:space="preserve"> \* MERGEFORMAT </w:instrText>
      </w:r>
      <w:r w:rsidR="0013182E" w:rsidRPr="0013182E">
        <w:rPr>
          <w:vertAlign w:val="superscript"/>
        </w:rPr>
      </w:r>
      <w:r w:rsidR="0013182E" w:rsidRPr="0013182E">
        <w:rPr>
          <w:vertAlign w:val="superscript"/>
        </w:rPr>
        <w:fldChar w:fldCharType="separate"/>
      </w:r>
      <w:r w:rsidR="00481F36">
        <w:rPr>
          <w:vertAlign w:val="superscript"/>
        </w:rPr>
        <w:t>1</w:t>
      </w:r>
      <w:r w:rsidR="0013182E" w:rsidRPr="0013182E">
        <w:rPr>
          <w:vertAlign w:val="superscript"/>
        </w:rPr>
        <w:fldChar w:fldCharType="end"/>
      </w:r>
    </w:p>
    <w:p w14:paraId="41A49BC9" w14:textId="20C9B8DE" w:rsidR="00F16F8F" w:rsidRPr="00E41DDF" w:rsidRDefault="00F16F8F" w:rsidP="006D0D62">
      <w:pPr>
        <w:spacing w:after="0"/>
      </w:pPr>
      <w:r>
        <w:t>Key</w:t>
      </w:r>
      <w:r w:rsidRPr="00E41DDF">
        <w:t xml:space="preserve"> exclusion criteria for enrolment in TRISCEND II included:</w:t>
      </w:r>
    </w:p>
    <w:p w14:paraId="35C7E857" w14:textId="34C4D6F5" w:rsidR="00534353" w:rsidRDefault="00534353" w:rsidP="006D0D62">
      <w:pPr>
        <w:pStyle w:val="ListParagraph"/>
        <w:numPr>
          <w:ilvl w:val="0"/>
          <w:numId w:val="18"/>
        </w:numPr>
        <w:spacing w:line="240" w:lineRule="auto"/>
        <w:ind w:left="714" w:hanging="357"/>
      </w:pPr>
      <w:r>
        <w:t>age &lt;18 years</w:t>
      </w:r>
    </w:p>
    <w:p w14:paraId="62F93A38" w14:textId="25AD5CD7" w:rsidR="00F16F8F" w:rsidRPr="00E41DDF" w:rsidRDefault="00F16F8F" w:rsidP="006D0D62">
      <w:pPr>
        <w:pStyle w:val="ListParagraph"/>
        <w:numPr>
          <w:ilvl w:val="0"/>
          <w:numId w:val="18"/>
        </w:numPr>
        <w:spacing w:line="240" w:lineRule="auto"/>
        <w:ind w:left="714" w:hanging="357"/>
      </w:pPr>
      <w:r w:rsidRPr="00E41DDF">
        <w:t xml:space="preserve">anatomy precluding proper </w:t>
      </w:r>
      <w:r w:rsidR="00335131">
        <w:t>device delivery, deployment or function</w:t>
      </w:r>
    </w:p>
    <w:p w14:paraId="0E3B6C22" w14:textId="748656A8" w:rsidR="00F16F8F" w:rsidRPr="00E41DDF" w:rsidRDefault="00F16F8F" w:rsidP="006D0D62">
      <w:pPr>
        <w:pStyle w:val="ListParagraph"/>
        <w:numPr>
          <w:ilvl w:val="0"/>
          <w:numId w:val="18"/>
        </w:numPr>
        <w:spacing w:line="240" w:lineRule="auto"/>
        <w:ind w:left="714" w:hanging="357"/>
      </w:pPr>
      <w:r w:rsidRPr="00E41DDF">
        <w:t xml:space="preserve">evidence of severe right ventricular </w:t>
      </w:r>
      <w:r w:rsidR="00BB709D">
        <w:t xml:space="preserve">(RV) </w:t>
      </w:r>
      <w:r w:rsidRPr="00E41DDF">
        <w:t>dysfunction</w:t>
      </w:r>
    </w:p>
    <w:p w14:paraId="18B01C83" w14:textId="77777777" w:rsidR="00F16F8F" w:rsidRPr="00E41DDF" w:rsidRDefault="00F16F8F" w:rsidP="006D0D62">
      <w:pPr>
        <w:pStyle w:val="ListParagraph"/>
        <w:numPr>
          <w:ilvl w:val="0"/>
          <w:numId w:val="18"/>
        </w:numPr>
        <w:spacing w:line="240" w:lineRule="auto"/>
        <w:ind w:left="714" w:hanging="357"/>
      </w:pPr>
      <w:r w:rsidRPr="00E41DDF">
        <w:t>severe renal insufficiency or severe pulmonary hypertension</w:t>
      </w:r>
    </w:p>
    <w:p w14:paraId="37427DFF" w14:textId="77777777" w:rsidR="00F16F8F" w:rsidRDefault="00F16F8F" w:rsidP="006D0D62">
      <w:pPr>
        <w:pStyle w:val="ListParagraph"/>
        <w:numPr>
          <w:ilvl w:val="0"/>
          <w:numId w:val="18"/>
        </w:numPr>
        <w:spacing w:line="240" w:lineRule="auto"/>
        <w:ind w:left="714" w:hanging="357"/>
      </w:pPr>
      <w:r w:rsidRPr="00E41DDF">
        <w:t>severe aortic, mitral and/or pulmonic valve stenosis and/or regurgitation.</w:t>
      </w:r>
    </w:p>
    <w:p w14:paraId="0CE86027" w14:textId="49E4BBE6" w:rsidR="00F16F8F" w:rsidRDefault="00F16F8F" w:rsidP="00F16F8F">
      <w:r>
        <w:t>Although t</w:t>
      </w:r>
      <w:r w:rsidRPr="001E0902">
        <w:t xml:space="preserve">he proposed </w:t>
      </w:r>
      <w:r w:rsidR="00113D6A">
        <w:t>population</w:t>
      </w:r>
      <w:r w:rsidRPr="001E0902">
        <w:t xml:space="preserve"> does not specify </w:t>
      </w:r>
      <w:r w:rsidR="00113D6A">
        <w:t>these</w:t>
      </w:r>
      <w:r>
        <w:t xml:space="preserve"> </w:t>
      </w:r>
      <w:r w:rsidRPr="001E0902">
        <w:t xml:space="preserve">exclusion criteria, </w:t>
      </w:r>
      <w:r>
        <w:t>the application noted that</w:t>
      </w:r>
      <w:r w:rsidRPr="001E0902">
        <w:t xml:space="preserve"> it is expected that these would be realised in practice through the multidisciplinary </w:t>
      </w:r>
      <w:r>
        <w:t>h</w:t>
      </w:r>
      <w:r w:rsidRPr="001E0902">
        <w:t xml:space="preserve">eart </w:t>
      </w:r>
      <w:r>
        <w:t>t</w:t>
      </w:r>
      <w:r w:rsidRPr="001E0902">
        <w:t xml:space="preserve">eam </w:t>
      </w:r>
      <w:r>
        <w:t xml:space="preserve">who will be required to </w:t>
      </w:r>
      <w:r w:rsidRPr="001E0902">
        <w:t>determine eligibility for the procedure.</w:t>
      </w:r>
    </w:p>
    <w:p w14:paraId="0151C2D7" w14:textId="77777777" w:rsidR="00D42A16" w:rsidRDefault="00D42A16" w:rsidP="00DC55BF">
      <w:pPr>
        <w:autoSpaceDE w:val="0"/>
        <w:autoSpaceDN w:val="0"/>
        <w:adjustRightInd w:val="0"/>
        <w:rPr>
          <w:rFonts w:asciiTheme="minorHAnsi" w:hAnsiTheme="minorHAnsi" w:cstheme="minorHAnsi"/>
          <w:i/>
          <w:iCs/>
        </w:rPr>
      </w:pPr>
      <w:r>
        <w:rPr>
          <w:rFonts w:asciiTheme="minorHAnsi" w:hAnsiTheme="minorHAnsi" w:cstheme="minorHAnsi"/>
          <w:i/>
          <w:iCs/>
        </w:rPr>
        <w:t xml:space="preserve">PASC agreed with the proposed patient population, noting the requirement for a multidisciplinary heart team to determine suitability for TTVR is crucial for optimising patient outcomes. PASC noted the applicant’s clinical experts considered that it was unnecessary for the population description to contain an exhaustive list of contraindications and trial exclusion criteria given the proposed role of the multidisciplinary heart team, </w:t>
      </w:r>
      <w:r w:rsidRPr="00173EF0">
        <w:rPr>
          <w:rFonts w:asciiTheme="minorHAnsi" w:hAnsiTheme="minorHAnsi" w:cstheme="minorBidi"/>
          <w:i/>
          <w:iCs/>
        </w:rPr>
        <w:t>who are best placed to consider each individual patient’s risk</w:t>
      </w:r>
      <w:r>
        <w:rPr>
          <w:rFonts w:asciiTheme="minorHAnsi" w:hAnsiTheme="minorHAnsi" w:cstheme="minorBidi"/>
          <w:i/>
          <w:iCs/>
        </w:rPr>
        <w:t>-</w:t>
      </w:r>
      <w:r w:rsidRPr="00173EF0">
        <w:rPr>
          <w:rFonts w:asciiTheme="minorHAnsi" w:hAnsiTheme="minorHAnsi" w:cstheme="minorBidi"/>
          <w:i/>
          <w:iCs/>
        </w:rPr>
        <w:t>benefit profile</w:t>
      </w:r>
      <w:r w:rsidRPr="00173EF0">
        <w:rPr>
          <w:rFonts w:asciiTheme="minorHAnsi" w:hAnsiTheme="minorHAnsi" w:cstheme="minorHAnsi"/>
          <w:i/>
          <w:iCs/>
        </w:rPr>
        <w:t>.</w:t>
      </w:r>
      <w:r>
        <w:rPr>
          <w:rFonts w:asciiTheme="minorHAnsi" w:hAnsiTheme="minorHAnsi" w:cstheme="minorHAnsi"/>
          <w:i/>
          <w:iCs/>
        </w:rPr>
        <w:t xml:space="preserve"> However, PASC agreed that the </w:t>
      </w:r>
      <w:r w:rsidRPr="00F33F00">
        <w:rPr>
          <w:rFonts w:asciiTheme="minorHAnsi" w:hAnsiTheme="minorHAnsi" w:cstheme="minorHAnsi"/>
          <w:i/>
          <w:iCs/>
        </w:rPr>
        <w:t xml:space="preserve">requirement for LVEF </w:t>
      </w:r>
      <w:r w:rsidRPr="00F33F00">
        <w:rPr>
          <w:i/>
          <w:iCs/>
        </w:rPr>
        <w:t xml:space="preserve">of 25% or more </w:t>
      </w:r>
      <w:r>
        <w:rPr>
          <w:i/>
          <w:iCs/>
        </w:rPr>
        <w:t>was</w:t>
      </w:r>
      <w:r w:rsidRPr="00F33F00">
        <w:rPr>
          <w:i/>
          <w:iCs/>
        </w:rPr>
        <w:t xml:space="preserve"> appropriate, noting that LVEF </w:t>
      </w:r>
      <w:r w:rsidRPr="00F33F00">
        <w:rPr>
          <w:rFonts w:asciiTheme="minorHAnsi" w:hAnsiTheme="minorHAnsi" w:cstheme="minorHAnsi"/>
          <w:i/>
          <w:iCs/>
        </w:rPr>
        <w:t>is an extremely important independent marker of survival</w:t>
      </w:r>
      <w:r>
        <w:rPr>
          <w:rFonts w:asciiTheme="minorHAnsi" w:hAnsiTheme="minorHAnsi" w:cstheme="minorHAnsi"/>
          <w:i/>
          <w:iCs/>
        </w:rPr>
        <w:t>.</w:t>
      </w:r>
    </w:p>
    <w:p w14:paraId="6164EE44" w14:textId="4BB13424" w:rsidR="00D42A16" w:rsidRDefault="00D42A16" w:rsidP="00DC55BF">
      <w:pPr>
        <w:autoSpaceDE w:val="0"/>
        <w:autoSpaceDN w:val="0"/>
        <w:adjustRightInd w:val="0"/>
      </w:pPr>
      <w:r>
        <w:rPr>
          <w:rFonts w:asciiTheme="minorHAnsi" w:hAnsiTheme="minorHAnsi" w:cstheme="minorHAnsi"/>
          <w:i/>
          <w:iCs/>
        </w:rPr>
        <w:t>PASC discussed whether surgical ineligibility should be specified in the population, noting that isolated tricuspid valve surgery is a high-risk operation and surgical risk prediction tools are not accurate for assessing that risk. PASC acknowledged that clinical practice guidelines advise that surgery should be offered in patients with severe, symptomatic TR; however, current guidelines do not provide clear advice on patient selection nor the threshold for surgical intervention. PASC noted that surgeons are often reluctant to offer isolated tricuspid valve surgery because of the high mortality risk and uncertain outcomes in this cohort of patients. PASC decided that surgical ineligibility or risk should not be a criterion for the population and any decisions about suitability for surgical or transcatheter intervention should be at the discretion of the multidisciplinary heart team.</w:t>
      </w:r>
    </w:p>
    <w:p w14:paraId="0D9AA346" w14:textId="352CD09B" w:rsidR="00A90EE6" w:rsidRDefault="00F03870" w:rsidP="00A90EE6">
      <w:pPr>
        <w:pStyle w:val="Heading4"/>
      </w:pPr>
      <w:r>
        <w:t>Severe t</w:t>
      </w:r>
      <w:r w:rsidR="00F030AE">
        <w:t>ricuspid regur</w:t>
      </w:r>
      <w:r w:rsidR="00A90EE6">
        <w:t>gitation</w:t>
      </w:r>
    </w:p>
    <w:p w14:paraId="388B6884" w14:textId="787144EA" w:rsidR="00077BA3" w:rsidRDefault="00DB538F" w:rsidP="00077BA3">
      <w:r w:rsidRPr="00DB538F">
        <w:t xml:space="preserve">TR is a heart valve condition where the tricuspid valve does not close properly, allowing blood to flow backward from the right ventricle into the right atrium, which places additional strain on the heart to pump blood </w:t>
      </w:r>
      <w:r w:rsidRPr="00DC6D28">
        <w:t xml:space="preserve">effectively (Latib et al. 2018). </w:t>
      </w:r>
      <w:r w:rsidR="00EB6CAE" w:rsidRPr="00DC6D28">
        <w:t>It</w:t>
      </w:r>
      <w:r w:rsidR="00E1330D" w:rsidRPr="00DC6D28">
        <w:t xml:space="preserve"> can be caused</w:t>
      </w:r>
      <w:r w:rsidR="00E1330D">
        <w:t xml:space="preserve"> by a variety of factors, </w:t>
      </w:r>
      <w:r w:rsidR="00516158">
        <w:t xml:space="preserve">which </w:t>
      </w:r>
      <w:r w:rsidR="00FA1C68">
        <w:t>are typically</w:t>
      </w:r>
      <w:r w:rsidR="00516158">
        <w:t xml:space="preserve"> </w:t>
      </w:r>
      <w:r w:rsidR="00E1330D">
        <w:t>classified into primary and secondary causes</w:t>
      </w:r>
      <w:r w:rsidR="001077EA">
        <w:t xml:space="preserve">. </w:t>
      </w:r>
      <w:r w:rsidR="00077BA3">
        <w:t xml:space="preserve">Primary </w:t>
      </w:r>
      <w:r w:rsidR="00446540">
        <w:t>TR</w:t>
      </w:r>
      <w:r w:rsidR="00077BA3">
        <w:t xml:space="preserve"> </w:t>
      </w:r>
      <w:r w:rsidR="00670D8F">
        <w:t>may occur due to</w:t>
      </w:r>
      <w:r w:rsidR="00077BA3">
        <w:t xml:space="preserve"> </w:t>
      </w:r>
      <w:r w:rsidR="00E37A5E">
        <w:t xml:space="preserve">direct </w:t>
      </w:r>
      <w:r w:rsidR="006E7C68">
        <w:t xml:space="preserve">damage </w:t>
      </w:r>
      <w:r w:rsidR="00381375">
        <w:t xml:space="preserve">to </w:t>
      </w:r>
      <w:r w:rsidR="006E7C68" w:rsidRPr="006B1877">
        <w:t>tricuspid valve leaflets</w:t>
      </w:r>
      <w:r w:rsidR="006E7C68">
        <w:t xml:space="preserve"> </w:t>
      </w:r>
      <w:r w:rsidR="00381375">
        <w:t>(</w:t>
      </w:r>
      <w:r w:rsidR="00B27DB6">
        <w:t xml:space="preserve">such as from </w:t>
      </w:r>
      <w:r w:rsidR="00077BA3">
        <w:t>infective endocarditis</w:t>
      </w:r>
      <w:r w:rsidR="00BD7476">
        <w:t>,</w:t>
      </w:r>
      <w:r w:rsidR="00490E8C">
        <w:t xml:space="preserve"> </w:t>
      </w:r>
      <w:r w:rsidR="00077BA3">
        <w:t>rheumatic heart disease</w:t>
      </w:r>
      <w:r w:rsidR="001113DA">
        <w:t xml:space="preserve">, </w:t>
      </w:r>
      <w:r w:rsidR="00C076FA">
        <w:t xml:space="preserve">blunt chest </w:t>
      </w:r>
      <w:r w:rsidR="001113DA">
        <w:t>trauma</w:t>
      </w:r>
      <w:r w:rsidR="00C076FA">
        <w:t>,</w:t>
      </w:r>
      <w:r w:rsidR="001113DA">
        <w:t xml:space="preserve"> </w:t>
      </w:r>
      <w:r w:rsidR="002B2947">
        <w:t>carcinoid, drugs and radiation</w:t>
      </w:r>
      <w:r w:rsidR="00B27DB6">
        <w:t>)</w:t>
      </w:r>
      <w:r w:rsidR="006E1377">
        <w:t xml:space="preserve"> or a congenital condition </w:t>
      </w:r>
      <w:r w:rsidR="00494507">
        <w:t>like</w:t>
      </w:r>
      <w:r w:rsidR="006E1377">
        <w:t xml:space="preserve"> Ebstein’s </w:t>
      </w:r>
      <w:r w:rsidR="006E1377" w:rsidRPr="00DC6D28">
        <w:t>anomaly</w:t>
      </w:r>
      <w:r w:rsidR="002B2947" w:rsidRPr="00DC6D28">
        <w:t xml:space="preserve"> (</w:t>
      </w:r>
      <w:r w:rsidR="00A12B74" w:rsidRPr="00DC6D28">
        <w:t>Otto et al. 2021</w:t>
      </w:r>
      <w:r w:rsidR="00B609CE" w:rsidRPr="00DC6D28">
        <w:t>)</w:t>
      </w:r>
      <w:r w:rsidR="00077BA3" w:rsidRPr="00DC6D28">
        <w:t xml:space="preserve">. </w:t>
      </w:r>
      <w:r w:rsidR="00477474" w:rsidRPr="00DC6D28">
        <w:t xml:space="preserve">Secondary (functional) TR accounts for approximately 90% of patients with TR (Vahanian et al. 2022). </w:t>
      </w:r>
      <w:r w:rsidR="00994EE1" w:rsidRPr="00DC6D28">
        <w:t xml:space="preserve">The most common secondary </w:t>
      </w:r>
      <w:r w:rsidR="00994EE1" w:rsidRPr="00DC6D28">
        <w:lastRenderedPageBreak/>
        <w:t>cause is RV remodelling due to pressure or volume overload, which occurs in conditions such as left-sided heart disease, chronic pulmonary hypertension or dilated cardiomyopathies (Otto et al, 2021).</w:t>
      </w:r>
      <w:r w:rsidR="00477474">
        <w:t xml:space="preserve"> </w:t>
      </w:r>
      <w:r w:rsidR="006A769C">
        <w:t xml:space="preserve">Classification of </w:t>
      </w:r>
      <w:r w:rsidR="006A769C" w:rsidRPr="008A6024">
        <w:t xml:space="preserve">secondary TR </w:t>
      </w:r>
      <w:r w:rsidR="006A769C">
        <w:t xml:space="preserve">has recently been split </w:t>
      </w:r>
      <w:r w:rsidR="00DF3DD8">
        <w:t xml:space="preserve">further </w:t>
      </w:r>
      <w:r w:rsidR="0066122D">
        <w:t>to account for</w:t>
      </w:r>
      <w:r w:rsidR="006A769C" w:rsidRPr="008A6024">
        <w:t xml:space="preserve"> ventricular </w:t>
      </w:r>
      <w:r w:rsidR="0066122D">
        <w:t xml:space="preserve">and atrial causes, </w:t>
      </w:r>
      <w:r w:rsidR="006A769C" w:rsidRPr="008A6024">
        <w:t xml:space="preserve">as well as lead-associated TR to capture TR attributable to cardiac </w:t>
      </w:r>
      <w:r w:rsidR="006A769C" w:rsidRPr="00DC6D28">
        <w:t>implantable electronic devices (Hahn et al. 2023</w:t>
      </w:r>
      <w:r w:rsidR="00A942F3" w:rsidRPr="00DC6D28">
        <w:t>).</w:t>
      </w:r>
      <w:r w:rsidR="00A942F3">
        <w:t xml:space="preserve"> </w:t>
      </w:r>
    </w:p>
    <w:p w14:paraId="12830B12" w14:textId="6715163E" w:rsidR="007C509D" w:rsidRPr="00E07EFD" w:rsidRDefault="00C60B4C" w:rsidP="00284583">
      <w:r>
        <w:t xml:space="preserve">The severity of </w:t>
      </w:r>
      <w:r w:rsidR="00881629">
        <w:t xml:space="preserve">TR </w:t>
      </w:r>
      <w:r w:rsidR="00D2133F" w:rsidRPr="005E6472">
        <w:t xml:space="preserve">is graded </w:t>
      </w:r>
      <w:r w:rsidR="008F0A28">
        <w:t>according to</w:t>
      </w:r>
      <w:r w:rsidR="00D2133F" w:rsidRPr="005E6472">
        <w:t xml:space="preserve"> </w:t>
      </w:r>
      <w:r w:rsidR="00D2133F" w:rsidRPr="008A6024">
        <w:t>American Society of Echocardiography (ASE)</w:t>
      </w:r>
      <w:r w:rsidR="00D2133F" w:rsidRPr="005E6472">
        <w:t xml:space="preserve"> </w:t>
      </w:r>
      <w:r w:rsidR="00D2133F" w:rsidRPr="00001FB4">
        <w:t>guidelines (</w:t>
      </w:r>
      <w:r w:rsidR="00AC1D2F" w:rsidRPr="00001FB4">
        <w:t>Zo</w:t>
      </w:r>
      <w:r w:rsidR="005D2B79" w:rsidRPr="00001FB4">
        <w:t>ghbi et al</w:t>
      </w:r>
      <w:r w:rsidR="007B1EE9" w:rsidRPr="00001FB4">
        <w:t xml:space="preserve">. </w:t>
      </w:r>
      <w:r w:rsidR="00210AE4" w:rsidRPr="00001FB4">
        <w:t>2017</w:t>
      </w:r>
      <w:r w:rsidR="00D2133F" w:rsidRPr="00001FB4">
        <w:t>)</w:t>
      </w:r>
      <w:r w:rsidR="00284583" w:rsidRPr="00001FB4">
        <w:t xml:space="preserve"> </w:t>
      </w:r>
      <w:r w:rsidR="00226171" w:rsidRPr="00001FB4">
        <w:t xml:space="preserve">into </w:t>
      </w:r>
      <w:r w:rsidR="00284583" w:rsidRPr="00001FB4">
        <w:t xml:space="preserve">mild, moderate, or </w:t>
      </w:r>
      <w:r w:rsidR="00284583" w:rsidRPr="004953CE">
        <w:t>severe</w:t>
      </w:r>
      <w:r w:rsidR="00D2133F" w:rsidRPr="004953CE">
        <w:t xml:space="preserve">. </w:t>
      </w:r>
      <w:r w:rsidR="007402EF" w:rsidRPr="004953CE">
        <w:t>More recently</w:t>
      </w:r>
      <w:r w:rsidR="00D16497" w:rsidRPr="004953CE">
        <w:t>, the</w:t>
      </w:r>
      <w:r w:rsidR="00D2133F" w:rsidRPr="004953CE">
        <w:t xml:space="preserve"> grading system </w:t>
      </w:r>
      <w:r w:rsidR="000665CD" w:rsidRPr="004953CE">
        <w:t>has been expanded t</w:t>
      </w:r>
      <w:r w:rsidR="008B7CB4" w:rsidRPr="004953CE">
        <w:t>o</w:t>
      </w:r>
      <w:r w:rsidR="000665CD" w:rsidRPr="004953CE">
        <w:t xml:space="preserve"> a 5-grade </w:t>
      </w:r>
      <w:r w:rsidR="00C651BE" w:rsidRPr="004953CE">
        <w:t>scale</w:t>
      </w:r>
      <w:r w:rsidR="00681357" w:rsidRPr="004953CE">
        <w:t>,</w:t>
      </w:r>
      <w:r w:rsidR="00D16497" w:rsidRPr="004953CE">
        <w:t xml:space="preserve"> </w:t>
      </w:r>
      <w:r w:rsidR="00681357" w:rsidRPr="004953CE">
        <w:t>providing a more precise classification for TR cases that are severe or greater</w:t>
      </w:r>
      <w:r w:rsidR="008B7CB4" w:rsidRPr="004953CE">
        <w:t xml:space="preserve"> </w:t>
      </w:r>
      <w:r w:rsidR="005A6B34" w:rsidRPr="004953CE">
        <w:t>(Hahn et al. 202</w:t>
      </w:r>
      <w:r w:rsidR="004953CE" w:rsidRPr="004953CE">
        <w:t>3</w:t>
      </w:r>
      <w:r w:rsidR="005A6B34" w:rsidRPr="004953CE">
        <w:t>)</w:t>
      </w:r>
      <w:r w:rsidR="00D2133F" w:rsidRPr="004953CE">
        <w:t xml:space="preserve">. </w:t>
      </w:r>
      <w:r w:rsidR="007C509D" w:rsidRPr="004953CE">
        <w:t>In clinical practice, severe TR can be used as an umbrella term that includes severe, massive and torrential grades.</w:t>
      </w:r>
    </w:p>
    <w:p w14:paraId="119B668E" w14:textId="35EC8530" w:rsidR="0092758F" w:rsidRDefault="00C309AD" w:rsidP="004C16A9">
      <w:r w:rsidRPr="00C309AD">
        <w:t xml:space="preserve">The 1-year mortality in </w:t>
      </w:r>
      <w:r w:rsidRPr="00492156">
        <w:t xml:space="preserve">patients with </w:t>
      </w:r>
      <w:r w:rsidR="00FC3DBC" w:rsidRPr="00492156">
        <w:t xml:space="preserve">at least </w:t>
      </w:r>
      <w:r w:rsidRPr="00492156">
        <w:t xml:space="preserve">severe TR is </w:t>
      </w:r>
      <w:r w:rsidR="009C47F5" w:rsidRPr="00492156">
        <w:t>reported to be</w:t>
      </w:r>
      <w:r w:rsidRPr="00492156">
        <w:t xml:space="preserve"> 20% (Chorin</w:t>
      </w:r>
      <w:r w:rsidR="00436F0E" w:rsidRPr="00492156">
        <w:t xml:space="preserve"> </w:t>
      </w:r>
      <w:r w:rsidRPr="00492156">
        <w:t>et al. 2020</w:t>
      </w:r>
      <w:r w:rsidR="00436F0E" w:rsidRPr="00492156">
        <w:t>;</w:t>
      </w:r>
      <w:r w:rsidRPr="00492156">
        <w:t xml:space="preserve"> Messika-Zeitoun</w:t>
      </w:r>
      <w:r w:rsidR="00436F0E" w:rsidRPr="00492156">
        <w:t xml:space="preserve"> </w:t>
      </w:r>
      <w:r w:rsidRPr="00492156">
        <w:t xml:space="preserve">et al. 2020). </w:t>
      </w:r>
      <w:r w:rsidR="00831E56" w:rsidRPr="00492156">
        <w:t>In additi</w:t>
      </w:r>
      <w:r w:rsidR="00831E56" w:rsidRPr="00831E56">
        <w:t xml:space="preserve">on to the increased risk of death, </w:t>
      </w:r>
      <w:r w:rsidR="00831E56" w:rsidRPr="007637D0">
        <w:t>these patients experience a decline in quality of life and higher hospitalisation rates</w:t>
      </w:r>
      <w:r w:rsidR="001832A8" w:rsidRPr="007637D0">
        <w:t xml:space="preserve"> (Fujisawa et al. 2022; Kumar et al. 202</w:t>
      </w:r>
      <w:r w:rsidR="00D618E8">
        <w:t>2</w:t>
      </w:r>
      <w:r w:rsidR="001832A8" w:rsidRPr="007637D0">
        <w:t>)</w:t>
      </w:r>
      <w:r w:rsidR="00831E56" w:rsidRPr="007637D0">
        <w:t xml:space="preserve">. </w:t>
      </w:r>
      <w:r w:rsidR="00775D95" w:rsidRPr="007637D0">
        <w:t>Severe</w:t>
      </w:r>
      <w:r w:rsidR="00775D95" w:rsidRPr="00C43623">
        <w:t xml:space="preserve"> TR can lead to a range of symptoms, primarily due to fluid overload and right heart dysfunction. Common symptoms include</w:t>
      </w:r>
      <w:r w:rsidR="00775D95">
        <w:t xml:space="preserve"> dyspnoea, fatigue, weakness, peripheral oedema, ascites and chest discomfort or pain. </w:t>
      </w:r>
      <w:r w:rsidR="00831E56" w:rsidRPr="00831E56">
        <w:t>Severe TR is particularly associated with significant morbidity and mortality in elderly individuals with comorbidities such as atrial fibrillation and heart failure</w:t>
      </w:r>
      <w:r w:rsidR="001832A8">
        <w:t>, where it</w:t>
      </w:r>
      <w:r w:rsidR="00831E56" w:rsidRPr="00831E56">
        <w:t xml:space="preserve"> can lead to serious complications, including hepatic, renal, and h</w:t>
      </w:r>
      <w:r w:rsidR="00395C6C">
        <w:t>a</w:t>
      </w:r>
      <w:r w:rsidR="00831E56" w:rsidRPr="00831E56">
        <w:t xml:space="preserve">ematologic </w:t>
      </w:r>
      <w:r w:rsidR="00831E56" w:rsidRPr="00D55867">
        <w:t>dysfunction</w:t>
      </w:r>
      <w:r w:rsidR="001832A8" w:rsidRPr="00D55867">
        <w:t xml:space="preserve"> (Webb et al. 2022)</w:t>
      </w:r>
      <w:r w:rsidR="00831E56" w:rsidRPr="00D55867">
        <w:t>.</w:t>
      </w:r>
      <w:r w:rsidR="00831E56" w:rsidRPr="00831E56">
        <w:t xml:space="preserve"> </w:t>
      </w:r>
    </w:p>
    <w:p w14:paraId="2F62998D" w14:textId="1D847F35" w:rsidR="00743D56" w:rsidRDefault="00700674" w:rsidP="00700674">
      <w:r w:rsidRPr="003D0A31">
        <w:t xml:space="preserve">The prevalence of moderate </w:t>
      </w:r>
      <w:r>
        <w:t xml:space="preserve">or severe </w:t>
      </w:r>
      <w:r w:rsidRPr="003D0A31">
        <w:t xml:space="preserve">TR is estimated to be 2.6% in adults </w:t>
      </w:r>
      <w:r>
        <w:t xml:space="preserve">aged </w:t>
      </w:r>
      <w:r w:rsidRPr="003D0A31">
        <w:t xml:space="preserve">65 years </w:t>
      </w:r>
      <w:r>
        <w:t xml:space="preserve">and </w:t>
      </w:r>
      <w:r w:rsidRPr="0004169C">
        <w:t xml:space="preserve">older (Cahill et al. 2021). </w:t>
      </w:r>
      <w:r w:rsidR="008B118B" w:rsidRPr="0004169C">
        <w:t>An Australian</w:t>
      </w:r>
      <w:r w:rsidR="008B118B" w:rsidRPr="008B118B">
        <w:t xml:space="preserve"> study on TR severity distribution found that among patients with at least moderate TR, 23% had severe </w:t>
      </w:r>
      <w:r w:rsidR="008B118B" w:rsidRPr="00B86587">
        <w:t>TR</w:t>
      </w:r>
      <w:r w:rsidRPr="00B86587">
        <w:t xml:space="preserve"> (Offen et al. 2022). Based on</w:t>
      </w:r>
      <w:r w:rsidRPr="003D0A31">
        <w:t xml:space="preserve"> these epidemiological inputs, </w:t>
      </w:r>
      <w:r>
        <w:t xml:space="preserve">the application estimated </w:t>
      </w:r>
      <w:r w:rsidRPr="003D0A31">
        <w:t>there are approximately 25,500 patients with severe TR in Australia.</w:t>
      </w:r>
    </w:p>
    <w:p w14:paraId="2D2A73E0" w14:textId="77777777" w:rsidR="00322E5E" w:rsidRDefault="00322E5E" w:rsidP="00322E5E">
      <w:pPr>
        <w:pStyle w:val="Heading4"/>
      </w:pPr>
      <w:r>
        <w:t>Investigation and assessment of TR severity</w:t>
      </w:r>
    </w:p>
    <w:p w14:paraId="50AC20FB" w14:textId="77777777" w:rsidR="00322E5E" w:rsidRPr="00DD0739" w:rsidRDefault="00322E5E" w:rsidP="00322E5E">
      <w:r>
        <w:t>C</w:t>
      </w:r>
      <w:r w:rsidRPr="00514E6F">
        <w:t>linical evaluation typically begins with a review by the general practitioner (GP) of the patient’s history for conditions associated with TR</w:t>
      </w:r>
      <w:r>
        <w:t xml:space="preserve">. </w:t>
      </w:r>
      <w:r w:rsidRPr="00DD0739">
        <w:t>The patient will generally be referred to a cardiologist if the presence of TR is suspected, who in turn may refer the patient to either an interventional cardiologist or a cardiothoracic surgeon if intervention is required.</w:t>
      </w:r>
    </w:p>
    <w:p w14:paraId="767A1765" w14:textId="1CEBE902" w:rsidR="00322E5E" w:rsidRDefault="00322E5E" w:rsidP="00322E5E">
      <w:r w:rsidRPr="005E6472">
        <w:t xml:space="preserve">Echocardiography is currently the gold standard for evaluating the mechanism and severity of TR. Transthoracic echocardiography </w:t>
      </w:r>
      <w:r>
        <w:t xml:space="preserve">(TTE) </w:t>
      </w:r>
      <w:r w:rsidRPr="005E6472">
        <w:t>is used for the initial diagnosis. A 3D echocardiography allows assessment of RV size and function, RV systolic pressure, right atrial size and estimated pressure, and left-sided heart disease as well as visuali</w:t>
      </w:r>
      <w:r>
        <w:t>s</w:t>
      </w:r>
      <w:r w:rsidRPr="005E6472">
        <w:t xml:space="preserve">ation of all leaflets simultaneously. For significant TR, </w:t>
      </w:r>
      <w:r w:rsidRPr="006C7F2C">
        <w:t>transesophageal echocardiography (T</w:t>
      </w:r>
      <w:r w:rsidR="00766D43">
        <w:t>O</w:t>
      </w:r>
      <w:r w:rsidRPr="006C7F2C">
        <w:t>E)</w:t>
      </w:r>
      <w:r w:rsidRPr="005E6472">
        <w:t xml:space="preserve"> is recommended and allows a complementary image, including both mid-oesoph</w:t>
      </w:r>
      <w:r>
        <w:t>a</w:t>
      </w:r>
      <w:r w:rsidRPr="005E6472">
        <w:t xml:space="preserve">geal and trans-gastric views. In cases of poor echocardiographic quality or discordant findings, additional imaging modalities </w:t>
      </w:r>
      <w:r>
        <w:t>such as</w:t>
      </w:r>
      <w:r w:rsidRPr="005E6472">
        <w:t xml:space="preserve"> cardiac magnetic resonance imaging (MRI) or computed tomography (CT) can be used for further clarification.</w:t>
      </w:r>
    </w:p>
    <w:p w14:paraId="4658FD1F" w14:textId="12725ABA" w:rsidR="00623878" w:rsidRDefault="00623878" w:rsidP="007D1551">
      <w:pPr>
        <w:pStyle w:val="Heading4"/>
      </w:pPr>
      <w:r>
        <w:t xml:space="preserve">Current management of </w:t>
      </w:r>
      <w:r w:rsidR="00700674">
        <w:t>severe</w:t>
      </w:r>
      <w:r w:rsidR="00D04AEF">
        <w:t xml:space="preserve">, symptomatic </w:t>
      </w:r>
      <w:r w:rsidR="00233CF6">
        <w:t>TR</w:t>
      </w:r>
    </w:p>
    <w:p w14:paraId="2F117355" w14:textId="4A48271C" w:rsidR="00310C51" w:rsidRDefault="00BE22DD" w:rsidP="00C621D2">
      <w:r w:rsidRPr="00BE22DD">
        <w:t xml:space="preserve">In Australia, treatment for severe TR currently includes medical therapy, surgical valve repair or replacement through open-heart or minimally invasive surgery, and more recently, transcatheter </w:t>
      </w:r>
      <w:r w:rsidR="0031255C">
        <w:t>tricuspid valve intervention (TTVI)</w:t>
      </w:r>
      <w:r w:rsidRPr="00BE22DD">
        <w:t>.</w:t>
      </w:r>
    </w:p>
    <w:p w14:paraId="3032C115" w14:textId="68DE4C34" w:rsidR="00C138C3" w:rsidRPr="00DF3A19" w:rsidRDefault="00886E6B" w:rsidP="00C138C3">
      <w:r w:rsidRPr="00D65E70">
        <w:lastRenderedPageBreak/>
        <w:t xml:space="preserve">Most patients rely on medical therapy alone to treat the symptoms of TR. </w:t>
      </w:r>
      <w:r w:rsidR="00623F82" w:rsidRPr="00C96A8B">
        <w:t xml:space="preserve">According to both the </w:t>
      </w:r>
      <w:r w:rsidR="00BA7120" w:rsidRPr="00BA7120">
        <w:t xml:space="preserve">American Heart Association/American College of </w:t>
      </w:r>
      <w:r w:rsidR="00BA7120" w:rsidRPr="00330588">
        <w:t>Cardiology (</w:t>
      </w:r>
      <w:r w:rsidR="00623F82" w:rsidRPr="00330588">
        <w:t>AHA/ACC</w:t>
      </w:r>
      <w:r w:rsidR="00BA7120" w:rsidRPr="00330588">
        <w:t>)</w:t>
      </w:r>
      <w:r w:rsidR="00623F82" w:rsidRPr="00330588">
        <w:t xml:space="preserve"> and the </w:t>
      </w:r>
      <w:r w:rsidR="007A5140" w:rsidRPr="00330588">
        <w:t>European Society of Cardiology/and European Association for Cardiothoracic Surgery</w:t>
      </w:r>
      <w:r w:rsidR="009B50C5" w:rsidRPr="00330588">
        <w:t xml:space="preserve"> (</w:t>
      </w:r>
      <w:r w:rsidR="00623F82" w:rsidRPr="00330588">
        <w:t>ESC/EACTS</w:t>
      </w:r>
      <w:r w:rsidR="009B50C5" w:rsidRPr="00330588">
        <w:t>)</w:t>
      </w:r>
      <w:r w:rsidR="00623F82" w:rsidRPr="00330588">
        <w:t xml:space="preserve"> guidelines for the management of heart valve disease, diuretics </w:t>
      </w:r>
      <w:r w:rsidR="00FF03D4" w:rsidRPr="00330588">
        <w:t xml:space="preserve">(typically loop diuretics) </w:t>
      </w:r>
      <w:r w:rsidR="00623F82" w:rsidRPr="00E420DA">
        <w:t xml:space="preserve">may be beneficial for patients with severe TR and signs of right-sided heart failure to decrease volume </w:t>
      </w:r>
      <w:r w:rsidR="00623F82" w:rsidRPr="00DF3A19">
        <w:t>overload (Otto et al. 2021; Vahanian et al. 202</w:t>
      </w:r>
      <w:r w:rsidR="00F03490" w:rsidRPr="00DF3A19">
        <w:t>2</w:t>
      </w:r>
      <w:r w:rsidR="00623F82" w:rsidRPr="00DF3A19">
        <w:t xml:space="preserve">). </w:t>
      </w:r>
      <w:r w:rsidR="00874F8E" w:rsidRPr="00DF3A19">
        <w:t>However, diuretics do not have an established role in preventing or delaying TR progression</w:t>
      </w:r>
      <w:r w:rsidR="00AC4ABC" w:rsidRPr="00DF3A19">
        <w:t xml:space="preserve"> and the American and European guidelines contain no </w:t>
      </w:r>
      <w:r w:rsidR="003D3DD3" w:rsidRPr="00DF3A19">
        <w:t xml:space="preserve">class 1 </w:t>
      </w:r>
      <w:r w:rsidR="00AC4ABC" w:rsidRPr="00DF3A19">
        <w:t>recommendation</w:t>
      </w:r>
      <w:r w:rsidR="003D3DD3" w:rsidRPr="00DF3A19">
        <w:t>s</w:t>
      </w:r>
      <w:r w:rsidR="00AC4ABC" w:rsidRPr="00DF3A19">
        <w:t xml:space="preserve"> for medication management</w:t>
      </w:r>
      <w:r w:rsidR="00874F8E" w:rsidRPr="00DF3A19">
        <w:t>.</w:t>
      </w:r>
    </w:p>
    <w:p w14:paraId="0C6993BF" w14:textId="7D916151" w:rsidR="007C69DD" w:rsidRDefault="004923B5" w:rsidP="00E36DCA">
      <w:r w:rsidRPr="00DF3A19">
        <w:t>C</w:t>
      </w:r>
      <w:r w:rsidR="00012D5C" w:rsidRPr="00DF3A19">
        <w:t>urrent A</w:t>
      </w:r>
      <w:r w:rsidR="00F614ED" w:rsidRPr="00DF3A19">
        <w:t>HA</w:t>
      </w:r>
      <w:r w:rsidR="00012D5C" w:rsidRPr="00DF3A19">
        <w:t>/A</w:t>
      </w:r>
      <w:r w:rsidR="00F614ED" w:rsidRPr="00DF3A19">
        <w:t>CC</w:t>
      </w:r>
      <w:r w:rsidR="00012D5C" w:rsidRPr="00DF3A19">
        <w:t xml:space="preserve"> guidelines </w:t>
      </w:r>
      <w:r w:rsidRPr="00DF3A19">
        <w:t xml:space="preserve">include </w:t>
      </w:r>
      <w:r w:rsidR="00955BC8" w:rsidRPr="00DF3A19">
        <w:t>a</w:t>
      </w:r>
      <w:r w:rsidR="003B55F3" w:rsidRPr="00DF3A19">
        <w:t xml:space="preserve"> class </w:t>
      </w:r>
      <w:r w:rsidR="00012D5C" w:rsidRPr="00DF3A19">
        <w:t>1</w:t>
      </w:r>
      <w:r w:rsidR="003B55F3" w:rsidRPr="00DF3A19">
        <w:t xml:space="preserve"> recommendation for</w:t>
      </w:r>
      <w:r w:rsidR="00BF75E1" w:rsidRPr="00DF3A19">
        <w:t xml:space="preserve"> </w:t>
      </w:r>
      <w:r w:rsidR="00786867" w:rsidRPr="00DF3A19">
        <w:t>tricuspid valve</w:t>
      </w:r>
      <w:r w:rsidR="00BF75E1" w:rsidRPr="00DF3A19">
        <w:t xml:space="preserve"> surgery</w:t>
      </w:r>
      <w:r w:rsidR="003B55F3" w:rsidRPr="00DF3A19">
        <w:t xml:space="preserve"> </w:t>
      </w:r>
      <w:r w:rsidR="004C6EFF" w:rsidRPr="00DF3A19">
        <w:t>in</w:t>
      </w:r>
      <w:r w:rsidR="008F7575" w:rsidRPr="00DF3A19">
        <w:t xml:space="preserve"> </w:t>
      </w:r>
      <w:r w:rsidR="00BF75E1" w:rsidRPr="00DF3A19">
        <w:t>patients</w:t>
      </w:r>
      <w:r w:rsidR="00E21AFA" w:rsidRPr="00DF3A19">
        <w:t xml:space="preserve"> </w:t>
      </w:r>
      <w:r w:rsidR="004043A3" w:rsidRPr="00DF3A19">
        <w:t xml:space="preserve">with severe TR (regardless of symptoms) </w:t>
      </w:r>
      <w:r w:rsidR="00BF75E1" w:rsidRPr="00DF3A19">
        <w:t>undergoing</w:t>
      </w:r>
      <w:r w:rsidR="00E21AFA" w:rsidRPr="00DF3A19">
        <w:t xml:space="preserve"> </w:t>
      </w:r>
      <w:r w:rsidR="00BF75E1" w:rsidRPr="00DF3A19">
        <w:t>left-sided</w:t>
      </w:r>
      <w:r w:rsidR="00E21AFA" w:rsidRPr="00DF3A19">
        <w:t xml:space="preserve"> </w:t>
      </w:r>
      <w:r w:rsidR="00BF75E1" w:rsidRPr="00DF3A19">
        <w:t>valve surgery</w:t>
      </w:r>
      <w:r w:rsidR="004C6EFF" w:rsidRPr="00DF3A19">
        <w:t xml:space="preserve"> (Otto et al. 2021)</w:t>
      </w:r>
      <w:r w:rsidR="00BF75E1" w:rsidRPr="00DF3A19">
        <w:t>.</w:t>
      </w:r>
      <w:r w:rsidR="00B13052" w:rsidRPr="00DF3A19">
        <w:t xml:space="preserve"> </w:t>
      </w:r>
      <w:r w:rsidR="00E8307A" w:rsidRPr="00DF3A19">
        <w:t>I</w:t>
      </w:r>
      <w:r w:rsidR="00EF7E4B" w:rsidRPr="00DF3A19">
        <w:t xml:space="preserve">solated </w:t>
      </w:r>
      <w:r w:rsidR="00786867" w:rsidRPr="00DF3A19">
        <w:t>tricuspid valve</w:t>
      </w:r>
      <w:r w:rsidR="00EF7E4B" w:rsidRPr="00DF3A19">
        <w:t xml:space="preserve"> surgery </w:t>
      </w:r>
      <w:r w:rsidR="00F62611" w:rsidRPr="00DF3A19">
        <w:t>is considered</w:t>
      </w:r>
      <w:r w:rsidR="00DA4965" w:rsidRPr="00DF3A19">
        <w:t xml:space="preserve"> </w:t>
      </w:r>
      <w:r w:rsidR="004506B5" w:rsidRPr="00DF3A19">
        <w:t>beneficial</w:t>
      </w:r>
      <w:r w:rsidR="00DA4965" w:rsidRPr="00DF3A19">
        <w:t xml:space="preserve"> </w:t>
      </w:r>
      <w:r w:rsidR="00E55DFD" w:rsidRPr="00DF3A19">
        <w:t>to reduce symptoms and recurrent hospitalisations</w:t>
      </w:r>
      <w:r w:rsidR="00E55DFD">
        <w:t xml:space="preserve"> </w:t>
      </w:r>
      <w:r w:rsidR="00E8307A">
        <w:t>in selected patients with severe TR</w:t>
      </w:r>
      <w:r w:rsidR="00E55DFD">
        <w:t xml:space="preserve"> (class 2 recommendations)</w:t>
      </w:r>
      <w:r w:rsidR="008E5B1F">
        <w:t>.</w:t>
      </w:r>
      <w:r w:rsidR="006C6E61">
        <w:t xml:space="preserve"> C</w:t>
      </w:r>
      <w:r w:rsidR="00786867">
        <w:t>urrent ESC/EACTS guidelines</w:t>
      </w:r>
      <w:r w:rsidR="00786867" w:rsidRPr="00E22A31">
        <w:t xml:space="preserve"> </w:t>
      </w:r>
      <w:r w:rsidR="005A74EA">
        <w:t xml:space="preserve">include </w:t>
      </w:r>
      <w:r w:rsidR="00EB2F61">
        <w:t>class I recommendation</w:t>
      </w:r>
      <w:r w:rsidR="005A74EA">
        <w:t>s</w:t>
      </w:r>
      <w:r w:rsidR="00EB2F61">
        <w:t xml:space="preserve"> for </w:t>
      </w:r>
      <w:r w:rsidR="005A74EA">
        <w:t>tricuspid valve</w:t>
      </w:r>
      <w:r w:rsidR="00EB2F61">
        <w:t xml:space="preserve"> surgery in patients </w:t>
      </w:r>
      <w:r w:rsidR="006C3443">
        <w:t xml:space="preserve">with severe primary TR undergoing left-sided valve surgery, </w:t>
      </w:r>
      <w:r w:rsidR="005A74EA">
        <w:t xml:space="preserve">and </w:t>
      </w:r>
      <w:r w:rsidR="005750F7">
        <w:t xml:space="preserve">patients with isolated severe primary TR without severe </w:t>
      </w:r>
      <w:r w:rsidR="00EC2487">
        <w:t>RV</w:t>
      </w:r>
      <w:r w:rsidR="005750F7">
        <w:t xml:space="preserve"> dysfunction</w:t>
      </w:r>
      <w:r w:rsidR="005A74EA">
        <w:t xml:space="preserve"> (Vahanian et al. 2022)</w:t>
      </w:r>
      <w:r w:rsidR="005750F7">
        <w:t>.</w:t>
      </w:r>
      <w:r w:rsidR="005924A7">
        <w:t xml:space="preserve"> </w:t>
      </w:r>
      <w:r w:rsidR="00BF4BB8">
        <w:t>The European guideline</w:t>
      </w:r>
      <w:r w:rsidR="000B651D">
        <w:t>s</w:t>
      </w:r>
      <w:r w:rsidR="004075F4">
        <w:t xml:space="preserve"> </w:t>
      </w:r>
      <w:r w:rsidR="00537459">
        <w:t>advise</w:t>
      </w:r>
      <w:r w:rsidR="004075F4">
        <w:t xml:space="preserve"> that the benefit of surgical correction of isolated secondary TR compared to medical </w:t>
      </w:r>
      <w:r w:rsidR="00287472">
        <w:t>treatment is not well established</w:t>
      </w:r>
      <w:r w:rsidR="008F008D">
        <w:t>,</w:t>
      </w:r>
      <w:r w:rsidR="00287472">
        <w:t xml:space="preserve"> but </w:t>
      </w:r>
      <w:r w:rsidR="000811B7">
        <w:t xml:space="preserve">surgery </w:t>
      </w:r>
      <w:r w:rsidR="00E65886">
        <w:t>should be considered for</w:t>
      </w:r>
      <w:r w:rsidR="003E4361">
        <w:t xml:space="preserve"> selected</w:t>
      </w:r>
      <w:r w:rsidR="00E65886">
        <w:t xml:space="preserve"> </w:t>
      </w:r>
      <w:r w:rsidR="00232279">
        <w:t xml:space="preserve">severe, </w:t>
      </w:r>
      <w:r w:rsidR="003E4361">
        <w:t xml:space="preserve">symptomatic </w:t>
      </w:r>
      <w:r w:rsidR="00E65886">
        <w:t xml:space="preserve">patients </w:t>
      </w:r>
      <w:r w:rsidR="00962BEF">
        <w:t xml:space="preserve">who </w:t>
      </w:r>
      <w:r w:rsidR="004348D6">
        <w:t>are appropriate for surgery</w:t>
      </w:r>
      <w:r w:rsidR="003E4361">
        <w:t>.</w:t>
      </w:r>
    </w:p>
    <w:p w14:paraId="095620D2" w14:textId="77777777" w:rsidR="00CB0161" w:rsidRPr="00DF3A19" w:rsidRDefault="00ED4256" w:rsidP="0007464C">
      <w:r w:rsidRPr="00ED4256">
        <w:t>Guideline recommendations result in most tricuspid valve repairs or replacements being performed alongside left heart surgery, primarily mitral valve surgery</w:t>
      </w:r>
      <w:r w:rsidR="00924AF7" w:rsidRPr="00924AF7">
        <w:t xml:space="preserve">. </w:t>
      </w:r>
      <w:r w:rsidR="00C86CB4">
        <w:t xml:space="preserve">Tricuspid valve repair with a prosthetic ring (annuloplasty) is the standard of care surgical treatment and is preferred over tricuspid valve </w:t>
      </w:r>
      <w:r w:rsidR="00C86CB4" w:rsidRPr="004348D6">
        <w:t xml:space="preserve">replacement </w:t>
      </w:r>
      <w:r w:rsidR="00C86CB4">
        <w:t xml:space="preserve">as it carries higher overall </w:t>
      </w:r>
      <w:r w:rsidR="00C86CB4" w:rsidRPr="00DF3A19">
        <w:t xml:space="preserve">survival (Vahanian et al. 2022). A range of annuloplasty devices differing in form and flexibility are available in Australia. </w:t>
      </w:r>
    </w:p>
    <w:p w14:paraId="4D195B3B" w14:textId="0A952B32" w:rsidR="00197CF0" w:rsidRDefault="00924AF7" w:rsidP="00E36DCA">
      <w:r w:rsidRPr="00A26EB4">
        <w:t>In the United States, nearly 90% of tricuspid valve procedures are repairs, while the number of replacements has declined over recent decades (Zoghbi et al. 2024).</w:t>
      </w:r>
      <w:r w:rsidRPr="00DF3A19">
        <w:t xml:space="preserve"> However, for isolated tricuspid valve procedures, replacements remain more common, likely due to the late presentation of isolated disease.</w:t>
      </w:r>
      <w:r w:rsidR="00CB0161" w:rsidRPr="00DF3A19">
        <w:t xml:space="preserve"> </w:t>
      </w:r>
      <w:r w:rsidR="00773730" w:rsidRPr="00DF3A19">
        <w:t xml:space="preserve">The 2021 ESC/EACTS guidelines advise that </w:t>
      </w:r>
      <w:r w:rsidR="00035AA6" w:rsidRPr="00DF3A19">
        <w:t xml:space="preserve">replacement </w:t>
      </w:r>
      <w:r w:rsidR="00800F86" w:rsidRPr="00DF3A19">
        <w:t xml:space="preserve">with a prosthetic valve </w:t>
      </w:r>
      <w:r w:rsidR="00E36DCA" w:rsidRPr="00DF3A19">
        <w:t>should only be considered</w:t>
      </w:r>
      <w:r w:rsidR="000934B0" w:rsidRPr="00DF3A19">
        <w:t xml:space="preserve"> </w:t>
      </w:r>
      <w:r w:rsidR="00E36DCA" w:rsidRPr="00DF3A19">
        <w:t xml:space="preserve">when </w:t>
      </w:r>
      <w:r w:rsidR="00484D28" w:rsidRPr="00DF3A19">
        <w:t xml:space="preserve">annuloplasty is not feasible, such as when </w:t>
      </w:r>
      <w:r w:rsidR="00E36DCA" w:rsidRPr="00DF3A19">
        <w:t>the tricuspid valve leaflets are tethered and the annulus</w:t>
      </w:r>
      <w:r w:rsidR="000934B0" w:rsidRPr="00DF3A19">
        <w:t xml:space="preserve"> </w:t>
      </w:r>
      <w:r w:rsidR="00E36DCA" w:rsidRPr="00DF3A19">
        <w:t>severely dilated</w:t>
      </w:r>
      <w:r w:rsidR="00EF4B6C" w:rsidRPr="00DF3A19">
        <w:t xml:space="preserve"> (Vahanian et al. 2022)</w:t>
      </w:r>
      <w:r w:rsidR="00E36DCA" w:rsidRPr="00DF3A19">
        <w:t>.</w:t>
      </w:r>
      <w:r w:rsidR="00773730" w:rsidRPr="00DF3A19">
        <w:t xml:space="preserve"> </w:t>
      </w:r>
      <w:r w:rsidR="00C3101B" w:rsidRPr="00DF3A19">
        <w:t>Both</w:t>
      </w:r>
      <w:r w:rsidR="00C3101B" w:rsidRPr="00A80291">
        <w:t xml:space="preserve"> mechanical and bioprosthetic valves can be used</w:t>
      </w:r>
      <w:r w:rsidR="00C01DF9" w:rsidRPr="00A80291">
        <w:t>,</w:t>
      </w:r>
      <w:r w:rsidR="00C01DF9">
        <w:t xml:space="preserve"> though </w:t>
      </w:r>
      <w:r w:rsidR="005D00B8">
        <w:t xml:space="preserve">bioprosthetic valves </w:t>
      </w:r>
      <w:r w:rsidR="00EA6B40">
        <w:t xml:space="preserve">are generally preferred </w:t>
      </w:r>
      <w:r w:rsidR="007641D6">
        <w:t xml:space="preserve">for patients with shorter anticipated survival or comorbidities that may lead to further </w:t>
      </w:r>
      <w:r w:rsidR="00F71D4E">
        <w:t xml:space="preserve">surgical procedures, and those who are at increased risk for bleeding </w:t>
      </w:r>
      <w:r w:rsidR="00F71D4E" w:rsidRPr="00DF3A19">
        <w:t>complications (Vahanian et al. 2022).</w:t>
      </w:r>
    </w:p>
    <w:p w14:paraId="7BF7BB8B" w14:textId="2E1B6FC6" w:rsidR="005D360E" w:rsidRDefault="003527E4" w:rsidP="00EF24C0">
      <w:r w:rsidRPr="003527E4">
        <w:t>In real-world practice, TR surgical intervention is only carried out in a select group of patients due to high operative risk related to late</w:t>
      </w:r>
      <w:r w:rsidR="0014483F">
        <w:t>-</w:t>
      </w:r>
      <w:r w:rsidRPr="003527E4">
        <w:t>stage</w:t>
      </w:r>
      <w:r w:rsidR="0014483F">
        <w:t xml:space="preserve"> </w:t>
      </w:r>
      <w:r w:rsidRPr="003527E4">
        <w:t xml:space="preserve">disease upon referral and/or multiple </w:t>
      </w:r>
      <w:r w:rsidRPr="00DC6D28">
        <w:t>comorbidities</w:t>
      </w:r>
      <w:r w:rsidR="00D85781" w:rsidRPr="00DC6D28">
        <w:t xml:space="preserve"> </w:t>
      </w:r>
      <w:r w:rsidRPr="00DC6D28">
        <w:t>(Latib et al. 2018</w:t>
      </w:r>
      <w:r w:rsidR="009B23F4" w:rsidRPr="00DC6D28">
        <w:t>;</w:t>
      </w:r>
      <w:r w:rsidRPr="003527E4">
        <w:t xml:space="preserve"> </w:t>
      </w:r>
      <w:r w:rsidRPr="00DF3A19">
        <w:t>Vahanian et al. 202</w:t>
      </w:r>
      <w:r w:rsidR="00F03490" w:rsidRPr="00DF3A19">
        <w:t>2</w:t>
      </w:r>
      <w:r w:rsidRPr="00DF3A19">
        <w:t xml:space="preserve">). </w:t>
      </w:r>
      <w:r w:rsidR="00C217B3" w:rsidRPr="00DF3A19">
        <w:t>Operative</w:t>
      </w:r>
      <w:r w:rsidR="00054E81" w:rsidRPr="00DF3A19">
        <w:t xml:space="preserve"> </w:t>
      </w:r>
      <w:r w:rsidRPr="00DF3A19">
        <w:t>mortality</w:t>
      </w:r>
      <w:r w:rsidRPr="00C621D2">
        <w:t xml:space="preserve"> </w:t>
      </w:r>
      <w:r w:rsidR="00C217B3">
        <w:t xml:space="preserve">rate </w:t>
      </w:r>
      <w:r w:rsidR="002A2DC4">
        <w:t>for severe isolated</w:t>
      </w:r>
      <w:r w:rsidR="00D30199">
        <w:t xml:space="preserve"> </w:t>
      </w:r>
      <w:r w:rsidRPr="00C621D2">
        <w:t xml:space="preserve">TR </w:t>
      </w:r>
      <w:r w:rsidR="002A2DC4">
        <w:t>is high (8% to 20%</w:t>
      </w:r>
      <w:r w:rsidR="00786AFB">
        <w:t xml:space="preserve">; </w:t>
      </w:r>
      <w:r w:rsidR="00171B8C">
        <w:t>Otto et al. 2021</w:t>
      </w:r>
      <w:r w:rsidR="00542C80">
        <w:t>)</w:t>
      </w:r>
      <w:r w:rsidRPr="00C621D2">
        <w:t xml:space="preserve">, leading many </w:t>
      </w:r>
      <w:r w:rsidR="00D10572">
        <w:t xml:space="preserve">patients </w:t>
      </w:r>
      <w:r w:rsidRPr="00C621D2">
        <w:t>to forgo surgical treatment in favour of medication alone.</w:t>
      </w:r>
    </w:p>
    <w:p w14:paraId="4CD674F1" w14:textId="0E4815B5" w:rsidR="00C50E57" w:rsidRDefault="004109DE" w:rsidP="00123A9E">
      <w:r>
        <w:t xml:space="preserve">Of relevance to the application, the 2021 ESC/EACTS guidelines include a class IIb recommendation that TTVI may be considered by the </w:t>
      </w:r>
      <w:r w:rsidR="0031255C">
        <w:t>h</w:t>
      </w:r>
      <w:r>
        <w:t>eart</w:t>
      </w:r>
      <w:r w:rsidR="0031255C">
        <w:t xml:space="preserve"> team</w:t>
      </w:r>
      <w:r>
        <w:t xml:space="preserve"> at experienced </w:t>
      </w:r>
      <w:r w:rsidR="0031255C">
        <w:t>h</w:t>
      </w:r>
      <w:r>
        <w:t xml:space="preserve">eart </w:t>
      </w:r>
      <w:r w:rsidR="0031255C">
        <w:t>v</w:t>
      </w:r>
      <w:r>
        <w:t xml:space="preserve">alve </w:t>
      </w:r>
      <w:r w:rsidR="0031255C">
        <w:t>c</w:t>
      </w:r>
      <w:r>
        <w:t xml:space="preserve">entres in symptomatic, inoperable, </w:t>
      </w:r>
      <w:r w:rsidRPr="00DF3A19">
        <w:t>anatomically eligible patients in whom symptomatic or prognostic improvement can be expected (Vahanian et al. 202</w:t>
      </w:r>
      <w:r w:rsidR="00F03490" w:rsidRPr="00DF3A19">
        <w:t>2</w:t>
      </w:r>
      <w:r w:rsidRPr="00DF3A19">
        <w:t>).</w:t>
      </w:r>
    </w:p>
    <w:p w14:paraId="52998398" w14:textId="0EFB69C5" w:rsidR="00905106" w:rsidRDefault="00915362" w:rsidP="00B72410">
      <w:r w:rsidRPr="00A85814">
        <w:t xml:space="preserve">TTVI </w:t>
      </w:r>
      <w:r w:rsidR="00FF4F2E" w:rsidRPr="00A85814">
        <w:t xml:space="preserve">can be </w:t>
      </w:r>
      <w:r w:rsidR="002C7FCC">
        <w:t xml:space="preserve">broadly </w:t>
      </w:r>
      <w:r w:rsidR="00FF4F2E" w:rsidRPr="00A85814">
        <w:t xml:space="preserve">categorised </w:t>
      </w:r>
      <w:r w:rsidR="001A30D1">
        <w:t>into</w:t>
      </w:r>
      <w:r w:rsidR="00FF4F2E" w:rsidRPr="00A85814">
        <w:t xml:space="preserve"> </w:t>
      </w:r>
      <w:r w:rsidR="004D00F9">
        <w:t xml:space="preserve">devices for </w:t>
      </w:r>
      <w:r w:rsidR="00CD55DE">
        <w:t>TTVR</w:t>
      </w:r>
      <w:r w:rsidR="00CD55DE" w:rsidRPr="00A85814">
        <w:t xml:space="preserve"> </w:t>
      </w:r>
      <w:r w:rsidR="004D00F9">
        <w:t>or</w:t>
      </w:r>
      <w:r w:rsidR="00DD7F01">
        <w:t xml:space="preserve"> transcatheter tricuspid valve </w:t>
      </w:r>
      <w:r w:rsidR="00763E9C">
        <w:t xml:space="preserve">(TTV) </w:t>
      </w:r>
      <w:r w:rsidR="00DD7F01">
        <w:t>repair</w:t>
      </w:r>
      <w:r w:rsidR="00D94302">
        <w:t xml:space="preserve">. </w:t>
      </w:r>
      <w:r w:rsidR="00A25A42">
        <w:t xml:space="preserve">There are 2 types of TTVR: </w:t>
      </w:r>
      <w:r w:rsidR="00A84CDF" w:rsidRPr="00A84CDF">
        <w:t xml:space="preserve">orthotopic and heterotopic. Orthotopic TTVR involves positioning the prosthetic valve </w:t>
      </w:r>
      <w:r w:rsidR="00A84CDF" w:rsidRPr="00A84CDF">
        <w:lastRenderedPageBreak/>
        <w:t xml:space="preserve">in the tricuspid annulus, while heterotopic TTVR involves positioning the </w:t>
      </w:r>
      <w:r w:rsidR="00A25A42">
        <w:t>pros</w:t>
      </w:r>
      <w:r w:rsidR="00B667B8">
        <w:t xml:space="preserve">thetic </w:t>
      </w:r>
      <w:r w:rsidR="00A84CDF" w:rsidRPr="00A84CDF">
        <w:t xml:space="preserve">valve in the superior vena cava </w:t>
      </w:r>
      <w:r w:rsidR="00B667B8">
        <w:t>and/</w:t>
      </w:r>
      <w:r w:rsidR="00A84CDF" w:rsidRPr="00A84CDF">
        <w:t>or inferior vena cava</w:t>
      </w:r>
      <w:r w:rsidR="007F0BEE">
        <w:t xml:space="preserve"> (</w:t>
      </w:r>
      <w:r w:rsidR="00A760D7">
        <w:t xml:space="preserve">also referred to as </w:t>
      </w:r>
      <w:r w:rsidR="007F0BEE">
        <w:t>caval or bicaval valve impl</w:t>
      </w:r>
      <w:r w:rsidR="00A760D7">
        <w:t>antation)</w:t>
      </w:r>
      <w:r w:rsidR="00B667B8">
        <w:t xml:space="preserve">. </w:t>
      </w:r>
      <w:r w:rsidR="009D50FA">
        <w:t>TTV</w:t>
      </w:r>
      <w:r w:rsidR="009D50FA" w:rsidRPr="009D50FA">
        <w:t xml:space="preserve"> repair includes tricuspid edge-to-edge repair (TEER) devices, which bridge gaps between leaflets, and annulus-reshaping devices, designed to reduce annular dilation and restore its crescent shape</w:t>
      </w:r>
      <w:r w:rsidR="00CE5CC4">
        <w:t>.</w:t>
      </w:r>
      <w:bookmarkStart w:id="4" w:name="_Ref191501337"/>
    </w:p>
    <w:bookmarkEnd w:id="4"/>
    <w:p w14:paraId="0E38780D" w14:textId="77777777" w:rsidR="007A66C8" w:rsidRDefault="007A66C8" w:rsidP="00713728">
      <w:pPr>
        <w:pStyle w:val="Heading3"/>
      </w:pPr>
      <w:r w:rsidRPr="008F1532">
        <w:t>Intervention</w:t>
      </w:r>
    </w:p>
    <w:p w14:paraId="416059E3" w14:textId="4B41637A" w:rsidR="00CB6F0A" w:rsidRDefault="1D2C7A5F" w:rsidP="00D72D12">
      <w:r>
        <w:t xml:space="preserve">The intervention proposed in the application is TTVR </w:t>
      </w:r>
      <w:r w:rsidR="005A763B" w:rsidDel="1D2C7A5F">
        <w:t xml:space="preserve">using the </w:t>
      </w:r>
      <w:r w:rsidR="005A763B" w:rsidDel="00E06696">
        <w:t xml:space="preserve">EVOQUE </w:t>
      </w:r>
      <w:r w:rsidR="005A763B" w:rsidDel="1AE6353F">
        <w:t>s</w:t>
      </w:r>
      <w:r w:rsidR="005A763B" w:rsidDel="00E06696">
        <w:t>ystem</w:t>
      </w:r>
      <w:r w:rsidR="005A763B" w:rsidDel="4124C8FC">
        <w:t xml:space="preserve"> </w:t>
      </w:r>
      <w:r w:rsidR="4124C8FC">
        <w:t xml:space="preserve">in </w:t>
      </w:r>
      <w:r w:rsidR="5BD9B976">
        <w:t>addition to</w:t>
      </w:r>
      <w:r w:rsidR="4124C8FC">
        <w:t xml:space="preserve"> </w:t>
      </w:r>
      <w:r w:rsidR="10B403DE">
        <w:t>continued</w:t>
      </w:r>
      <w:r w:rsidR="69CA5C2A">
        <w:t xml:space="preserve"> </w:t>
      </w:r>
      <w:r w:rsidR="4124C8FC">
        <w:t>OMT</w:t>
      </w:r>
      <w:r w:rsidR="69CA5C2A">
        <w:t>.</w:t>
      </w:r>
    </w:p>
    <w:p w14:paraId="41DF733E" w14:textId="5C6B1952" w:rsidR="00E12EDF" w:rsidRDefault="00ED2E20" w:rsidP="00D72D12">
      <w:r>
        <w:t>TTVR involves the use of</w:t>
      </w:r>
      <w:r w:rsidR="00191A18" w:rsidRPr="00EF665C">
        <w:t xml:space="preserve"> a minimally invasive transcatheter device designed to replace the </w:t>
      </w:r>
      <w:r w:rsidR="00534778" w:rsidRPr="00EF665C">
        <w:t xml:space="preserve">native </w:t>
      </w:r>
      <w:r w:rsidR="00191A18" w:rsidRPr="00EF665C">
        <w:t xml:space="preserve">tricuspid valve without </w:t>
      </w:r>
      <w:r w:rsidR="00400BF7" w:rsidRPr="00EF665C">
        <w:t xml:space="preserve">the need for </w:t>
      </w:r>
      <w:r w:rsidR="00191A18" w:rsidRPr="00EF665C">
        <w:t>open-heart surgery.</w:t>
      </w:r>
      <w:r w:rsidR="00CB6F0A">
        <w:t xml:space="preserve"> </w:t>
      </w:r>
      <w:r w:rsidR="00E12EDF">
        <w:t xml:space="preserve">The </w:t>
      </w:r>
      <w:r w:rsidR="00E12EDF" w:rsidRPr="00FA6223">
        <w:t xml:space="preserve">artificial tricuspid valve </w:t>
      </w:r>
      <w:r w:rsidR="00E12EDF" w:rsidRPr="00EF665C">
        <w:t xml:space="preserve">is delivered through a transfemoral approach using a specially designed delivery system. By replacing the dysfunctional tricuspid valve with a bioprosthetic valve, </w:t>
      </w:r>
      <w:r w:rsidR="0081078C">
        <w:t>TTVR</w:t>
      </w:r>
      <w:r w:rsidR="00E12EDF">
        <w:t xml:space="preserve"> </w:t>
      </w:r>
      <w:r w:rsidR="00E12EDF" w:rsidRPr="00EF665C">
        <w:t>prevents backflow of blood into the right atrium, reducing TR severity and improving blood flow dynamics in the heart.</w:t>
      </w:r>
    </w:p>
    <w:p w14:paraId="47911F5B" w14:textId="2950F8F8" w:rsidR="005A4424" w:rsidRDefault="005A4424" w:rsidP="005A4424">
      <w:r>
        <w:t>M</w:t>
      </w:r>
      <w:r w:rsidRPr="00A85814">
        <w:t xml:space="preserve">ost </w:t>
      </w:r>
      <w:r>
        <w:t xml:space="preserve">TTVI devices </w:t>
      </w:r>
      <w:r w:rsidRPr="00A85814">
        <w:t xml:space="preserve">are still in the early stages of development and not yet </w:t>
      </w:r>
      <w:r w:rsidR="00A95668">
        <w:t>registered</w:t>
      </w:r>
      <w:r w:rsidR="00A95668" w:rsidRPr="00A85814">
        <w:t xml:space="preserve"> </w:t>
      </w:r>
      <w:r w:rsidRPr="00A85814">
        <w:t>in Australia</w:t>
      </w:r>
      <w:r>
        <w:t xml:space="preserve">. </w:t>
      </w:r>
      <w:r w:rsidR="0018403B">
        <w:fldChar w:fldCharType="begin"/>
      </w:r>
      <w:r w:rsidR="0018403B">
        <w:instrText xml:space="preserve"> REF _Ref197029266 \h </w:instrText>
      </w:r>
      <w:r w:rsidR="0018403B">
        <w:fldChar w:fldCharType="separate"/>
      </w:r>
      <w:r w:rsidR="00481F36" w:rsidRPr="00AD26D1">
        <w:t xml:space="preserve">Table </w:t>
      </w:r>
      <w:r w:rsidR="00481F36">
        <w:rPr>
          <w:noProof/>
        </w:rPr>
        <w:t>2</w:t>
      </w:r>
      <w:r w:rsidR="0018403B">
        <w:fldChar w:fldCharType="end"/>
      </w:r>
      <w:r w:rsidR="0018403B">
        <w:t xml:space="preserve"> </w:t>
      </w:r>
      <w:r>
        <w:t>provides a non-exhaustive list of TTVI devices currently available or under investigation</w:t>
      </w:r>
      <w:r w:rsidRPr="00A85814">
        <w:t>.</w:t>
      </w:r>
    </w:p>
    <w:p w14:paraId="256CC67E" w14:textId="10D3253B" w:rsidR="005A4424" w:rsidRPr="00AD26D1" w:rsidRDefault="005A4424" w:rsidP="005A4424">
      <w:pPr>
        <w:pStyle w:val="Caption"/>
        <w:rPr>
          <w:lang w:val="en-AU"/>
        </w:rPr>
      </w:pPr>
      <w:bookmarkStart w:id="5" w:name="_Ref197029266"/>
      <w:r w:rsidRPr="00AD26D1">
        <w:rPr>
          <w:lang w:val="en-AU"/>
        </w:rPr>
        <w:t xml:space="preserve">Table </w:t>
      </w:r>
      <w:r w:rsidRPr="00AD26D1">
        <w:rPr>
          <w:lang w:val="en-AU"/>
        </w:rPr>
        <w:fldChar w:fldCharType="begin"/>
      </w:r>
      <w:r w:rsidRPr="00AD26D1">
        <w:rPr>
          <w:lang w:val="en-AU"/>
        </w:rPr>
        <w:instrText xml:space="preserve"> SEQ Table \* ARABIC </w:instrText>
      </w:r>
      <w:r w:rsidRPr="00AD26D1">
        <w:rPr>
          <w:lang w:val="en-AU"/>
        </w:rPr>
        <w:fldChar w:fldCharType="separate"/>
      </w:r>
      <w:r w:rsidR="00481F36">
        <w:rPr>
          <w:noProof/>
          <w:lang w:val="en-AU"/>
        </w:rPr>
        <w:t>2</w:t>
      </w:r>
      <w:r w:rsidRPr="00AD26D1">
        <w:rPr>
          <w:lang w:val="en-AU"/>
        </w:rPr>
        <w:fldChar w:fldCharType="end"/>
      </w:r>
      <w:bookmarkEnd w:id="5"/>
      <w:r w:rsidRPr="00AD26D1">
        <w:rPr>
          <w:lang w:val="en-AU"/>
        </w:rPr>
        <w:tab/>
        <w:t>TTVI devices currently available or under investigation</w:t>
      </w:r>
    </w:p>
    <w:tbl>
      <w:tblPr>
        <w:tblStyle w:val="TableGrid"/>
        <w:tblW w:w="5000" w:type="pct"/>
        <w:tblInd w:w="0" w:type="dxa"/>
        <w:tblLook w:val="04A0" w:firstRow="1" w:lastRow="0" w:firstColumn="1" w:lastColumn="0" w:noHBand="0" w:noVBand="1"/>
        <w:tblCaption w:val="TTVI devices currently available or under investigation"/>
        <w:tblDescription w:val="This table provides a summary of TTVR, TTV repair and transcatheter annuloplasty devices that are registered for use or under investigation. The table shows the device name, a brief description, the delivery route, pivotal evidence and whether the device has TGA or FDA approval or CE Mark."/>
      </w:tblPr>
      <w:tblGrid>
        <w:gridCol w:w="1837"/>
        <w:gridCol w:w="710"/>
        <w:gridCol w:w="142"/>
        <w:gridCol w:w="283"/>
        <w:gridCol w:w="142"/>
        <w:gridCol w:w="992"/>
        <w:gridCol w:w="1277"/>
        <w:gridCol w:w="1983"/>
        <w:gridCol w:w="2205"/>
      </w:tblGrid>
      <w:tr w:rsidR="005A4424" w14:paraId="78FCB34C" w14:textId="77777777">
        <w:trPr>
          <w:tblHeader/>
        </w:trPr>
        <w:tc>
          <w:tcPr>
            <w:tcW w:w="960" w:type="pct"/>
            <w:tcBorders>
              <w:bottom w:val="single" w:sz="4" w:space="0" w:color="auto"/>
            </w:tcBorders>
          </w:tcPr>
          <w:p w14:paraId="5907A0D8" w14:textId="77777777" w:rsidR="005A4424" w:rsidRDefault="005A4424">
            <w:pPr>
              <w:pStyle w:val="TableHeading"/>
            </w:pPr>
            <w:r>
              <w:t>Device</w:t>
            </w:r>
          </w:p>
        </w:tc>
        <w:tc>
          <w:tcPr>
            <w:tcW w:w="1185" w:type="pct"/>
            <w:gridSpan w:val="5"/>
            <w:tcBorders>
              <w:bottom w:val="single" w:sz="4" w:space="0" w:color="auto"/>
            </w:tcBorders>
          </w:tcPr>
          <w:p w14:paraId="14B26CD7" w14:textId="77777777" w:rsidR="005A4424" w:rsidRDefault="005A4424">
            <w:pPr>
              <w:pStyle w:val="TableHeading"/>
            </w:pPr>
            <w:r>
              <w:t>Brief description</w:t>
            </w:r>
          </w:p>
        </w:tc>
        <w:tc>
          <w:tcPr>
            <w:tcW w:w="667" w:type="pct"/>
            <w:tcBorders>
              <w:bottom w:val="single" w:sz="4" w:space="0" w:color="auto"/>
            </w:tcBorders>
          </w:tcPr>
          <w:p w14:paraId="1C063CF0" w14:textId="77777777" w:rsidR="005A4424" w:rsidRPr="00DA00D2" w:rsidRDefault="005A4424">
            <w:pPr>
              <w:pStyle w:val="TableHeading"/>
            </w:pPr>
            <w:r>
              <w:t>Delivery</w:t>
            </w:r>
          </w:p>
        </w:tc>
        <w:tc>
          <w:tcPr>
            <w:tcW w:w="1036" w:type="pct"/>
            <w:tcBorders>
              <w:bottom w:val="single" w:sz="4" w:space="0" w:color="auto"/>
            </w:tcBorders>
          </w:tcPr>
          <w:p w14:paraId="365C8BF2" w14:textId="77777777" w:rsidR="005A4424" w:rsidRDefault="005A4424">
            <w:pPr>
              <w:pStyle w:val="TableHeading"/>
            </w:pPr>
            <w:r w:rsidRPr="00DA00D2">
              <w:t>Pivotal evidence</w:t>
            </w:r>
          </w:p>
        </w:tc>
        <w:tc>
          <w:tcPr>
            <w:tcW w:w="1152" w:type="pct"/>
          </w:tcPr>
          <w:p w14:paraId="177184B4" w14:textId="77777777" w:rsidR="005A4424" w:rsidRDefault="005A4424">
            <w:pPr>
              <w:pStyle w:val="TableHeading"/>
            </w:pPr>
            <w:r>
              <w:t>Registration</w:t>
            </w:r>
          </w:p>
        </w:tc>
      </w:tr>
      <w:tr w:rsidR="005A4424" w14:paraId="0079C3ED" w14:textId="77777777" w:rsidTr="007B1550">
        <w:tc>
          <w:tcPr>
            <w:tcW w:w="1405" w:type="pct"/>
            <w:gridSpan w:val="3"/>
            <w:tcBorders>
              <w:right w:val="nil"/>
            </w:tcBorders>
          </w:tcPr>
          <w:p w14:paraId="11775682" w14:textId="77777777" w:rsidR="005A4424" w:rsidRPr="00BC5C47" w:rsidRDefault="005A4424">
            <w:pPr>
              <w:pStyle w:val="Tabletext"/>
              <w:keepNext/>
              <w:rPr>
                <w:b/>
                <w:bCs/>
              </w:rPr>
            </w:pPr>
            <w:r w:rsidRPr="00BC5C47">
              <w:rPr>
                <w:b/>
                <w:bCs/>
              </w:rPr>
              <w:t>Valve replacement</w:t>
            </w:r>
            <w:r>
              <w:rPr>
                <w:b/>
                <w:bCs/>
              </w:rPr>
              <w:t xml:space="preserve"> (orthotopic)</w:t>
            </w:r>
          </w:p>
        </w:tc>
        <w:tc>
          <w:tcPr>
            <w:tcW w:w="740" w:type="pct"/>
            <w:gridSpan w:val="3"/>
            <w:tcBorders>
              <w:left w:val="nil"/>
              <w:right w:val="nil"/>
            </w:tcBorders>
          </w:tcPr>
          <w:p w14:paraId="2A3E8249" w14:textId="77777777" w:rsidR="005A4424" w:rsidRPr="00BC5C47" w:rsidRDefault="005A4424">
            <w:pPr>
              <w:pStyle w:val="Tabletext"/>
              <w:keepNext/>
              <w:rPr>
                <w:b/>
                <w:bCs/>
              </w:rPr>
            </w:pPr>
          </w:p>
        </w:tc>
        <w:tc>
          <w:tcPr>
            <w:tcW w:w="667" w:type="pct"/>
            <w:tcBorders>
              <w:left w:val="nil"/>
              <w:right w:val="nil"/>
            </w:tcBorders>
          </w:tcPr>
          <w:p w14:paraId="3B18E1D1" w14:textId="77777777" w:rsidR="005A4424" w:rsidRPr="00BC5C47" w:rsidRDefault="005A4424">
            <w:pPr>
              <w:pStyle w:val="Tabletext"/>
              <w:keepNext/>
              <w:rPr>
                <w:b/>
                <w:bCs/>
              </w:rPr>
            </w:pPr>
          </w:p>
        </w:tc>
        <w:tc>
          <w:tcPr>
            <w:tcW w:w="1036" w:type="pct"/>
            <w:tcBorders>
              <w:left w:val="nil"/>
              <w:right w:val="nil"/>
            </w:tcBorders>
          </w:tcPr>
          <w:p w14:paraId="449BEAB7" w14:textId="77777777" w:rsidR="005A4424" w:rsidRPr="00BC5C47" w:rsidRDefault="005A4424">
            <w:pPr>
              <w:pStyle w:val="Tabletext"/>
              <w:keepNext/>
              <w:rPr>
                <w:b/>
                <w:bCs/>
              </w:rPr>
            </w:pPr>
          </w:p>
        </w:tc>
        <w:tc>
          <w:tcPr>
            <w:tcW w:w="1152" w:type="pct"/>
            <w:tcBorders>
              <w:left w:val="nil"/>
            </w:tcBorders>
          </w:tcPr>
          <w:p w14:paraId="2C883584" w14:textId="77777777" w:rsidR="005A4424" w:rsidRPr="00BC5C47" w:rsidRDefault="005A4424">
            <w:pPr>
              <w:pStyle w:val="Tabletext"/>
              <w:keepNext/>
              <w:rPr>
                <w:b/>
                <w:bCs/>
              </w:rPr>
            </w:pPr>
          </w:p>
        </w:tc>
      </w:tr>
      <w:tr w:rsidR="005A4424" w14:paraId="1252D833" w14:textId="77777777">
        <w:tc>
          <w:tcPr>
            <w:tcW w:w="960" w:type="pct"/>
          </w:tcPr>
          <w:p w14:paraId="5A5E0CB3" w14:textId="77777777" w:rsidR="005A4424" w:rsidRPr="001B1499" w:rsidRDefault="005A4424">
            <w:pPr>
              <w:pStyle w:val="Tabletext"/>
            </w:pPr>
            <w:r>
              <w:t>EVOQUE</w:t>
            </w:r>
            <w:r>
              <w:br/>
              <w:t>(Edwards Lifesciences, USA)</w:t>
            </w:r>
          </w:p>
        </w:tc>
        <w:tc>
          <w:tcPr>
            <w:tcW w:w="1185" w:type="pct"/>
            <w:gridSpan w:val="5"/>
          </w:tcPr>
          <w:p w14:paraId="651A124E" w14:textId="77777777" w:rsidR="005A4424" w:rsidRPr="00B176B0" w:rsidRDefault="005A4424">
            <w:pPr>
              <w:pStyle w:val="Tabletext"/>
            </w:pPr>
            <w:r>
              <w:t>Self-expanding bioprosthetic valve; b</w:t>
            </w:r>
            <w:r w:rsidRPr="00830167">
              <w:t>ovine</w:t>
            </w:r>
            <w:r>
              <w:t xml:space="preserve"> </w:t>
            </w:r>
            <w:r w:rsidRPr="00830167">
              <w:t>pericardium</w:t>
            </w:r>
            <w:r>
              <w:t xml:space="preserve">, </w:t>
            </w:r>
            <w:r w:rsidRPr="00830167">
              <w:t>nitinol frame</w:t>
            </w:r>
            <w:r>
              <w:t xml:space="preserve"> with fabric skirt</w:t>
            </w:r>
          </w:p>
        </w:tc>
        <w:tc>
          <w:tcPr>
            <w:tcW w:w="667" w:type="pct"/>
          </w:tcPr>
          <w:p w14:paraId="343D397E" w14:textId="77777777" w:rsidR="005A4424" w:rsidRPr="00A20ECF" w:rsidRDefault="005A4424">
            <w:pPr>
              <w:pStyle w:val="Tabletext"/>
              <w:rPr>
                <w:b/>
                <w:bCs/>
              </w:rPr>
            </w:pPr>
            <w:r>
              <w:t>Transfemoral</w:t>
            </w:r>
          </w:p>
        </w:tc>
        <w:tc>
          <w:tcPr>
            <w:tcW w:w="1036" w:type="pct"/>
          </w:tcPr>
          <w:p w14:paraId="2BD3539E" w14:textId="77777777" w:rsidR="005A4424" w:rsidRPr="00A33EDE" w:rsidRDefault="005A4424">
            <w:pPr>
              <w:pStyle w:val="Tabletext"/>
            </w:pPr>
            <w:r w:rsidRPr="00A20ECF">
              <w:rPr>
                <w:b/>
                <w:bCs/>
              </w:rPr>
              <w:t>Randomised</w:t>
            </w:r>
            <w:r>
              <w:t>:</w:t>
            </w:r>
            <w:r>
              <w:br/>
              <w:t>TRISCEND II Pivotal Trial (NCT04482062)</w:t>
            </w:r>
            <w:r>
              <w:br/>
              <w:t>EVOQUE + MT vs MT alone</w:t>
            </w:r>
          </w:p>
        </w:tc>
        <w:tc>
          <w:tcPr>
            <w:tcW w:w="1152" w:type="pct"/>
          </w:tcPr>
          <w:p w14:paraId="3AC61D83" w14:textId="77777777" w:rsidR="00604DBB" w:rsidRDefault="00E666AE">
            <w:pPr>
              <w:pStyle w:val="Tabletext"/>
            </w:pPr>
            <w:r>
              <w:t>TGA approval (2025)</w:t>
            </w:r>
          </w:p>
          <w:p w14:paraId="653B9AC1" w14:textId="421F0315" w:rsidR="005A4424" w:rsidRDefault="005A4424">
            <w:pPr>
              <w:pStyle w:val="Tabletext"/>
            </w:pPr>
            <w:r>
              <w:t>FDA approval (2024)</w:t>
            </w:r>
          </w:p>
          <w:p w14:paraId="3AACCD75" w14:textId="77777777" w:rsidR="005A4424" w:rsidRPr="00A33EDE" w:rsidRDefault="005A4424">
            <w:pPr>
              <w:pStyle w:val="Tabletext"/>
            </w:pPr>
            <w:r>
              <w:t>CE Mark</w:t>
            </w:r>
          </w:p>
        </w:tc>
      </w:tr>
      <w:tr w:rsidR="005A4424" w14:paraId="2B726D5B" w14:textId="77777777">
        <w:tc>
          <w:tcPr>
            <w:tcW w:w="960" w:type="pct"/>
          </w:tcPr>
          <w:p w14:paraId="0F3CD613" w14:textId="77777777" w:rsidR="005A4424" w:rsidRPr="001B1499" w:rsidRDefault="005A4424">
            <w:pPr>
              <w:pStyle w:val="Tabletext"/>
            </w:pPr>
            <w:r>
              <w:t>INTREPID</w:t>
            </w:r>
            <w:r>
              <w:br/>
              <w:t>(Medtronic, USA)</w:t>
            </w:r>
          </w:p>
        </w:tc>
        <w:tc>
          <w:tcPr>
            <w:tcW w:w="1185" w:type="pct"/>
            <w:gridSpan w:val="5"/>
          </w:tcPr>
          <w:p w14:paraId="2BED5D90" w14:textId="77777777" w:rsidR="005A4424" w:rsidRPr="00B176B0" w:rsidRDefault="005A4424">
            <w:pPr>
              <w:pStyle w:val="Tabletext"/>
            </w:pPr>
            <w:r>
              <w:t>Self-expanding bioprosthetic valve; b</w:t>
            </w:r>
            <w:r w:rsidRPr="00830167">
              <w:t>ovine</w:t>
            </w:r>
            <w:r>
              <w:t xml:space="preserve"> </w:t>
            </w:r>
            <w:r w:rsidRPr="00830167">
              <w:t>pericardium</w:t>
            </w:r>
            <w:r>
              <w:t xml:space="preserve">, </w:t>
            </w:r>
            <w:r w:rsidRPr="00830167">
              <w:t xml:space="preserve">nitinol </w:t>
            </w:r>
            <w:r>
              <w:t xml:space="preserve">dual stent </w:t>
            </w:r>
            <w:r w:rsidRPr="00830167">
              <w:t>frame</w:t>
            </w:r>
          </w:p>
        </w:tc>
        <w:tc>
          <w:tcPr>
            <w:tcW w:w="667" w:type="pct"/>
          </w:tcPr>
          <w:p w14:paraId="4C2B1BCD" w14:textId="77777777" w:rsidR="005A4424" w:rsidRDefault="005A4424">
            <w:pPr>
              <w:pStyle w:val="Tabletext"/>
            </w:pPr>
            <w:r>
              <w:t>Transfemoral</w:t>
            </w:r>
          </w:p>
        </w:tc>
        <w:tc>
          <w:tcPr>
            <w:tcW w:w="1036" w:type="pct"/>
          </w:tcPr>
          <w:p w14:paraId="2CD6740C" w14:textId="77777777" w:rsidR="005A4424" w:rsidRPr="00A33EDE" w:rsidRDefault="005A4424">
            <w:pPr>
              <w:pStyle w:val="Tabletext"/>
            </w:pPr>
            <w:r>
              <w:t>Non-randomised:</w:t>
            </w:r>
            <w:r>
              <w:br/>
              <w:t>INTREPID study</w:t>
            </w:r>
          </w:p>
        </w:tc>
        <w:tc>
          <w:tcPr>
            <w:tcW w:w="1152" w:type="pct"/>
          </w:tcPr>
          <w:p w14:paraId="3A2EAB67" w14:textId="77777777" w:rsidR="005A4424" w:rsidRPr="00A33EDE" w:rsidRDefault="005A4424">
            <w:pPr>
              <w:pStyle w:val="Tabletext"/>
            </w:pPr>
            <w:r>
              <w:t>-</w:t>
            </w:r>
          </w:p>
        </w:tc>
      </w:tr>
      <w:tr w:rsidR="005A4424" w14:paraId="5284C110" w14:textId="77777777">
        <w:tc>
          <w:tcPr>
            <w:tcW w:w="960" w:type="pct"/>
          </w:tcPr>
          <w:p w14:paraId="5FD9F4DA" w14:textId="77777777" w:rsidR="005A4424" w:rsidRPr="001B1499" w:rsidRDefault="005A4424">
            <w:pPr>
              <w:pStyle w:val="Tabletext"/>
            </w:pPr>
            <w:r>
              <w:t>LuX-Valve and LuX-Valve Plus</w:t>
            </w:r>
            <w:r>
              <w:br/>
              <w:t>(Jenscare Biotechnology, China)</w:t>
            </w:r>
          </w:p>
        </w:tc>
        <w:tc>
          <w:tcPr>
            <w:tcW w:w="1185" w:type="pct"/>
            <w:gridSpan w:val="5"/>
          </w:tcPr>
          <w:p w14:paraId="47934342" w14:textId="77777777" w:rsidR="005A4424" w:rsidRPr="00B176B0" w:rsidRDefault="005A4424">
            <w:pPr>
              <w:pStyle w:val="Tabletext"/>
            </w:pPr>
            <w:r>
              <w:t>Self-expanding bioprosthetic valve; b</w:t>
            </w:r>
            <w:r w:rsidRPr="00830167">
              <w:t>ovine</w:t>
            </w:r>
            <w:r>
              <w:t xml:space="preserve"> </w:t>
            </w:r>
            <w:r w:rsidRPr="00830167">
              <w:t>pericardium</w:t>
            </w:r>
            <w:r>
              <w:t xml:space="preserve">, </w:t>
            </w:r>
            <w:r w:rsidRPr="00830167">
              <w:t>nitinol frame</w:t>
            </w:r>
          </w:p>
        </w:tc>
        <w:tc>
          <w:tcPr>
            <w:tcW w:w="667" w:type="pct"/>
          </w:tcPr>
          <w:p w14:paraId="778822AD" w14:textId="77777777" w:rsidR="005A4424" w:rsidRDefault="005A4424">
            <w:pPr>
              <w:pStyle w:val="Tabletext"/>
            </w:pPr>
            <w:r>
              <w:t>Transatrial</w:t>
            </w:r>
          </w:p>
        </w:tc>
        <w:tc>
          <w:tcPr>
            <w:tcW w:w="1036" w:type="pct"/>
          </w:tcPr>
          <w:p w14:paraId="3CA72FAC" w14:textId="77777777" w:rsidR="005A4424" w:rsidRPr="00A33EDE" w:rsidRDefault="005A4424">
            <w:pPr>
              <w:pStyle w:val="Tabletext"/>
            </w:pPr>
            <w:r>
              <w:t>Non-randomised:</w:t>
            </w:r>
            <w:r>
              <w:br/>
              <w:t>TRAVEL trial</w:t>
            </w:r>
          </w:p>
        </w:tc>
        <w:tc>
          <w:tcPr>
            <w:tcW w:w="1152" w:type="pct"/>
          </w:tcPr>
          <w:p w14:paraId="74DCB7D1" w14:textId="77777777" w:rsidR="005A4424" w:rsidRPr="00A33EDE" w:rsidRDefault="005A4424">
            <w:pPr>
              <w:pStyle w:val="Tabletext"/>
            </w:pPr>
            <w:r>
              <w:t>-</w:t>
            </w:r>
          </w:p>
        </w:tc>
      </w:tr>
      <w:tr w:rsidR="005A4424" w14:paraId="2BCD05B6" w14:textId="77777777">
        <w:tc>
          <w:tcPr>
            <w:tcW w:w="960" w:type="pct"/>
            <w:tcBorders>
              <w:bottom w:val="single" w:sz="4" w:space="0" w:color="auto"/>
            </w:tcBorders>
          </w:tcPr>
          <w:p w14:paraId="49EF71A2" w14:textId="77777777" w:rsidR="005A4424" w:rsidRPr="001B1499" w:rsidRDefault="005A4424">
            <w:pPr>
              <w:pStyle w:val="Tabletext"/>
            </w:pPr>
            <w:r>
              <w:t>Navi-GATE</w:t>
            </w:r>
            <w:r>
              <w:br/>
              <w:t>(NaviGate Cardiac Structures, USA)</w:t>
            </w:r>
          </w:p>
        </w:tc>
        <w:tc>
          <w:tcPr>
            <w:tcW w:w="1185" w:type="pct"/>
            <w:gridSpan w:val="5"/>
            <w:tcBorders>
              <w:bottom w:val="single" w:sz="4" w:space="0" w:color="auto"/>
            </w:tcBorders>
          </w:tcPr>
          <w:p w14:paraId="01E72022" w14:textId="77777777" w:rsidR="005A4424" w:rsidRPr="00B176B0" w:rsidRDefault="005A4424">
            <w:pPr>
              <w:pStyle w:val="Tabletext"/>
            </w:pPr>
            <w:r>
              <w:t xml:space="preserve">Self-expanding bioprosthetic valve; equine </w:t>
            </w:r>
            <w:r w:rsidRPr="00830167">
              <w:t>pericardium</w:t>
            </w:r>
            <w:r>
              <w:t xml:space="preserve">, </w:t>
            </w:r>
            <w:r w:rsidRPr="00830167">
              <w:t>nitinol frame</w:t>
            </w:r>
          </w:p>
        </w:tc>
        <w:tc>
          <w:tcPr>
            <w:tcW w:w="667" w:type="pct"/>
            <w:tcBorders>
              <w:bottom w:val="single" w:sz="4" w:space="0" w:color="auto"/>
            </w:tcBorders>
          </w:tcPr>
          <w:p w14:paraId="1AC86862" w14:textId="77777777" w:rsidR="005A4424" w:rsidRDefault="005A4424">
            <w:pPr>
              <w:pStyle w:val="Tabletext"/>
            </w:pPr>
            <w:r>
              <w:t>Transatrial</w:t>
            </w:r>
          </w:p>
        </w:tc>
        <w:tc>
          <w:tcPr>
            <w:tcW w:w="1036" w:type="pct"/>
            <w:tcBorders>
              <w:bottom w:val="single" w:sz="4" w:space="0" w:color="auto"/>
            </w:tcBorders>
          </w:tcPr>
          <w:p w14:paraId="15593BA4" w14:textId="77777777" w:rsidR="005A4424" w:rsidRPr="00A33EDE" w:rsidRDefault="005A4424">
            <w:pPr>
              <w:pStyle w:val="Tabletext"/>
            </w:pPr>
            <w:r>
              <w:t>Non-randomised:</w:t>
            </w:r>
            <w:r>
              <w:br/>
              <w:t>Navi-GATE study</w:t>
            </w:r>
          </w:p>
        </w:tc>
        <w:tc>
          <w:tcPr>
            <w:tcW w:w="1152" w:type="pct"/>
          </w:tcPr>
          <w:p w14:paraId="1B51CA5D" w14:textId="77777777" w:rsidR="005A4424" w:rsidRPr="00A33EDE" w:rsidRDefault="005A4424">
            <w:pPr>
              <w:pStyle w:val="Tabletext"/>
            </w:pPr>
            <w:r>
              <w:t>-</w:t>
            </w:r>
          </w:p>
        </w:tc>
      </w:tr>
      <w:tr w:rsidR="005A4424" w14:paraId="0CBC8CAA" w14:textId="77777777">
        <w:tc>
          <w:tcPr>
            <w:tcW w:w="1553" w:type="pct"/>
            <w:gridSpan w:val="4"/>
            <w:tcBorders>
              <w:right w:val="nil"/>
            </w:tcBorders>
          </w:tcPr>
          <w:p w14:paraId="7360EC3C" w14:textId="03EA0CD4" w:rsidR="005A4424" w:rsidRPr="00B76A38" w:rsidRDefault="005A4424">
            <w:pPr>
              <w:pStyle w:val="Tabletext"/>
              <w:keepNext/>
              <w:rPr>
                <w:b/>
                <w:bCs/>
              </w:rPr>
            </w:pPr>
            <w:r>
              <w:rPr>
                <w:b/>
                <w:bCs/>
              </w:rPr>
              <w:t>Caval</w:t>
            </w:r>
            <w:r w:rsidRPr="00B76A38">
              <w:rPr>
                <w:b/>
                <w:bCs/>
              </w:rPr>
              <w:t xml:space="preserve"> </w:t>
            </w:r>
            <w:r>
              <w:rPr>
                <w:b/>
                <w:bCs/>
              </w:rPr>
              <w:t xml:space="preserve">valve implant </w:t>
            </w:r>
            <w:r w:rsidRPr="00B76A38">
              <w:rPr>
                <w:b/>
                <w:bCs/>
              </w:rPr>
              <w:t>(heterotopic)</w:t>
            </w:r>
          </w:p>
        </w:tc>
        <w:tc>
          <w:tcPr>
            <w:tcW w:w="592" w:type="pct"/>
            <w:gridSpan w:val="2"/>
            <w:tcBorders>
              <w:left w:val="nil"/>
              <w:right w:val="nil"/>
            </w:tcBorders>
          </w:tcPr>
          <w:p w14:paraId="6853A0D2" w14:textId="77777777" w:rsidR="005A4424" w:rsidRPr="00B76A38" w:rsidRDefault="005A4424">
            <w:pPr>
              <w:pStyle w:val="Tabletext"/>
              <w:keepNext/>
              <w:rPr>
                <w:b/>
                <w:bCs/>
              </w:rPr>
            </w:pPr>
          </w:p>
        </w:tc>
        <w:tc>
          <w:tcPr>
            <w:tcW w:w="667" w:type="pct"/>
            <w:tcBorders>
              <w:left w:val="nil"/>
              <w:right w:val="nil"/>
            </w:tcBorders>
          </w:tcPr>
          <w:p w14:paraId="6B4D8F33" w14:textId="77777777" w:rsidR="005A4424" w:rsidRPr="00B76A38" w:rsidRDefault="005A4424">
            <w:pPr>
              <w:pStyle w:val="Tabletext"/>
              <w:keepNext/>
              <w:rPr>
                <w:b/>
                <w:bCs/>
              </w:rPr>
            </w:pPr>
          </w:p>
        </w:tc>
        <w:tc>
          <w:tcPr>
            <w:tcW w:w="1036" w:type="pct"/>
            <w:tcBorders>
              <w:left w:val="nil"/>
              <w:right w:val="nil"/>
            </w:tcBorders>
          </w:tcPr>
          <w:p w14:paraId="197B7B7C" w14:textId="77777777" w:rsidR="005A4424" w:rsidRPr="00B76A38" w:rsidRDefault="005A4424">
            <w:pPr>
              <w:pStyle w:val="Tabletext"/>
              <w:keepNext/>
              <w:rPr>
                <w:b/>
                <w:bCs/>
              </w:rPr>
            </w:pPr>
          </w:p>
        </w:tc>
        <w:tc>
          <w:tcPr>
            <w:tcW w:w="1152" w:type="pct"/>
            <w:tcBorders>
              <w:left w:val="nil"/>
            </w:tcBorders>
          </w:tcPr>
          <w:p w14:paraId="313D0383" w14:textId="77777777" w:rsidR="005A4424" w:rsidRPr="00B76A38" w:rsidRDefault="005A4424">
            <w:pPr>
              <w:pStyle w:val="Tabletext"/>
              <w:keepNext/>
              <w:rPr>
                <w:b/>
                <w:bCs/>
              </w:rPr>
            </w:pPr>
          </w:p>
        </w:tc>
      </w:tr>
      <w:tr w:rsidR="005A4424" w14:paraId="571EE918" w14:textId="77777777">
        <w:tc>
          <w:tcPr>
            <w:tcW w:w="960" w:type="pct"/>
            <w:tcBorders>
              <w:bottom w:val="single" w:sz="4" w:space="0" w:color="auto"/>
            </w:tcBorders>
          </w:tcPr>
          <w:p w14:paraId="386D0197" w14:textId="77777777" w:rsidR="005A4424" w:rsidRDefault="005A4424">
            <w:pPr>
              <w:pStyle w:val="Tabletext"/>
            </w:pPr>
            <w:r>
              <w:t>SAPIEN 3</w:t>
            </w:r>
            <w:r>
              <w:br/>
              <w:t>(Edwards Lifesciences, USA)</w:t>
            </w:r>
          </w:p>
        </w:tc>
        <w:tc>
          <w:tcPr>
            <w:tcW w:w="1185" w:type="pct"/>
            <w:gridSpan w:val="5"/>
            <w:tcBorders>
              <w:bottom w:val="single" w:sz="4" w:space="0" w:color="auto"/>
            </w:tcBorders>
          </w:tcPr>
          <w:p w14:paraId="48E2E1A9" w14:textId="77777777" w:rsidR="005A4424" w:rsidRDefault="005A4424">
            <w:pPr>
              <w:pStyle w:val="Tabletext"/>
            </w:pPr>
            <w:r>
              <w:t>Bioprosthetic valve; b</w:t>
            </w:r>
            <w:r w:rsidRPr="00830167">
              <w:t>ovine</w:t>
            </w:r>
            <w:r>
              <w:t xml:space="preserve"> </w:t>
            </w:r>
            <w:r w:rsidRPr="00830167">
              <w:t>pericardium</w:t>
            </w:r>
            <w:r>
              <w:t xml:space="preserve"> mounted onto a b</w:t>
            </w:r>
            <w:r w:rsidRPr="00F43E38">
              <w:t xml:space="preserve">alloon-expandable </w:t>
            </w:r>
            <w:r w:rsidRPr="007E6E64">
              <w:t xml:space="preserve">cobalt-chromium </w:t>
            </w:r>
            <w:r>
              <w:t>stent</w:t>
            </w:r>
          </w:p>
        </w:tc>
        <w:tc>
          <w:tcPr>
            <w:tcW w:w="667" w:type="pct"/>
            <w:tcBorders>
              <w:bottom w:val="single" w:sz="4" w:space="0" w:color="auto"/>
            </w:tcBorders>
          </w:tcPr>
          <w:p w14:paraId="42F7E823" w14:textId="77777777" w:rsidR="005A4424" w:rsidRDefault="005A4424">
            <w:pPr>
              <w:pStyle w:val="Tabletext"/>
            </w:pPr>
            <w:r>
              <w:t>Transfemoral</w:t>
            </w:r>
          </w:p>
        </w:tc>
        <w:tc>
          <w:tcPr>
            <w:tcW w:w="1036" w:type="pct"/>
            <w:tcBorders>
              <w:bottom w:val="single" w:sz="4" w:space="0" w:color="auto"/>
            </w:tcBorders>
          </w:tcPr>
          <w:p w14:paraId="3B915517" w14:textId="77777777" w:rsidR="005A4424" w:rsidRDefault="005A4424">
            <w:pPr>
              <w:pStyle w:val="Tabletext"/>
            </w:pPr>
            <w:r>
              <w:t>Limited data for tricuspid valve use (</w:t>
            </w:r>
            <w:r w:rsidRPr="00A13A2C">
              <w:t>off</w:t>
            </w:r>
            <w:r>
              <w:t>-</w:t>
            </w:r>
            <w:r w:rsidRPr="00A13A2C">
              <w:t>label)</w:t>
            </w:r>
          </w:p>
        </w:tc>
        <w:tc>
          <w:tcPr>
            <w:tcW w:w="1152" w:type="pct"/>
          </w:tcPr>
          <w:p w14:paraId="517A2D0B" w14:textId="77777777" w:rsidR="005A4424" w:rsidRPr="00A33EDE" w:rsidRDefault="005A4424">
            <w:pPr>
              <w:pStyle w:val="Tabletext"/>
            </w:pPr>
            <w:r w:rsidRPr="005B6006">
              <w:rPr>
                <w:b/>
                <w:bCs/>
              </w:rPr>
              <w:t>Off-label for TTVR</w:t>
            </w:r>
            <w:r>
              <w:br/>
              <w:t xml:space="preserve">TGA approval (from 2019) </w:t>
            </w:r>
            <w:r>
              <w:br/>
              <w:t>FDA approval (from 2015)</w:t>
            </w:r>
            <w:r>
              <w:br/>
              <w:t>CE Mark</w:t>
            </w:r>
          </w:p>
        </w:tc>
      </w:tr>
      <w:tr w:rsidR="005A4424" w14:paraId="300F608E" w14:textId="77777777">
        <w:tc>
          <w:tcPr>
            <w:tcW w:w="1627" w:type="pct"/>
            <w:gridSpan w:val="5"/>
            <w:tcBorders>
              <w:right w:val="nil"/>
            </w:tcBorders>
          </w:tcPr>
          <w:p w14:paraId="57E11F59" w14:textId="46FC3586" w:rsidR="005A4424" w:rsidRDefault="005A4424">
            <w:pPr>
              <w:pStyle w:val="Tabletext"/>
              <w:keepNext/>
              <w:rPr>
                <w:b/>
                <w:bCs/>
              </w:rPr>
            </w:pPr>
            <w:r>
              <w:rPr>
                <w:b/>
                <w:bCs/>
              </w:rPr>
              <w:t>Bicaval</w:t>
            </w:r>
            <w:r w:rsidRPr="00B76A38">
              <w:rPr>
                <w:b/>
                <w:bCs/>
              </w:rPr>
              <w:t xml:space="preserve"> </w:t>
            </w:r>
            <w:r>
              <w:rPr>
                <w:b/>
                <w:bCs/>
              </w:rPr>
              <w:t xml:space="preserve">valve implant </w:t>
            </w:r>
            <w:r w:rsidRPr="00B76A38">
              <w:rPr>
                <w:b/>
                <w:bCs/>
              </w:rPr>
              <w:t>(heterotopic)</w:t>
            </w:r>
          </w:p>
        </w:tc>
        <w:tc>
          <w:tcPr>
            <w:tcW w:w="518" w:type="pct"/>
            <w:tcBorders>
              <w:left w:val="nil"/>
              <w:right w:val="nil"/>
            </w:tcBorders>
          </w:tcPr>
          <w:p w14:paraId="727C8D2B" w14:textId="77777777" w:rsidR="005A4424" w:rsidRPr="00B76A38" w:rsidRDefault="005A4424">
            <w:pPr>
              <w:pStyle w:val="Tabletext"/>
              <w:keepNext/>
              <w:rPr>
                <w:b/>
                <w:bCs/>
              </w:rPr>
            </w:pPr>
          </w:p>
        </w:tc>
        <w:tc>
          <w:tcPr>
            <w:tcW w:w="667" w:type="pct"/>
            <w:tcBorders>
              <w:left w:val="nil"/>
              <w:right w:val="nil"/>
            </w:tcBorders>
          </w:tcPr>
          <w:p w14:paraId="2F40A3C8" w14:textId="77777777" w:rsidR="005A4424" w:rsidRPr="00B76A38" w:rsidRDefault="005A4424">
            <w:pPr>
              <w:pStyle w:val="Tabletext"/>
              <w:keepNext/>
              <w:rPr>
                <w:b/>
                <w:bCs/>
              </w:rPr>
            </w:pPr>
          </w:p>
        </w:tc>
        <w:tc>
          <w:tcPr>
            <w:tcW w:w="1036" w:type="pct"/>
            <w:tcBorders>
              <w:left w:val="nil"/>
              <w:right w:val="nil"/>
            </w:tcBorders>
          </w:tcPr>
          <w:p w14:paraId="5DD7FE8E" w14:textId="77777777" w:rsidR="005A4424" w:rsidRPr="00B76A38" w:rsidRDefault="005A4424">
            <w:pPr>
              <w:pStyle w:val="Tabletext"/>
              <w:keepNext/>
              <w:rPr>
                <w:b/>
                <w:bCs/>
              </w:rPr>
            </w:pPr>
          </w:p>
        </w:tc>
        <w:tc>
          <w:tcPr>
            <w:tcW w:w="1152" w:type="pct"/>
            <w:tcBorders>
              <w:left w:val="nil"/>
            </w:tcBorders>
          </w:tcPr>
          <w:p w14:paraId="424D71B1" w14:textId="77777777" w:rsidR="005A4424" w:rsidRPr="00B76A38" w:rsidRDefault="005A4424">
            <w:pPr>
              <w:pStyle w:val="Tabletext"/>
              <w:keepNext/>
              <w:rPr>
                <w:b/>
                <w:bCs/>
              </w:rPr>
            </w:pPr>
          </w:p>
        </w:tc>
      </w:tr>
      <w:tr w:rsidR="005A4424" w14:paraId="0417D6D1" w14:textId="77777777">
        <w:tc>
          <w:tcPr>
            <w:tcW w:w="960" w:type="pct"/>
          </w:tcPr>
          <w:p w14:paraId="58F7E57A" w14:textId="77777777" w:rsidR="005A4424" w:rsidRDefault="005A4424">
            <w:pPr>
              <w:pStyle w:val="Tabletext"/>
            </w:pPr>
            <w:r>
              <w:t>TRICENTO</w:t>
            </w:r>
            <w:r>
              <w:br/>
              <w:t>(New Valve Technology, Germany)</w:t>
            </w:r>
          </w:p>
        </w:tc>
        <w:tc>
          <w:tcPr>
            <w:tcW w:w="1185" w:type="pct"/>
            <w:gridSpan w:val="5"/>
          </w:tcPr>
          <w:p w14:paraId="392B5482" w14:textId="77777777" w:rsidR="005A4424" w:rsidRDefault="005A4424">
            <w:pPr>
              <w:pStyle w:val="Tabletext"/>
            </w:pPr>
            <w:r>
              <w:t>Custom made bicaval covered stent, extends from IVC into SVC; n</w:t>
            </w:r>
            <w:r w:rsidRPr="0072132D">
              <w:t>itinol frame</w:t>
            </w:r>
            <w:r>
              <w:t xml:space="preserve">, </w:t>
            </w:r>
            <w:r w:rsidRPr="0072132D">
              <w:t>porcine</w:t>
            </w:r>
            <w:r>
              <w:t xml:space="preserve"> </w:t>
            </w:r>
            <w:r w:rsidRPr="0072132D">
              <w:t>pericardium</w:t>
            </w:r>
          </w:p>
        </w:tc>
        <w:tc>
          <w:tcPr>
            <w:tcW w:w="667" w:type="pct"/>
          </w:tcPr>
          <w:p w14:paraId="4E55DB3D" w14:textId="77777777" w:rsidR="005A4424" w:rsidRDefault="005A4424">
            <w:pPr>
              <w:pStyle w:val="Tabletext"/>
            </w:pPr>
            <w:r>
              <w:t>Transfemoral</w:t>
            </w:r>
          </w:p>
        </w:tc>
        <w:tc>
          <w:tcPr>
            <w:tcW w:w="1036" w:type="pct"/>
          </w:tcPr>
          <w:p w14:paraId="4EC88F19" w14:textId="77777777" w:rsidR="005A4424" w:rsidRDefault="005A4424">
            <w:pPr>
              <w:pStyle w:val="Tabletext"/>
            </w:pPr>
            <w:r>
              <w:t>Non-randomised:</w:t>
            </w:r>
            <w:r>
              <w:br/>
              <w:t>TRICENTO study</w:t>
            </w:r>
          </w:p>
        </w:tc>
        <w:tc>
          <w:tcPr>
            <w:tcW w:w="1152" w:type="pct"/>
          </w:tcPr>
          <w:p w14:paraId="7F26870C" w14:textId="77777777" w:rsidR="005A4424" w:rsidRPr="00A33EDE" w:rsidRDefault="005A4424">
            <w:pPr>
              <w:pStyle w:val="Tabletext"/>
            </w:pPr>
            <w:r>
              <w:t>-</w:t>
            </w:r>
          </w:p>
        </w:tc>
      </w:tr>
      <w:tr w:rsidR="005A4424" w14:paraId="16F94090" w14:textId="77777777">
        <w:tc>
          <w:tcPr>
            <w:tcW w:w="960" w:type="pct"/>
          </w:tcPr>
          <w:p w14:paraId="2198C25B" w14:textId="77777777" w:rsidR="005A4424" w:rsidRDefault="005A4424">
            <w:pPr>
              <w:pStyle w:val="Tabletext"/>
            </w:pPr>
            <w:r>
              <w:lastRenderedPageBreak/>
              <w:t>TricValve</w:t>
            </w:r>
            <w:r>
              <w:br/>
              <w:t>(P + F Products, Austria)</w:t>
            </w:r>
          </w:p>
        </w:tc>
        <w:tc>
          <w:tcPr>
            <w:tcW w:w="1185" w:type="pct"/>
            <w:gridSpan w:val="5"/>
          </w:tcPr>
          <w:p w14:paraId="7C64D9E6" w14:textId="77777777" w:rsidR="005A4424" w:rsidRDefault="005A4424">
            <w:pPr>
              <w:pStyle w:val="Tabletext"/>
            </w:pPr>
            <w:r>
              <w:t xml:space="preserve">2 independent self-expanding valves implanted in </w:t>
            </w:r>
            <w:r w:rsidRPr="00AC53A1">
              <w:t>SVC</w:t>
            </w:r>
            <w:r>
              <w:t xml:space="preserve"> </w:t>
            </w:r>
            <w:r w:rsidRPr="00AC53A1">
              <w:t>and</w:t>
            </w:r>
            <w:r>
              <w:t xml:space="preserve"> IVC; </w:t>
            </w:r>
            <w:r w:rsidRPr="00AC53A1">
              <w:t>nitinol frame</w:t>
            </w:r>
            <w:r>
              <w:t xml:space="preserve">, </w:t>
            </w:r>
            <w:r w:rsidRPr="00AC53A1">
              <w:t>bovine</w:t>
            </w:r>
            <w:r>
              <w:t xml:space="preserve"> </w:t>
            </w:r>
            <w:r w:rsidRPr="00AC53A1">
              <w:t>pericardium</w:t>
            </w:r>
            <w:r>
              <w:t xml:space="preserve"> </w:t>
            </w:r>
            <w:r w:rsidRPr="00AC53A1">
              <w:t>leaflets</w:t>
            </w:r>
          </w:p>
        </w:tc>
        <w:tc>
          <w:tcPr>
            <w:tcW w:w="667" w:type="pct"/>
          </w:tcPr>
          <w:p w14:paraId="44083947" w14:textId="77777777" w:rsidR="005A4424" w:rsidRDefault="005A4424">
            <w:pPr>
              <w:pStyle w:val="Tabletext"/>
            </w:pPr>
            <w:r>
              <w:t>Transfemoral or transjugular</w:t>
            </w:r>
          </w:p>
        </w:tc>
        <w:tc>
          <w:tcPr>
            <w:tcW w:w="1036" w:type="pct"/>
          </w:tcPr>
          <w:p w14:paraId="0A8A21DA" w14:textId="77777777" w:rsidR="005A4424" w:rsidRDefault="005A4424">
            <w:pPr>
              <w:pStyle w:val="Tabletext"/>
            </w:pPr>
            <w:r>
              <w:t>Non-randomised</w:t>
            </w:r>
            <w:r>
              <w:br/>
              <w:t>TRICUS trial</w:t>
            </w:r>
            <w:r>
              <w:br/>
              <w:t>TRICAV I study</w:t>
            </w:r>
          </w:p>
        </w:tc>
        <w:tc>
          <w:tcPr>
            <w:tcW w:w="1152" w:type="pct"/>
          </w:tcPr>
          <w:p w14:paraId="70415F7D" w14:textId="77777777" w:rsidR="005A4424" w:rsidRPr="00A33EDE" w:rsidRDefault="005A4424">
            <w:pPr>
              <w:pStyle w:val="Tabletext"/>
            </w:pPr>
            <w:r>
              <w:t>CE Mark</w:t>
            </w:r>
          </w:p>
        </w:tc>
      </w:tr>
      <w:tr w:rsidR="005A4424" w14:paraId="591C7C80" w14:textId="77777777">
        <w:tc>
          <w:tcPr>
            <w:tcW w:w="960" w:type="pct"/>
            <w:tcBorders>
              <w:bottom w:val="single" w:sz="4" w:space="0" w:color="auto"/>
            </w:tcBorders>
          </w:tcPr>
          <w:p w14:paraId="732E9B6B" w14:textId="77777777" w:rsidR="005A4424" w:rsidRPr="00AD32E5" w:rsidRDefault="005A4424">
            <w:pPr>
              <w:pStyle w:val="Tabletext"/>
              <w:rPr>
                <w:lang w:val="de-DE"/>
              </w:rPr>
            </w:pPr>
            <w:r w:rsidRPr="00AD32E5">
              <w:rPr>
                <w:lang w:val="de-DE"/>
              </w:rPr>
              <w:t>Trillium Bioprosthetic Valve</w:t>
            </w:r>
            <w:r w:rsidRPr="00AD32E5">
              <w:rPr>
                <w:lang w:val="de-DE"/>
              </w:rPr>
              <w:br/>
              <w:t>(Innoventric Ltd, Israel)</w:t>
            </w:r>
          </w:p>
        </w:tc>
        <w:tc>
          <w:tcPr>
            <w:tcW w:w="1185" w:type="pct"/>
            <w:gridSpan w:val="5"/>
            <w:tcBorders>
              <w:bottom w:val="single" w:sz="4" w:space="0" w:color="auto"/>
            </w:tcBorders>
          </w:tcPr>
          <w:p w14:paraId="5E0D402B" w14:textId="77777777" w:rsidR="005A4424" w:rsidRDefault="005A4424">
            <w:pPr>
              <w:pStyle w:val="Tabletext"/>
            </w:pPr>
            <w:r w:rsidRPr="002C349D">
              <w:t>Self-expandable bioprosthetic valve implanted in SVC and IVC; bare metal stent coated with a Trillium polymer</w:t>
            </w:r>
          </w:p>
        </w:tc>
        <w:tc>
          <w:tcPr>
            <w:tcW w:w="667" w:type="pct"/>
            <w:tcBorders>
              <w:bottom w:val="single" w:sz="4" w:space="0" w:color="auto"/>
            </w:tcBorders>
          </w:tcPr>
          <w:p w14:paraId="3D63ABD4" w14:textId="77777777" w:rsidR="005A4424" w:rsidRDefault="005A4424">
            <w:pPr>
              <w:pStyle w:val="Tabletext"/>
            </w:pPr>
            <w:r>
              <w:t>Transfemoral, transjugular or transatrial</w:t>
            </w:r>
          </w:p>
        </w:tc>
        <w:tc>
          <w:tcPr>
            <w:tcW w:w="1036" w:type="pct"/>
            <w:tcBorders>
              <w:bottom w:val="single" w:sz="4" w:space="0" w:color="auto"/>
            </w:tcBorders>
          </w:tcPr>
          <w:p w14:paraId="33C3C7AC" w14:textId="77777777" w:rsidR="005A4424" w:rsidRDefault="005A4424">
            <w:pPr>
              <w:pStyle w:val="Tabletext"/>
            </w:pPr>
            <w:r>
              <w:t>Non-randomised:</w:t>
            </w:r>
            <w:r>
              <w:br/>
              <w:t>Innoventric Trillium EFS</w:t>
            </w:r>
          </w:p>
        </w:tc>
        <w:tc>
          <w:tcPr>
            <w:tcW w:w="1152" w:type="pct"/>
          </w:tcPr>
          <w:p w14:paraId="78CFDB49" w14:textId="77777777" w:rsidR="005A4424" w:rsidRPr="00A33EDE" w:rsidRDefault="005A4424">
            <w:pPr>
              <w:pStyle w:val="Tabletext"/>
            </w:pPr>
            <w:r>
              <w:t>-</w:t>
            </w:r>
          </w:p>
        </w:tc>
      </w:tr>
      <w:tr w:rsidR="005A4424" w14:paraId="22028AAC" w14:textId="77777777">
        <w:tc>
          <w:tcPr>
            <w:tcW w:w="1627" w:type="pct"/>
            <w:gridSpan w:val="5"/>
            <w:tcBorders>
              <w:right w:val="nil"/>
            </w:tcBorders>
          </w:tcPr>
          <w:p w14:paraId="34E11371" w14:textId="77777777" w:rsidR="005A4424" w:rsidRPr="00F8327F" w:rsidRDefault="005A4424">
            <w:pPr>
              <w:pStyle w:val="Tabletext"/>
              <w:keepNext/>
              <w:rPr>
                <w:b/>
                <w:bCs/>
              </w:rPr>
            </w:pPr>
            <w:r w:rsidRPr="00F8327F">
              <w:rPr>
                <w:b/>
                <w:bCs/>
              </w:rPr>
              <w:t>Leaflet-directed repair</w:t>
            </w:r>
            <w:r>
              <w:rPr>
                <w:b/>
                <w:bCs/>
              </w:rPr>
              <w:t xml:space="preserve"> (coaptation)</w:t>
            </w:r>
            <w:r>
              <w:rPr>
                <w:b/>
                <w:bCs/>
                <w:vertAlign w:val="superscript"/>
              </w:rPr>
              <w:t>a</w:t>
            </w:r>
          </w:p>
        </w:tc>
        <w:tc>
          <w:tcPr>
            <w:tcW w:w="518" w:type="pct"/>
            <w:tcBorders>
              <w:left w:val="nil"/>
              <w:right w:val="nil"/>
            </w:tcBorders>
          </w:tcPr>
          <w:p w14:paraId="39B3A0D4" w14:textId="77777777" w:rsidR="005A4424" w:rsidRPr="00F8327F" w:rsidRDefault="005A4424">
            <w:pPr>
              <w:pStyle w:val="Tabletext"/>
              <w:keepNext/>
              <w:rPr>
                <w:b/>
                <w:bCs/>
              </w:rPr>
            </w:pPr>
          </w:p>
        </w:tc>
        <w:tc>
          <w:tcPr>
            <w:tcW w:w="667" w:type="pct"/>
            <w:tcBorders>
              <w:left w:val="nil"/>
              <w:right w:val="nil"/>
            </w:tcBorders>
          </w:tcPr>
          <w:p w14:paraId="3B2DC97F" w14:textId="77777777" w:rsidR="005A4424" w:rsidRPr="00F8327F" w:rsidRDefault="005A4424">
            <w:pPr>
              <w:pStyle w:val="Tabletext"/>
              <w:keepNext/>
              <w:rPr>
                <w:b/>
                <w:bCs/>
              </w:rPr>
            </w:pPr>
          </w:p>
        </w:tc>
        <w:tc>
          <w:tcPr>
            <w:tcW w:w="1036" w:type="pct"/>
            <w:tcBorders>
              <w:left w:val="nil"/>
              <w:right w:val="nil"/>
            </w:tcBorders>
          </w:tcPr>
          <w:p w14:paraId="6697D6DD" w14:textId="77777777" w:rsidR="005A4424" w:rsidRPr="00F8327F" w:rsidRDefault="005A4424">
            <w:pPr>
              <w:pStyle w:val="Tabletext"/>
              <w:keepNext/>
              <w:rPr>
                <w:b/>
                <w:bCs/>
              </w:rPr>
            </w:pPr>
          </w:p>
        </w:tc>
        <w:tc>
          <w:tcPr>
            <w:tcW w:w="1152" w:type="pct"/>
            <w:tcBorders>
              <w:left w:val="nil"/>
            </w:tcBorders>
          </w:tcPr>
          <w:p w14:paraId="6A1AD24C" w14:textId="77777777" w:rsidR="005A4424" w:rsidRPr="00F8327F" w:rsidRDefault="005A4424">
            <w:pPr>
              <w:pStyle w:val="Tabletext"/>
              <w:keepNext/>
              <w:rPr>
                <w:b/>
                <w:bCs/>
              </w:rPr>
            </w:pPr>
          </w:p>
        </w:tc>
      </w:tr>
      <w:tr w:rsidR="005A4424" w14:paraId="3B5AF931" w14:textId="77777777">
        <w:tc>
          <w:tcPr>
            <w:tcW w:w="960" w:type="pct"/>
          </w:tcPr>
          <w:p w14:paraId="568EB2E3" w14:textId="77777777" w:rsidR="005A4424" w:rsidRPr="001B1499" w:rsidRDefault="005A4424">
            <w:pPr>
              <w:pStyle w:val="Tabletext"/>
            </w:pPr>
            <w:r>
              <w:t>PASCAL</w:t>
            </w:r>
            <w:r>
              <w:br/>
              <w:t>(Edwards Lifesciences, USA)</w:t>
            </w:r>
          </w:p>
        </w:tc>
        <w:tc>
          <w:tcPr>
            <w:tcW w:w="1185" w:type="pct"/>
            <w:gridSpan w:val="5"/>
          </w:tcPr>
          <w:p w14:paraId="3B719677" w14:textId="77777777" w:rsidR="005A4424" w:rsidRDefault="005A4424">
            <w:pPr>
              <w:pStyle w:val="Tabletext"/>
            </w:pPr>
            <w:r>
              <w:t>Edge-to-edge repair with concomitant central woven nitinol spacer</w:t>
            </w:r>
          </w:p>
        </w:tc>
        <w:tc>
          <w:tcPr>
            <w:tcW w:w="667" w:type="pct"/>
          </w:tcPr>
          <w:p w14:paraId="0FA63192" w14:textId="77777777" w:rsidR="005A4424" w:rsidRPr="00A20ECF" w:rsidRDefault="005A4424">
            <w:pPr>
              <w:pStyle w:val="Tabletext"/>
              <w:rPr>
                <w:b/>
                <w:bCs/>
              </w:rPr>
            </w:pPr>
            <w:r>
              <w:t>Transfemoral</w:t>
            </w:r>
          </w:p>
        </w:tc>
        <w:tc>
          <w:tcPr>
            <w:tcW w:w="1036" w:type="pct"/>
          </w:tcPr>
          <w:p w14:paraId="75C85573" w14:textId="77777777" w:rsidR="005A4424" w:rsidRDefault="005A4424">
            <w:pPr>
              <w:pStyle w:val="Tabletext"/>
            </w:pPr>
            <w:r w:rsidRPr="00A20ECF">
              <w:rPr>
                <w:b/>
                <w:bCs/>
              </w:rPr>
              <w:t>Randomised</w:t>
            </w:r>
            <w:r>
              <w:t>:</w:t>
            </w:r>
            <w:r>
              <w:br/>
            </w:r>
            <w:r w:rsidRPr="007C2331">
              <w:t>CLASP II TR trial (NCT04097145)</w:t>
            </w:r>
            <w:r w:rsidRPr="007C2331">
              <w:br/>
              <w:t>PASCAL + MT vs MT alone</w:t>
            </w:r>
          </w:p>
        </w:tc>
        <w:tc>
          <w:tcPr>
            <w:tcW w:w="1152" w:type="pct"/>
          </w:tcPr>
          <w:p w14:paraId="21830B73" w14:textId="77777777" w:rsidR="005A4424" w:rsidRDefault="005A4424">
            <w:pPr>
              <w:pStyle w:val="Tabletext"/>
            </w:pPr>
            <w:r>
              <w:t>TGA approval (2023)</w:t>
            </w:r>
            <w:r>
              <w:br/>
              <w:t>FDA approval for TMV repair only (2022)</w:t>
            </w:r>
            <w:r>
              <w:br/>
              <w:t>CE Mark</w:t>
            </w:r>
          </w:p>
        </w:tc>
      </w:tr>
      <w:tr w:rsidR="005A4424" w14:paraId="7B708712" w14:textId="77777777" w:rsidTr="006D0D62">
        <w:trPr>
          <w:cantSplit/>
        </w:trPr>
        <w:tc>
          <w:tcPr>
            <w:tcW w:w="960" w:type="pct"/>
            <w:tcBorders>
              <w:bottom w:val="single" w:sz="4" w:space="0" w:color="auto"/>
            </w:tcBorders>
          </w:tcPr>
          <w:p w14:paraId="2C16B268" w14:textId="77777777" w:rsidR="005A4424" w:rsidRPr="001B1499" w:rsidRDefault="005A4424">
            <w:pPr>
              <w:pStyle w:val="Tabletext"/>
            </w:pPr>
            <w:r>
              <w:t>TriClip</w:t>
            </w:r>
            <w:r>
              <w:br/>
              <w:t>(Abbott Vascular, USA)</w:t>
            </w:r>
          </w:p>
        </w:tc>
        <w:tc>
          <w:tcPr>
            <w:tcW w:w="1185" w:type="pct"/>
            <w:gridSpan w:val="5"/>
            <w:tcBorders>
              <w:bottom w:val="single" w:sz="4" w:space="0" w:color="auto"/>
            </w:tcBorders>
          </w:tcPr>
          <w:p w14:paraId="7DC6FEF1" w14:textId="77777777" w:rsidR="005A4424" w:rsidRDefault="005A4424">
            <w:pPr>
              <w:pStyle w:val="Tabletext"/>
            </w:pPr>
            <w:r>
              <w:t>Edge-to-edge repair replicating Alfieri stitch; cobalt-chromium and nitinol</w:t>
            </w:r>
          </w:p>
        </w:tc>
        <w:tc>
          <w:tcPr>
            <w:tcW w:w="667" w:type="pct"/>
            <w:tcBorders>
              <w:bottom w:val="single" w:sz="4" w:space="0" w:color="auto"/>
            </w:tcBorders>
          </w:tcPr>
          <w:p w14:paraId="562F6879" w14:textId="77777777" w:rsidR="005A4424" w:rsidRPr="00A20ECF" w:rsidRDefault="005A4424">
            <w:pPr>
              <w:pStyle w:val="Tabletext"/>
              <w:rPr>
                <w:b/>
                <w:bCs/>
              </w:rPr>
            </w:pPr>
            <w:r>
              <w:t>Transfemoral</w:t>
            </w:r>
          </w:p>
        </w:tc>
        <w:tc>
          <w:tcPr>
            <w:tcW w:w="1036" w:type="pct"/>
            <w:tcBorders>
              <w:bottom w:val="single" w:sz="4" w:space="0" w:color="auto"/>
            </w:tcBorders>
          </w:tcPr>
          <w:p w14:paraId="73C7CCC9" w14:textId="77777777" w:rsidR="005A4424" w:rsidRDefault="005A4424">
            <w:pPr>
              <w:pStyle w:val="Tabletext"/>
            </w:pPr>
            <w:r w:rsidRPr="00A20ECF">
              <w:rPr>
                <w:b/>
                <w:bCs/>
              </w:rPr>
              <w:t>Randomised</w:t>
            </w:r>
            <w:r>
              <w:t>:</w:t>
            </w:r>
            <w:r>
              <w:br/>
              <w:t>TRILUMINATE Pivotal Trial (NCT03904147)</w:t>
            </w:r>
            <w:r>
              <w:br/>
              <w:t>TriClip + MT vs MT alone</w:t>
            </w:r>
          </w:p>
        </w:tc>
        <w:tc>
          <w:tcPr>
            <w:tcW w:w="1152" w:type="pct"/>
          </w:tcPr>
          <w:p w14:paraId="53082B43" w14:textId="77777777" w:rsidR="005A4424" w:rsidRDefault="005A4424">
            <w:pPr>
              <w:pStyle w:val="Tabletext"/>
            </w:pPr>
            <w:r>
              <w:t>TGA approval (from 2021)</w:t>
            </w:r>
            <w:r>
              <w:br/>
              <w:t>FDA approval (2024)</w:t>
            </w:r>
            <w:r>
              <w:br/>
              <w:t>CE Mark</w:t>
            </w:r>
          </w:p>
        </w:tc>
      </w:tr>
      <w:tr w:rsidR="005A4424" w14:paraId="5D50C24A" w14:textId="77777777">
        <w:tc>
          <w:tcPr>
            <w:tcW w:w="1331" w:type="pct"/>
            <w:gridSpan w:val="2"/>
            <w:tcBorders>
              <w:right w:val="nil"/>
            </w:tcBorders>
          </w:tcPr>
          <w:p w14:paraId="26FAC6A9" w14:textId="3B5D296F" w:rsidR="005A4424" w:rsidRPr="00113E8B" w:rsidRDefault="005A4424">
            <w:pPr>
              <w:pStyle w:val="Tabletext"/>
              <w:keepNext/>
              <w:rPr>
                <w:b/>
                <w:bCs/>
              </w:rPr>
            </w:pPr>
            <w:r w:rsidRPr="00113E8B">
              <w:rPr>
                <w:b/>
                <w:bCs/>
              </w:rPr>
              <w:t>Annulus-reshaping repair</w:t>
            </w:r>
            <w:r w:rsidR="00071CB2">
              <w:rPr>
                <w:b/>
                <w:bCs/>
                <w:vertAlign w:val="superscript"/>
              </w:rPr>
              <w:t>b</w:t>
            </w:r>
          </w:p>
        </w:tc>
        <w:tc>
          <w:tcPr>
            <w:tcW w:w="814" w:type="pct"/>
            <w:gridSpan w:val="4"/>
            <w:tcBorders>
              <w:left w:val="nil"/>
              <w:right w:val="nil"/>
            </w:tcBorders>
          </w:tcPr>
          <w:p w14:paraId="7DA40474" w14:textId="77777777" w:rsidR="005A4424" w:rsidRPr="00113E8B" w:rsidRDefault="005A4424">
            <w:pPr>
              <w:pStyle w:val="Tabletext"/>
              <w:keepNext/>
              <w:rPr>
                <w:b/>
                <w:bCs/>
              </w:rPr>
            </w:pPr>
          </w:p>
        </w:tc>
        <w:tc>
          <w:tcPr>
            <w:tcW w:w="667" w:type="pct"/>
            <w:tcBorders>
              <w:left w:val="nil"/>
              <w:right w:val="nil"/>
            </w:tcBorders>
          </w:tcPr>
          <w:p w14:paraId="184BC5C9" w14:textId="77777777" w:rsidR="005A4424" w:rsidRPr="00113E8B" w:rsidRDefault="005A4424">
            <w:pPr>
              <w:pStyle w:val="Tabletext"/>
              <w:keepNext/>
              <w:rPr>
                <w:b/>
                <w:bCs/>
              </w:rPr>
            </w:pPr>
          </w:p>
        </w:tc>
        <w:tc>
          <w:tcPr>
            <w:tcW w:w="1036" w:type="pct"/>
            <w:tcBorders>
              <w:left w:val="nil"/>
              <w:right w:val="nil"/>
            </w:tcBorders>
          </w:tcPr>
          <w:p w14:paraId="2DEF7C5F" w14:textId="77777777" w:rsidR="005A4424" w:rsidRPr="00113E8B" w:rsidRDefault="005A4424">
            <w:pPr>
              <w:pStyle w:val="Tabletext"/>
              <w:keepNext/>
              <w:rPr>
                <w:b/>
                <w:bCs/>
              </w:rPr>
            </w:pPr>
          </w:p>
        </w:tc>
        <w:tc>
          <w:tcPr>
            <w:tcW w:w="1152" w:type="pct"/>
            <w:tcBorders>
              <w:left w:val="nil"/>
            </w:tcBorders>
          </w:tcPr>
          <w:p w14:paraId="578325DF" w14:textId="77777777" w:rsidR="005A4424" w:rsidRPr="00113E8B" w:rsidRDefault="005A4424">
            <w:pPr>
              <w:pStyle w:val="Tabletext"/>
              <w:keepNext/>
              <w:rPr>
                <w:b/>
                <w:bCs/>
              </w:rPr>
            </w:pPr>
          </w:p>
        </w:tc>
      </w:tr>
      <w:tr w:rsidR="005A4424" w14:paraId="617E941E" w14:textId="77777777">
        <w:tc>
          <w:tcPr>
            <w:tcW w:w="960" w:type="pct"/>
          </w:tcPr>
          <w:p w14:paraId="7E3A6865" w14:textId="77777777" w:rsidR="005A4424" w:rsidRPr="001B1499" w:rsidRDefault="005A4424">
            <w:pPr>
              <w:pStyle w:val="Tabletext"/>
            </w:pPr>
            <w:r>
              <w:t>Cardioband</w:t>
            </w:r>
            <w:r>
              <w:br/>
              <w:t>(Edwards Lifesciences, USA)</w:t>
            </w:r>
          </w:p>
        </w:tc>
        <w:tc>
          <w:tcPr>
            <w:tcW w:w="1185" w:type="pct"/>
            <w:gridSpan w:val="5"/>
          </w:tcPr>
          <w:p w14:paraId="21C3F0E4" w14:textId="77777777" w:rsidR="005A4424" w:rsidRDefault="005A4424">
            <w:pPr>
              <w:pStyle w:val="Tabletext"/>
            </w:pPr>
            <w:r>
              <w:t>Adjustable band that mimics ring annuloplasty, Stainless steel</w:t>
            </w:r>
          </w:p>
        </w:tc>
        <w:tc>
          <w:tcPr>
            <w:tcW w:w="667" w:type="pct"/>
          </w:tcPr>
          <w:p w14:paraId="74FD1A97" w14:textId="77777777" w:rsidR="005A4424" w:rsidRDefault="005A4424">
            <w:pPr>
              <w:pStyle w:val="Tabletext"/>
            </w:pPr>
            <w:r>
              <w:t>Transfemoral</w:t>
            </w:r>
          </w:p>
        </w:tc>
        <w:tc>
          <w:tcPr>
            <w:tcW w:w="1036" w:type="pct"/>
          </w:tcPr>
          <w:p w14:paraId="2CF202CD" w14:textId="77777777" w:rsidR="005A4424" w:rsidRDefault="005A4424">
            <w:pPr>
              <w:pStyle w:val="Tabletext"/>
            </w:pPr>
            <w:r>
              <w:t>Non-randomised:</w:t>
            </w:r>
            <w:r>
              <w:br/>
              <w:t>Tri-BAND trial</w:t>
            </w:r>
            <w:r>
              <w:br/>
              <w:t>Tri-REPAIR trial</w:t>
            </w:r>
          </w:p>
        </w:tc>
        <w:tc>
          <w:tcPr>
            <w:tcW w:w="1152" w:type="pct"/>
          </w:tcPr>
          <w:p w14:paraId="5B623455" w14:textId="77777777" w:rsidR="005A4424" w:rsidRDefault="005A4424">
            <w:pPr>
              <w:pStyle w:val="Tabletext"/>
            </w:pPr>
            <w:r>
              <w:t>CE Mark</w:t>
            </w:r>
          </w:p>
        </w:tc>
      </w:tr>
    </w:tbl>
    <w:p w14:paraId="50052AAC" w14:textId="77777777" w:rsidR="005A4424" w:rsidRDefault="005A4424" w:rsidP="005A4424">
      <w:pPr>
        <w:pStyle w:val="Tablenotes"/>
        <w:spacing w:after="360"/>
      </w:pPr>
      <w:r>
        <w:t>Source: Collated by the assessment group from web searches and information contained in Davidson (2024); Nagraj et al. (2022); Rahgozar et al. (2021); Scott (2024); Seligman et al. (2023).</w:t>
      </w:r>
    </w:p>
    <w:p w14:paraId="7142F846" w14:textId="77777777" w:rsidR="005A4424" w:rsidRDefault="005A4424" w:rsidP="005A4424">
      <w:pPr>
        <w:pStyle w:val="Tablenotes"/>
      </w:pPr>
      <w:r>
        <w:t xml:space="preserve">CE = </w:t>
      </w:r>
      <w:r w:rsidRPr="00407966">
        <w:t>Conformité Européenne (European Conformity)</w:t>
      </w:r>
      <w:r>
        <w:t>; EFS = Early Feasibility Study; FDA = US Food and Drug Administration; IVC = inferior vena cava; MT = medical therapy; SVC = superior vena cava; TGA = Therapeutic Goods Administration; TMV = transcatheter mitral valve; TR = tricuspid regurgitation; TTVR = transcatheter tricuspid valve replacement; TTVI = transcatheter tricuspid valve intervention; USA = United States of America.</w:t>
      </w:r>
    </w:p>
    <w:p w14:paraId="313B95EF" w14:textId="77777777" w:rsidR="005A4424" w:rsidRDefault="005A4424" w:rsidP="005A4424">
      <w:pPr>
        <w:pStyle w:val="Tablenotes"/>
      </w:pPr>
      <w:r>
        <w:t xml:space="preserve">a </w:t>
      </w:r>
      <w:r w:rsidRPr="00D03436">
        <w:t>FORMA Spacer (Edwards Lifesciences)</w:t>
      </w:r>
      <w:r>
        <w:t xml:space="preserve"> TTV repair device </w:t>
      </w:r>
      <w:r w:rsidRPr="00D03436">
        <w:t>is no longer available</w:t>
      </w:r>
      <w:r>
        <w:t>.</w:t>
      </w:r>
    </w:p>
    <w:p w14:paraId="711A4F50" w14:textId="4CE0582E" w:rsidR="005A4424" w:rsidRDefault="00F2254A" w:rsidP="005A4424">
      <w:pPr>
        <w:pStyle w:val="Tablenotes"/>
        <w:spacing w:after="360"/>
      </w:pPr>
      <w:r>
        <w:t>c</w:t>
      </w:r>
      <w:r w:rsidR="005A4424">
        <w:t xml:space="preserve"> </w:t>
      </w:r>
      <w:r w:rsidR="005A4424" w:rsidRPr="008C093F">
        <w:t>TriCinch (4Tech) and Trialign (Mitralign)</w:t>
      </w:r>
      <w:r w:rsidR="005A4424">
        <w:t xml:space="preserve"> annuloplasty devices </w:t>
      </w:r>
      <w:r w:rsidR="005A4424" w:rsidRPr="008C093F">
        <w:t>are no longer available.</w:t>
      </w:r>
    </w:p>
    <w:p w14:paraId="62BC44FA" w14:textId="2B32BFE1" w:rsidR="00F342A6" w:rsidRDefault="00D11F25" w:rsidP="00F342A6">
      <w:pPr>
        <w:pStyle w:val="Heading4"/>
      </w:pPr>
      <w:r>
        <w:t>Implantation</w:t>
      </w:r>
      <w:r w:rsidR="00F342A6">
        <w:t xml:space="preserve"> </w:t>
      </w:r>
      <w:r w:rsidR="00B91BD2">
        <w:t>procedure</w:t>
      </w:r>
    </w:p>
    <w:p w14:paraId="3CD1181F" w14:textId="3D4EBC02" w:rsidR="00F91692" w:rsidRDefault="00820038" w:rsidP="00AE1A5A">
      <w:r w:rsidRPr="00820038">
        <w:t xml:space="preserve">TTVR </w:t>
      </w:r>
      <w:r w:rsidR="00F76916" w:rsidRPr="00820038">
        <w:t xml:space="preserve">should only be performed </w:t>
      </w:r>
      <w:r w:rsidR="0008441A">
        <w:t xml:space="preserve">as an inpatient </w:t>
      </w:r>
      <w:r w:rsidR="00675044">
        <w:t xml:space="preserve">procedure </w:t>
      </w:r>
      <w:r w:rsidR="00F76916" w:rsidRPr="00820038">
        <w:t xml:space="preserve">at specialised cardiac centres </w:t>
      </w:r>
      <w:r w:rsidR="00675044">
        <w:t>(public or private)</w:t>
      </w:r>
      <w:r w:rsidR="007A4778">
        <w:t xml:space="preserve"> with prompt access to facilities with the necessary equipment, instruments, supplies and personnel to perform emergency tricuspid valve surgery, if required</w:t>
      </w:r>
      <w:r w:rsidR="006D64DC">
        <w:t>.</w:t>
      </w:r>
      <w:r w:rsidR="00675044">
        <w:t xml:space="preserve"> </w:t>
      </w:r>
      <w:r w:rsidR="000800FC">
        <w:t>Access to c</w:t>
      </w:r>
      <w:r w:rsidR="006D64DC">
        <w:t xml:space="preserve">ine fluoroscopy and </w:t>
      </w:r>
      <w:r w:rsidR="001C0737">
        <w:t>T</w:t>
      </w:r>
      <w:r w:rsidR="00766D43">
        <w:t>O</w:t>
      </w:r>
      <w:r w:rsidR="001C0737">
        <w:t xml:space="preserve">E </w:t>
      </w:r>
      <w:r w:rsidR="006D64DC">
        <w:t xml:space="preserve">is required throughout the </w:t>
      </w:r>
      <w:r w:rsidR="000800FC">
        <w:t xml:space="preserve">implantation </w:t>
      </w:r>
      <w:r w:rsidR="006D64DC">
        <w:t>procedure.</w:t>
      </w:r>
      <w:r w:rsidR="005213A8">
        <w:t xml:space="preserve"> </w:t>
      </w:r>
      <w:r w:rsidR="003461FE">
        <w:t>The implantation procedure</w:t>
      </w:r>
      <w:r w:rsidR="007B04B1">
        <w:t xml:space="preserve"> should only be performed </w:t>
      </w:r>
      <w:r w:rsidR="00F76916" w:rsidRPr="00820038">
        <w:t xml:space="preserve">by </w:t>
      </w:r>
      <w:r w:rsidR="005F7214">
        <w:t xml:space="preserve">appropriately trained and </w:t>
      </w:r>
      <w:r w:rsidR="00F76916" w:rsidRPr="00820038">
        <w:t xml:space="preserve">certified heart specialists </w:t>
      </w:r>
      <w:r w:rsidR="0013291A">
        <w:t>(</w:t>
      </w:r>
      <w:r w:rsidR="0013291A" w:rsidRPr="00522DEF">
        <w:t>interventional cardiologists or cardiothoracic surgeons</w:t>
      </w:r>
      <w:r w:rsidR="005F7214">
        <w:t>)</w:t>
      </w:r>
      <w:r w:rsidR="0013291A" w:rsidRPr="00820038">
        <w:t xml:space="preserve"> </w:t>
      </w:r>
      <w:r w:rsidR="00F76916" w:rsidRPr="00820038">
        <w:t>who have expertise in structural heart procedures</w:t>
      </w:r>
      <w:r w:rsidR="00165CD1">
        <w:t xml:space="preserve"> and experience in related catheter-based procedures</w:t>
      </w:r>
      <w:r w:rsidR="00F76916" w:rsidRPr="00820038">
        <w:t>.</w:t>
      </w:r>
    </w:p>
    <w:p w14:paraId="2D108D11" w14:textId="438F3E0F" w:rsidR="004C5675" w:rsidRDefault="004C5675" w:rsidP="00AE1A5A">
      <w:r>
        <w:t xml:space="preserve">The application </w:t>
      </w:r>
      <w:r w:rsidR="002C1236">
        <w:t>propose</w:t>
      </w:r>
      <w:r w:rsidR="00242866">
        <w:t>d</w:t>
      </w:r>
      <w:r w:rsidR="00753C5C">
        <w:t xml:space="preserve"> </w:t>
      </w:r>
      <w:r w:rsidR="006F4A6A">
        <w:t xml:space="preserve">formal </w:t>
      </w:r>
      <w:r w:rsidR="00753C5C">
        <w:t xml:space="preserve">accreditation of </w:t>
      </w:r>
      <w:r w:rsidR="00A14A3C">
        <w:t xml:space="preserve">the centre where TTVR is performed </w:t>
      </w:r>
      <w:r w:rsidR="006F4A6A">
        <w:t xml:space="preserve">and the heart specialists who perform the procedure, </w:t>
      </w:r>
      <w:r w:rsidR="00664981">
        <w:t xml:space="preserve">comparable </w:t>
      </w:r>
      <w:r w:rsidR="00A0743F">
        <w:t>to</w:t>
      </w:r>
      <w:r w:rsidR="00D04867">
        <w:t xml:space="preserve"> the accreditation requirement</w:t>
      </w:r>
      <w:r w:rsidR="003A726F">
        <w:t>s</w:t>
      </w:r>
      <w:r w:rsidR="00D04867">
        <w:t xml:space="preserve"> for </w:t>
      </w:r>
      <w:r w:rsidR="00640C91">
        <w:t>transcatheter aortic valve implantation (</w:t>
      </w:r>
      <w:r w:rsidR="00D04867">
        <w:t>TAVI</w:t>
      </w:r>
      <w:r w:rsidR="00640C91">
        <w:t xml:space="preserve">) </w:t>
      </w:r>
      <w:r w:rsidR="00D04867">
        <w:t>and transcatheter mitral valve repair</w:t>
      </w:r>
      <w:r w:rsidR="00B443E5">
        <w:t xml:space="preserve"> (TMVr)</w:t>
      </w:r>
      <w:r w:rsidR="006F4A6A">
        <w:t>.</w:t>
      </w:r>
    </w:p>
    <w:p w14:paraId="0D59CAE8" w14:textId="6BE18D6C" w:rsidR="00E337A5" w:rsidRPr="00FD5363" w:rsidRDefault="00E337A5" w:rsidP="00154176">
      <w:pPr>
        <w:rPr>
          <w:i/>
          <w:iCs/>
        </w:rPr>
      </w:pPr>
      <w:r w:rsidRPr="00FD5363">
        <w:rPr>
          <w:i/>
          <w:iCs/>
        </w:rPr>
        <w:t>PASC agreed that the intervention should be limited to cardiologists with specific skills at tertiary cardiac centres, and that a formal training and accreditation process is desirable, together with an ongoing surveillance program similar to TAVI.</w:t>
      </w:r>
    </w:p>
    <w:p w14:paraId="6B88FCCC" w14:textId="245A6C39" w:rsidR="00332523" w:rsidRDefault="00332655" w:rsidP="00D72D12">
      <w:r>
        <w:lastRenderedPageBreak/>
        <w:t xml:space="preserve">The implantation procedure is performed under </w:t>
      </w:r>
      <w:r w:rsidR="00D97948">
        <w:t>general anaesthesia</w:t>
      </w:r>
      <w:r w:rsidR="00F70D41">
        <w:t>.</w:t>
      </w:r>
      <w:r w:rsidR="00D97948">
        <w:t xml:space="preserve"> </w:t>
      </w:r>
      <w:r w:rsidR="00F70D41">
        <w:t>T</w:t>
      </w:r>
      <w:r w:rsidR="00561C39">
        <w:t>he patient is intubated</w:t>
      </w:r>
      <w:r w:rsidR="00F70D41">
        <w:t xml:space="preserve"> and</w:t>
      </w:r>
      <w:r w:rsidR="006F4F1C" w:rsidRPr="006C7F2C">
        <w:t xml:space="preserve"> a T</w:t>
      </w:r>
      <w:r w:rsidR="00766D43">
        <w:t>O</w:t>
      </w:r>
      <w:r w:rsidR="006F4F1C" w:rsidRPr="006C7F2C">
        <w:t xml:space="preserve">E </w:t>
      </w:r>
      <w:r w:rsidR="000D218C" w:rsidRPr="006C7F2C">
        <w:t xml:space="preserve">probe is inserted and positioned. </w:t>
      </w:r>
      <w:r w:rsidR="00523E58">
        <w:t>After gaining f</w:t>
      </w:r>
      <w:r w:rsidR="000D218C" w:rsidRPr="006C7F2C">
        <w:t>emoral vein access</w:t>
      </w:r>
      <w:r w:rsidR="00A85602" w:rsidRPr="006C7F2C">
        <w:t>,</w:t>
      </w:r>
      <w:r w:rsidR="00526569" w:rsidRPr="006C7F2C">
        <w:t xml:space="preserve"> </w:t>
      </w:r>
      <w:r w:rsidR="000D218C" w:rsidRPr="006C7F2C">
        <w:t xml:space="preserve">a combination of fluoroscopic and echocardiographic guidance is used to advance the valve delivery catheter </w:t>
      </w:r>
      <w:r w:rsidR="00EB1558">
        <w:t xml:space="preserve">over a guidewire and </w:t>
      </w:r>
      <w:r w:rsidR="000D218C" w:rsidRPr="006C7F2C">
        <w:t xml:space="preserve">into the right ventricle for deployment of the valve. The selected echocardiographic views and fluoroscopic guidance are used to monitor expansion of the prosthesis, leaflet capture, and assure proper positioning throughout the deployment process. After deployment and release of the new valve prosthesis, the delivery catheter is </w:t>
      </w:r>
      <w:r w:rsidR="006C7F2C" w:rsidRPr="006C7F2C">
        <w:t xml:space="preserve">fully </w:t>
      </w:r>
      <w:r w:rsidR="000D218C" w:rsidRPr="006C7F2C">
        <w:t xml:space="preserve">retracted and venous access is closed. </w:t>
      </w:r>
    </w:p>
    <w:p w14:paraId="2484087D" w14:textId="7D266825" w:rsidR="000C0E50" w:rsidRDefault="000D218C" w:rsidP="00D72D12">
      <w:r w:rsidRPr="006C7F2C">
        <w:t xml:space="preserve">Proper positioning and functioning of the </w:t>
      </w:r>
      <w:r w:rsidR="004A2C41">
        <w:t xml:space="preserve">artificial </w:t>
      </w:r>
      <w:r w:rsidRPr="006C7F2C">
        <w:t>valve, including the assessment of any paravalvular leakage, is confirmed by T</w:t>
      </w:r>
      <w:r w:rsidR="00766D43">
        <w:t>O</w:t>
      </w:r>
      <w:r w:rsidRPr="006C7F2C">
        <w:t>E</w:t>
      </w:r>
      <w:r w:rsidR="004E1A6D">
        <w:t>.</w:t>
      </w:r>
      <w:r w:rsidR="00AA382B">
        <w:t xml:space="preserve"> </w:t>
      </w:r>
      <w:r w:rsidR="000C0E50" w:rsidRPr="00AA382B">
        <w:t xml:space="preserve">Before the patient is discharged from the hospital, continuous </w:t>
      </w:r>
      <w:r w:rsidR="00BB6BD4">
        <w:t>electrocardiogram (</w:t>
      </w:r>
      <w:r w:rsidR="000C0E50" w:rsidRPr="00AA382B">
        <w:t>ECG</w:t>
      </w:r>
      <w:r w:rsidR="00BB6BD4">
        <w:t>)</w:t>
      </w:r>
      <w:r w:rsidR="000C0E50" w:rsidRPr="00AA382B">
        <w:t xml:space="preserve"> is used to monitor for any conduction disturbances.</w:t>
      </w:r>
    </w:p>
    <w:p w14:paraId="1072CA5D" w14:textId="7ED8F3C5" w:rsidR="000B41C8" w:rsidRPr="00994726" w:rsidRDefault="00FF6078" w:rsidP="000B41C8">
      <w:r w:rsidRPr="00994726">
        <w:t xml:space="preserve">Patients </w:t>
      </w:r>
      <w:r w:rsidR="001157DB">
        <w:t>who receive TTVR</w:t>
      </w:r>
      <w:r w:rsidRPr="00994726">
        <w:t xml:space="preserve"> should be maintained on anticoagulant/antiplatelet therapy to minimise the risk of valve thrombosis or thromboembolic events.</w:t>
      </w:r>
      <w:r>
        <w:t xml:space="preserve"> </w:t>
      </w:r>
      <w:r w:rsidRPr="00994726">
        <w:t>Appropriate antibiotic prophylaxis is recommended post-procedure in patients at risk for prosthetic valve infection and endocarditis.</w:t>
      </w:r>
    </w:p>
    <w:p w14:paraId="68A9A710" w14:textId="0A4A9021" w:rsidR="0085069C" w:rsidRDefault="0085069C" w:rsidP="0085069C">
      <w:r w:rsidRPr="00994726">
        <w:t xml:space="preserve">The </w:t>
      </w:r>
      <w:r w:rsidR="0010585D">
        <w:t>Instructions For Use (</w:t>
      </w:r>
      <w:r w:rsidRPr="00994726">
        <w:t>IFU</w:t>
      </w:r>
      <w:r w:rsidR="0010585D">
        <w:t>)</w:t>
      </w:r>
      <w:r w:rsidRPr="00994726">
        <w:t xml:space="preserve"> </w:t>
      </w:r>
      <w:r w:rsidR="00E351FD">
        <w:t xml:space="preserve">for the EVOQUE system </w:t>
      </w:r>
      <w:r w:rsidR="002C265C" w:rsidRPr="00994726">
        <w:t>note</w:t>
      </w:r>
      <w:r w:rsidR="00EE4587" w:rsidRPr="00994726">
        <w:t>s</w:t>
      </w:r>
      <w:r w:rsidRPr="00994726">
        <w:t xml:space="preserve"> that long-term durability has not been established for the EVOQUE valve and </w:t>
      </w:r>
      <w:r w:rsidR="002C265C" w:rsidRPr="00994726">
        <w:t>r</w:t>
      </w:r>
      <w:r w:rsidRPr="00994726">
        <w:t>egular medical follow</w:t>
      </w:r>
      <w:r w:rsidR="00EB7517">
        <w:t xml:space="preserve"> </w:t>
      </w:r>
      <w:r w:rsidRPr="00994726">
        <w:t>up is advised to evaluate valve performance</w:t>
      </w:r>
      <w:r w:rsidR="002C265C" w:rsidRPr="00994726">
        <w:t>.</w:t>
      </w:r>
      <w:r w:rsidR="000C0E50" w:rsidRPr="00994726">
        <w:t xml:space="preserve"> According t</w:t>
      </w:r>
      <w:r w:rsidR="00837BA0" w:rsidRPr="00994726">
        <w:t>o</w:t>
      </w:r>
      <w:r w:rsidR="000C0E50" w:rsidRPr="00994726">
        <w:t xml:space="preserve"> the application, </w:t>
      </w:r>
      <w:r w:rsidR="00EF7A81" w:rsidRPr="00994726">
        <w:t>follow-up assessments are performed at discharge, 30 days, 3 months, 6 months, 1 year, and annually up to 5 years post-procedure</w:t>
      </w:r>
      <w:r w:rsidR="00837BA0" w:rsidRPr="00994726">
        <w:t xml:space="preserve">. </w:t>
      </w:r>
      <w:r w:rsidR="00CF6699">
        <w:t>Follow-up i</w:t>
      </w:r>
      <w:r w:rsidR="00837BA0" w:rsidRPr="00994726">
        <w:t>maging tests</w:t>
      </w:r>
      <w:r w:rsidR="00CA1FDC">
        <w:t xml:space="preserve"> </w:t>
      </w:r>
      <w:r w:rsidR="00837BA0" w:rsidRPr="00994726">
        <w:t>may include echocardiograms to monitor the valve and cardiac function</w:t>
      </w:r>
      <w:r w:rsidR="000B5441">
        <w:t>.</w:t>
      </w:r>
    </w:p>
    <w:p w14:paraId="734710C0" w14:textId="1D8B863E" w:rsidR="00BA5BB7" w:rsidRDefault="00BA5BB7" w:rsidP="00154176">
      <w:r w:rsidRPr="00B54E46">
        <w:rPr>
          <w:rFonts w:asciiTheme="minorHAnsi" w:hAnsiTheme="minorHAnsi" w:cstheme="minorHAnsi"/>
          <w:i/>
          <w:iCs/>
        </w:rPr>
        <w:t xml:space="preserve">PASC </w:t>
      </w:r>
      <w:r w:rsidR="00317188">
        <w:rPr>
          <w:rFonts w:asciiTheme="minorHAnsi" w:hAnsiTheme="minorHAnsi" w:cstheme="minorHAnsi"/>
          <w:i/>
          <w:iCs/>
        </w:rPr>
        <w:t>noted</w:t>
      </w:r>
      <w:r w:rsidR="001022C8">
        <w:rPr>
          <w:rFonts w:asciiTheme="minorHAnsi" w:hAnsiTheme="minorHAnsi" w:cstheme="minorHAnsi"/>
          <w:i/>
          <w:iCs/>
        </w:rPr>
        <w:t xml:space="preserve"> potential </w:t>
      </w:r>
      <w:r w:rsidR="00213BD3">
        <w:rPr>
          <w:rFonts w:asciiTheme="minorHAnsi" w:hAnsiTheme="minorHAnsi" w:cstheme="minorHAnsi"/>
          <w:i/>
          <w:iCs/>
        </w:rPr>
        <w:t>issues</w:t>
      </w:r>
      <w:r w:rsidR="00213BD3" w:rsidRPr="00B54E46">
        <w:rPr>
          <w:rFonts w:asciiTheme="minorHAnsi" w:hAnsiTheme="minorHAnsi" w:cstheme="minorHAnsi"/>
          <w:i/>
          <w:iCs/>
        </w:rPr>
        <w:t xml:space="preserve"> around</w:t>
      </w:r>
      <w:r w:rsidRPr="00B54E46">
        <w:rPr>
          <w:rFonts w:asciiTheme="minorHAnsi" w:hAnsiTheme="minorHAnsi" w:cstheme="minorHAnsi"/>
          <w:i/>
          <w:iCs/>
        </w:rPr>
        <w:t xml:space="preserve"> access to care </w:t>
      </w:r>
      <w:r w:rsidR="00D1696B">
        <w:rPr>
          <w:rFonts w:asciiTheme="minorHAnsi" w:hAnsiTheme="minorHAnsi" w:cstheme="minorHAnsi"/>
          <w:i/>
          <w:iCs/>
        </w:rPr>
        <w:t xml:space="preserve">and follow-up assessments </w:t>
      </w:r>
      <w:r w:rsidRPr="00B54E46">
        <w:rPr>
          <w:rFonts w:asciiTheme="minorHAnsi" w:hAnsiTheme="minorHAnsi" w:cstheme="minorHAnsi"/>
          <w:i/>
          <w:iCs/>
        </w:rPr>
        <w:t xml:space="preserve">for patients living outside metropolitan locations. PASC were advised by </w:t>
      </w:r>
      <w:r>
        <w:rPr>
          <w:rFonts w:asciiTheme="minorHAnsi" w:hAnsiTheme="minorHAnsi" w:cstheme="minorHAnsi"/>
          <w:i/>
          <w:iCs/>
        </w:rPr>
        <w:t>the applicant’s</w:t>
      </w:r>
      <w:r w:rsidRPr="00B54E46">
        <w:rPr>
          <w:rFonts w:asciiTheme="minorHAnsi" w:hAnsiTheme="minorHAnsi" w:cstheme="minorHAnsi"/>
          <w:i/>
          <w:iCs/>
        </w:rPr>
        <w:t xml:space="preserve"> clinical experts that patients may not need to return to capital cities for follow</w:t>
      </w:r>
      <w:r>
        <w:rPr>
          <w:rFonts w:asciiTheme="minorHAnsi" w:hAnsiTheme="minorHAnsi" w:cstheme="minorHAnsi"/>
          <w:i/>
          <w:iCs/>
        </w:rPr>
        <w:t xml:space="preserve"> </w:t>
      </w:r>
      <w:r w:rsidRPr="00B54E46">
        <w:rPr>
          <w:rFonts w:asciiTheme="minorHAnsi" w:hAnsiTheme="minorHAnsi" w:cstheme="minorHAnsi"/>
          <w:i/>
          <w:iCs/>
        </w:rPr>
        <w:t xml:space="preserve">up, which can be performed by specialists at large regional centres. </w:t>
      </w:r>
      <w:r>
        <w:rPr>
          <w:rFonts w:asciiTheme="minorHAnsi" w:hAnsiTheme="minorHAnsi" w:cstheme="minorHAnsi"/>
          <w:i/>
          <w:iCs/>
        </w:rPr>
        <w:t>PASC noted that access and</w:t>
      </w:r>
      <w:r w:rsidRPr="00B54E46">
        <w:rPr>
          <w:rFonts w:asciiTheme="minorHAnsi" w:hAnsiTheme="minorHAnsi" w:cstheme="minorHAnsi"/>
          <w:i/>
          <w:iCs/>
        </w:rPr>
        <w:t xml:space="preserve"> </w:t>
      </w:r>
      <w:r>
        <w:rPr>
          <w:rFonts w:asciiTheme="minorHAnsi" w:hAnsiTheme="minorHAnsi" w:cstheme="minorHAnsi"/>
          <w:i/>
          <w:iCs/>
        </w:rPr>
        <w:t xml:space="preserve">follow-up </w:t>
      </w:r>
      <w:r w:rsidRPr="00B54E46">
        <w:rPr>
          <w:rFonts w:asciiTheme="minorHAnsi" w:hAnsiTheme="minorHAnsi" w:cstheme="minorHAnsi"/>
          <w:i/>
          <w:iCs/>
        </w:rPr>
        <w:t>issues for patients living in rural and remote locations are not unique to TTVR</w:t>
      </w:r>
      <w:r>
        <w:rPr>
          <w:rFonts w:asciiTheme="minorHAnsi" w:hAnsiTheme="minorHAnsi" w:cstheme="minorHAnsi"/>
          <w:i/>
          <w:iCs/>
        </w:rPr>
        <w:t>. The clinical experts advised that attempts to address health inequity will be</w:t>
      </w:r>
      <w:r w:rsidRPr="00B54E46">
        <w:rPr>
          <w:rFonts w:asciiTheme="minorHAnsi" w:hAnsiTheme="minorHAnsi" w:cstheme="minorHAnsi"/>
          <w:i/>
          <w:iCs/>
        </w:rPr>
        <w:t xml:space="preserve"> in line with other technologies that require specialist intervention </w:t>
      </w:r>
      <w:r>
        <w:rPr>
          <w:rFonts w:asciiTheme="minorHAnsi" w:hAnsiTheme="minorHAnsi" w:cstheme="minorHAnsi"/>
          <w:i/>
          <w:iCs/>
        </w:rPr>
        <w:t>and</w:t>
      </w:r>
      <w:r w:rsidRPr="00B54E46">
        <w:rPr>
          <w:rFonts w:asciiTheme="minorHAnsi" w:hAnsiTheme="minorHAnsi" w:cstheme="minorHAnsi"/>
          <w:i/>
          <w:iCs/>
        </w:rPr>
        <w:t xml:space="preserve"> follow</w:t>
      </w:r>
      <w:r>
        <w:rPr>
          <w:rFonts w:asciiTheme="minorHAnsi" w:hAnsiTheme="minorHAnsi" w:cstheme="minorHAnsi"/>
          <w:i/>
          <w:iCs/>
        </w:rPr>
        <w:t xml:space="preserve"> </w:t>
      </w:r>
      <w:r w:rsidRPr="00B54E46">
        <w:rPr>
          <w:rFonts w:asciiTheme="minorHAnsi" w:hAnsiTheme="minorHAnsi" w:cstheme="minorHAnsi"/>
          <w:i/>
          <w:iCs/>
        </w:rPr>
        <w:t>u</w:t>
      </w:r>
      <w:r>
        <w:rPr>
          <w:rFonts w:asciiTheme="minorHAnsi" w:hAnsiTheme="minorHAnsi" w:cstheme="minorHAnsi"/>
          <w:i/>
          <w:iCs/>
        </w:rPr>
        <w:t>p,</w:t>
      </w:r>
      <w:r w:rsidRPr="00B54E46">
        <w:rPr>
          <w:rFonts w:asciiTheme="minorHAnsi" w:hAnsiTheme="minorHAnsi" w:cstheme="minorHAnsi"/>
          <w:i/>
          <w:iCs/>
        </w:rPr>
        <w:t xml:space="preserve"> </w:t>
      </w:r>
      <w:r>
        <w:rPr>
          <w:rFonts w:asciiTheme="minorHAnsi" w:hAnsiTheme="minorHAnsi" w:cstheme="minorHAnsi"/>
          <w:i/>
          <w:iCs/>
        </w:rPr>
        <w:t xml:space="preserve">including initiatives such as </w:t>
      </w:r>
      <w:r w:rsidRPr="00B54E46">
        <w:rPr>
          <w:rFonts w:asciiTheme="minorHAnsi" w:hAnsiTheme="minorHAnsi" w:cstheme="minorHAnsi"/>
          <w:i/>
          <w:iCs/>
        </w:rPr>
        <w:t>outreach programs</w:t>
      </w:r>
      <w:r>
        <w:rPr>
          <w:rFonts w:asciiTheme="minorHAnsi" w:hAnsiTheme="minorHAnsi" w:cstheme="minorHAnsi"/>
          <w:i/>
          <w:iCs/>
        </w:rPr>
        <w:t xml:space="preserve"> and </w:t>
      </w:r>
      <w:r w:rsidRPr="00B54E46">
        <w:rPr>
          <w:rFonts w:asciiTheme="minorHAnsi" w:hAnsiTheme="minorHAnsi" w:cstheme="minorHAnsi"/>
          <w:i/>
          <w:iCs/>
        </w:rPr>
        <w:t xml:space="preserve">rural </w:t>
      </w:r>
      <w:r>
        <w:rPr>
          <w:rFonts w:asciiTheme="minorHAnsi" w:hAnsiTheme="minorHAnsi" w:cstheme="minorHAnsi"/>
          <w:i/>
          <w:iCs/>
        </w:rPr>
        <w:t>clinics serviced by telehealth or visiting specialists</w:t>
      </w:r>
      <w:r w:rsidRPr="00B54E46">
        <w:rPr>
          <w:rFonts w:asciiTheme="minorHAnsi" w:hAnsiTheme="minorHAnsi" w:cstheme="minorHAnsi"/>
          <w:i/>
          <w:iCs/>
        </w:rPr>
        <w:t>.</w:t>
      </w:r>
    </w:p>
    <w:p w14:paraId="5F7B69BF" w14:textId="77777777" w:rsidR="00C90E59" w:rsidRDefault="00C90E59" w:rsidP="00C90E59">
      <w:pPr>
        <w:pStyle w:val="Heading4"/>
      </w:pPr>
      <w:r>
        <w:t>Expected uptake of the technology</w:t>
      </w:r>
    </w:p>
    <w:p w14:paraId="1C94A592" w14:textId="2934987A" w:rsidR="00C90E59" w:rsidRDefault="00C90E59" w:rsidP="00C90E59">
      <w:r>
        <w:t>The application claim</w:t>
      </w:r>
      <w:r w:rsidR="00511E1F">
        <w:t>ed</w:t>
      </w:r>
      <w:r>
        <w:t xml:space="preserve"> that given the </w:t>
      </w:r>
      <w:r w:rsidRPr="00B13272">
        <w:t>resources</w:t>
      </w:r>
      <w:r>
        <w:t xml:space="preserve"> required</w:t>
      </w:r>
      <w:r w:rsidRPr="00B13272">
        <w:t>, training and cent</w:t>
      </w:r>
      <w:r>
        <w:t>re</w:t>
      </w:r>
      <w:r w:rsidRPr="00B13272">
        <w:t xml:space="preserve"> availability</w:t>
      </w:r>
      <w:r>
        <w:t xml:space="preserve">, uptake of TTVR in older patients with severe TR is likely to be similar to the uptake of </w:t>
      </w:r>
      <w:r w:rsidR="00A5083E">
        <w:t>TMVr</w:t>
      </w:r>
      <w:r>
        <w:t xml:space="preserve"> in elderly patients with severe mitral valve regurgitation. According to the </w:t>
      </w:r>
      <w:r w:rsidR="005A712E">
        <w:t xml:space="preserve">utilisation estimates provided in the </w:t>
      </w:r>
      <w:r>
        <w:t xml:space="preserve">application, uptake rates </w:t>
      </w:r>
      <w:r w:rsidR="00A5083E">
        <w:t xml:space="preserve">of TMVr </w:t>
      </w:r>
      <w:r>
        <w:t>over the first 4 years of listing ranged from 0.10% to 0.</w:t>
      </w:r>
      <w:r w:rsidR="00424594">
        <w:t>81</w:t>
      </w:r>
      <w:r>
        <w:t>%</w:t>
      </w:r>
      <w:r w:rsidR="00B5113C">
        <w:t xml:space="preserve"> based on utilisation of MBS items 38461 and 38463;</w:t>
      </w:r>
      <w:r w:rsidR="005A712E">
        <w:t xml:space="preserve"> </w:t>
      </w:r>
      <w:r w:rsidR="00B5113C">
        <w:t xml:space="preserve">this </w:t>
      </w:r>
      <w:r>
        <w:t xml:space="preserve">equates to 26 to </w:t>
      </w:r>
      <w:r w:rsidR="0093535A">
        <w:t xml:space="preserve">206 </w:t>
      </w:r>
      <w:r>
        <w:t xml:space="preserve">patients </w:t>
      </w:r>
      <w:r w:rsidR="0079672A">
        <w:t xml:space="preserve">per year </w:t>
      </w:r>
      <w:r w:rsidR="00D836B4">
        <w:t>receiving</w:t>
      </w:r>
      <w:r>
        <w:t xml:space="preserve"> TTVR.</w:t>
      </w:r>
    </w:p>
    <w:p w14:paraId="701E5287" w14:textId="22FA6526" w:rsidR="00C913B7" w:rsidRDefault="00C913B7" w:rsidP="00154176">
      <w:r>
        <w:rPr>
          <w:rFonts w:asciiTheme="minorHAnsi" w:hAnsiTheme="minorHAnsi" w:cstheme="minorHAnsi"/>
          <w:i/>
          <w:iCs/>
        </w:rPr>
        <w:t xml:space="preserve">PASC noted that the number of patients who would receive TTVR is uncertain, but the procedure is likely to be small volume, with lower utilisation </w:t>
      </w:r>
      <w:r w:rsidRPr="00762BB6">
        <w:rPr>
          <w:rFonts w:asciiTheme="minorHAnsi" w:hAnsiTheme="minorHAnsi" w:cstheme="minorHAnsi"/>
          <w:i/>
          <w:iCs/>
        </w:rPr>
        <w:t xml:space="preserve">than </w:t>
      </w:r>
      <w:r>
        <w:rPr>
          <w:rFonts w:asciiTheme="minorHAnsi" w:hAnsiTheme="minorHAnsi" w:cstheme="minorHAnsi"/>
          <w:i/>
          <w:iCs/>
        </w:rPr>
        <w:t xml:space="preserve">transcatheter mitral valve </w:t>
      </w:r>
      <w:r w:rsidRPr="00762BB6">
        <w:rPr>
          <w:rFonts w:asciiTheme="minorHAnsi" w:hAnsiTheme="minorHAnsi" w:cstheme="minorHAnsi"/>
          <w:i/>
          <w:iCs/>
        </w:rPr>
        <w:t>interventions</w:t>
      </w:r>
      <w:r>
        <w:rPr>
          <w:rFonts w:asciiTheme="minorHAnsi" w:hAnsiTheme="minorHAnsi" w:cstheme="minorHAnsi"/>
          <w:i/>
          <w:iCs/>
        </w:rPr>
        <w:t>.</w:t>
      </w:r>
    </w:p>
    <w:p w14:paraId="3C63BF60" w14:textId="5043A5DE" w:rsidR="00DD0955" w:rsidRDefault="00DD0955" w:rsidP="00DA5BC4">
      <w:pPr>
        <w:pStyle w:val="Heading4"/>
      </w:pPr>
      <w:r>
        <w:t>Regulatory status</w:t>
      </w:r>
    </w:p>
    <w:p w14:paraId="49C24B3C" w14:textId="3049D3A0" w:rsidR="00E231C1" w:rsidRDefault="00AB5E34" w:rsidP="00DD28E6">
      <w:r>
        <w:t xml:space="preserve">The </w:t>
      </w:r>
      <w:r w:rsidR="00AF4803">
        <w:t>EVOQUE system</w:t>
      </w:r>
      <w:r w:rsidR="009E1DE4">
        <w:t xml:space="preserve"> is the only</w:t>
      </w:r>
      <w:r w:rsidRPr="001022C4">
        <w:t xml:space="preserve"> </w:t>
      </w:r>
      <w:r w:rsidR="00DD28E6">
        <w:t xml:space="preserve">TTVR </w:t>
      </w:r>
      <w:r w:rsidR="00DD28E6" w:rsidRPr="001022C4">
        <w:t xml:space="preserve">device </w:t>
      </w:r>
      <w:r w:rsidR="00DD28E6">
        <w:t xml:space="preserve">currently </w:t>
      </w:r>
      <w:r w:rsidR="00DD28E6" w:rsidRPr="001022C4">
        <w:t>included in the Australian Register of Therapeutic Goods (ARTG).</w:t>
      </w:r>
      <w:r w:rsidR="00AF0D5B">
        <w:t xml:space="preserve"> </w:t>
      </w:r>
      <w:r w:rsidR="00AF0D5B">
        <w:fldChar w:fldCharType="begin"/>
      </w:r>
      <w:r w:rsidR="00AF0D5B">
        <w:instrText xml:space="preserve"> REF _Ref196214471 \h </w:instrText>
      </w:r>
      <w:r w:rsidR="00AF0D5B">
        <w:fldChar w:fldCharType="separate"/>
      </w:r>
      <w:r w:rsidR="00481F36" w:rsidRPr="00AD26D1">
        <w:t xml:space="preserve">Table </w:t>
      </w:r>
      <w:r w:rsidR="00481F36">
        <w:rPr>
          <w:noProof/>
        </w:rPr>
        <w:t>3</w:t>
      </w:r>
      <w:r w:rsidR="00AF0D5B">
        <w:fldChar w:fldCharType="end"/>
      </w:r>
      <w:r w:rsidR="00AF0D5B">
        <w:t xml:space="preserve"> </w:t>
      </w:r>
      <w:r w:rsidR="005E3239">
        <w:t xml:space="preserve">shows the indication approved by the </w:t>
      </w:r>
      <w:r w:rsidR="00E4768F">
        <w:t>Therapeutic Goods Administration (TGA)</w:t>
      </w:r>
      <w:r w:rsidR="00376925">
        <w:t>. This wording</w:t>
      </w:r>
      <w:r w:rsidR="005E3239">
        <w:t xml:space="preserve"> is</w:t>
      </w:r>
      <w:r w:rsidR="005E3239" w:rsidRPr="005E3239">
        <w:t xml:space="preserve"> </w:t>
      </w:r>
      <w:r w:rsidR="005E3239">
        <w:t>consistent with</w:t>
      </w:r>
      <w:r w:rsidR="005E3239" w:rsidRPr="00DA3810">
        <w:t xml:space="preserve"> the </w:t>
      </w:r>
      <w:r w:rsidR="005E3239">
        <w:t>indication approved by the US Food and Drug Administration (</w:t>
      </w:r>
      <w:r w:rsidR="005E3239" w:rsidRPr="00DA3810">
        <w:t>FDA</w:t>
      </w:r>
      <w:r w:rsidR="005E3239">
        <w:t>)</w:t>
      </w:r>
      <w:r w:rsidR="00985C99">
        <w:t>.</w:t>
      </w:r>
    </w:p>
    <w:p w14:paraId="51BE4186" w14:textId="77777777" w:rsidR="00CA142C" w:rsidRDefault="00CA142C" w:rsidP="00CA142C">
      <w:r>
        <w:lastRenderedPageBreak/>
        <w:t>T</w:t>
      </w:r>
      <w:r w:rsidRPr="006B52CD">
        <w:t>he EVOQUE system is contraindicated in patients who cannot tolerate an anticoagulation/antiplatelet regimen, who have active bacterial endocarditis or other active infections, or who have untreatable hypersensitivity to nitinol alloys.</w:t>
      </w:r>
    </w:p>
    <w:p w14:paraId="1D31292A" w14:textId="208422BA" w:rsidR="00931E28" w:rsidRPr="00AD26D1" w:rsidRDefault="00931E28" w:rsidP="00931E28">
      <w:pPr>
        <w:pStyle w:val="Caption"/>
        <w:rPr>
          <w:lang w:val="en-AU"/>
        </w:rPr>
      </w:pPr>
      <w:bookmarkStart w:id="6" w:name="_Ref196214471"/>
      <w:r w:rsidRPr="00AD26D1">
        <w:rPr>
          <w:lang w:val="en-AU"/>
        </w:rPr>
        <w:t xml:space="preserve">Table </w:t>
      </w:r>
      <w:r w:rsidRPr="00AD26D1">
        <w:rPr>
          <w:lang w:val="en-AU"/>
        </w:rPr>
        <w:fldChar w:fldCharType="begin"/>
      </w:r>
      <w:r w:rsidRPr="00AD26D1">
        <w:rPr>
          <w:lang w:val="en-AU"/>
        </w:rPr>
        <w:instrText xml:space="preserve"> SEQ Table \* ARABIC </w:instrText>
      </w:r>
      <w:r w:rsidRPr="00AD26D1">
        <w:rPr>
          <w:lang w:val="en-AU"/>
        </w:rPr>
        <w:fldChar w:fldCharType="separate"/>
      </w:r>
      <w:r w:rsidR="00481F36">
        <w:rPr>
          <w:noProof/>
          <w:lang w:val="en-AU"/>
        </w:rPr>
        <w:t>3</w:t>
      </w:r>
      <w:r w:rsidRPr="00AD26D1">
        <w:rPr>
          <w:lang w:val="en-AU"/>
        </w:rPr>
        <w:fldChar w:fldCharType="end"/>
      </w:r>
      <w:bookmarkEnd w:id="6"/>
      <w:r w:rsidRPr="00AD26D1">
        <w:rPr>
          <w:lang w:val="en-AU"/>
        </w:rPr>
        <w:tab/>
      </w:r>
      <w:r w:rsidR="00D25CC0">
        <w:rPr>
          <w:lang w:val="en-AU"/>
        </w:rPr>
        <w:t xml:space="preserve">ARTG </w:t>
      </w:r>
      <w:r w:rsidR="008338E9">
        <w:rPr>
          <w:lang w:val="en-AU"/>
        </w:rPr>
        <w:t>summary for the EVOQUE system</w:t>
      </w:r>
    </w:p>
    <w:tbl>
      <w:tblPr>
        <w:tblStyle w:val="TableGrid"/>
        <w:tblW w:w="5000" w:type="pct"/>
        <w:tblInd w:w="0" w:type="dxa"/>
        <w:tblLook w:val="04A0" w:firstRow="1" w:lastRow="0" w:firstColumn="1" w:lastColumn="0" w:noHBand="0" w:noVBand="1"/>
        <w:tblCaption w:val="TTVI devices currently available or under investigation"/>
        <w:tblDescription w:val="This table provides a summary of regulatory information for the EVOQUE system taken from the ARTG Public Summary. The table contains the product name, sponsor, ARTG ID, ARTG start date, product category, GMDN, functional description and intended purpose."/>
      </w:tblPr>
      <w:tblGrid>
        <w:gridCol w:w="1838"/>
        <w:gridCol w:w="7733"/>
      </w:tblGrid>
      <w:tr w:rsidR="00360254" w14:paraId="6058FFC1" w14:textId="77777777" w:rsidTr="00360254">
        <w:trPr>
          <w:tblHeader/>
        </w:trPr>
        <w:tc>
          <w:tcPr>
            <w:tcW w:w="960" w:type="pct"/>
            <w:tcBorders>
              <w:bottom w:val="single" w:sz="4" w:space="0" w:color="auto"/>
            </w:tcBorders>
          </w:tcPr>
          <w:p w14:paraId="02F35C8B" w14:textId="77777777" w:rsidR="00360254" w:rsidRPr="000741BC" w:rsidRDefault="00360254" w:rsidP="00360254">
            <w:pPr>
              <w:pStyle w:val="TableHeading"/>
            </w:pPr>
            <w:r w:rsidRPr="000741BC">
              <w:t>Product name</w:t>
            </w:r>
          </w:p>
        </w:tc>
        <w:tc>
          <w:tcPr>
            <w:tcW w:w="4040" w:type="pct"/>
            <w:tcBorders>
              <w:bottom w:val="single" w:sz="4" w:space="0" w:color="auto"/>
            </w:tcBorders>
          </w:tcPr>
          <w:p w14:paraId="4D31EE5B" w14:textId="77777777" w:rsidR="00360254" w:rsidRPr="00360254" w:rsidRDefault="00360254" w:rsidP="00360254">
            <w:pPr>
              <w:pStyle w:val="TableHeading"/>
              <w:rPr>
                <w:b w:val="0"/>
                <w:bCs/>
              </w:rPr>
            </w:pPr>
            <w:r w:rsidRPr="00360254">
              <w:rPr>
                <w:b w:val="0"/>
                <w:bCs/>
              </w:rPr>
              <w:t>EVOQUE Tricuspid Valve Replacement System - Tricuspid transcatheter heart valve bioprosthesis</w:t>
            </w:r>
          </w:p>
        </w:tc>
      </w:tr>
      <w:tr w:rsidR="00E85AC9" w14:paraId="67F559D5" w14:textId="77777777" w:rsidTr="00360254">
        <w:tc>
          <w:tcPr>
            <w:tcW w:w="960" w:type="pct"/>
          </w:tcPr>
          <w:p w14:paraId="109A354A" w14:textId="77777777" w:rsidR="00E85AC9" w:rsidRPr="000741BC" w:rsidRDefault="00E85AC9">
            <w:pPr>
              <w:pStyle w:val="Tabletext"/>
              <w:rPr>
                <w:b/>
                <w:bCs/>
              </w:rPr>
            </w:pPr>
            <w:r w:rsidRPr="000741BC">
              <w:rPr>
                <w:b/>
                <w:bCs/>
              </w:rPr>
              <w:t>Sponsor</w:t>
            </w:r>
          </w:p>
        </w:tc>
        <w:tc>
          <w:tcPr>
            <w:tcW w:w="4040" w:type="pct"/>
          </w:tcPr>
          <w:p w14:paraId="06FB0B83" w14:textId="77777777" w:rsidR="00E85AC9" w:rsidRPr="00B176B0" w:rsidRDefault="00E85AC9">
            <w:pPr>
              <w:pStyle w:val="Tabletext"/>
            </w:pPr>
            <w:r>
              <w:t>Edwards Lifesciences Pty Ltd</w:t>
            </w:r>
          </w:p>
        </w:tc>
      </w:tr>
      <w:tr w:rsidR="006918E4" w14:paraId="7C7B4CD2" w14:textId="77777777" w:rsidTr="00360254">
        <w:tc>
          <w:tcPr>
            <w:tcW w:w="960" w:type="pct"/>
          </w:tcPr>
          <w:p w14:paraId="692B0589" w14:textId="18B92A2D" w:rsidR="00952BEE" w:rsidRPr="00360254" w:rsidRDefault="00952BEE" w:rsidP="00360254">
            <w:pPr>
              <w:pStyle w:val="Tabletext"/>
              <w:rPr>
                <w:b/>
                <w:bCs/>
              </w:rPr>
            </w:pPr>
            <w:r w:rsidRPr="00360254">
              <w:rPr>
                <w:b/>
                <w:bCs/>
              </w:rPr>
              <w:t>ARTG ID</w:t>
            </w:r>
          </w:p>
        </w:tc>
        <w:tc>
          <w:tcPr>
            <w:tcW w:w="4040" w:type="pct"/>
          </w:tcPr>
          <w:p w14:paraId="32803B9A" w14:textId="77777777" w:rsidR="00952BEE" w:rsidRPr="00B176B0" w:rsidRDefault="00952BEE" w:rsidP="00360254">
            <w:pPr>
              <w:pStyle w:val="Tabletext"/>
            </w:pPr>
            <w:r>
              <w:t>483625</w:t>
            </w:r>
          </w:p>
        </w:tc>
      </w:tr>
      <w:tr w:rsidR="00E85AC9" w14:paraId="158A544F" w14:textId="77777777" w:rsidTr="00360254">
        <w:tc>
          <w:tcPr>
            <w:tcW w:w="960" w:type="pct"/>
          </w:tcPr>
          <w:p w14:paraId="250CFB51" w14:textId="77777777" w:rsidR="00E85AC9" w:rsidRPr="000741BC" w:rsidRDefault="00E85AC9">
            <w:pPr>
              <w:pStyle w:val="Tabletext"/>
              <w:rPr>
                <w:b/>
                <w:bCs/>
              </w:rPr>
            </w:pPr>
            <w:r w:rsidRPr="000741BC">
              <w:rPr>
                <w:b/>
                <w:bCs/>
              </w:rPr>
              <w:t>ARTG start date</w:t>
            </w:r>
          </w:p>
        </w:tc>
        <w:tc>
          <w:tcPr>
            <w:tcW w:w="4040" w:type="pct"/>
          </w:tcPr>
          <w:p w14:paraId="7E120D04" w14:textId="77777777" w:rsidR="00E85AC9" w:rsidRPr="00B176B0" w:rsidRDefault="00E85AC9">
            <w:pPr>
              <w:pStyle w:val="Tabletext"/>
            </w:pPr>
            <w:r>
              <w:t>21 March 2025</w:t>
            </w:r>
          </w:p>
        </w:tc>
      </w:tr>
      <w:tr w:rsidR="00952BEE" w14:paraId="4DAF68FF" w14:textId="77777777" w:rsidTr="00360254">
        <w:tc>
          <w:tcPr>
            <w:tcW w:w="960" w:type="pct"/>
          </w:tcPr>
          <w:p w14:paraId="44AB07CB" w14:textId="4F65707A" w:rsidR="00952BEE" w:rsidRPr="000741BC" w:rsidRDefault="00952BEE">
            <w:pPr>
              <w:pStyle w:val="Tabletext"/>
              <w:rPr>
                <w:b/>
                <w:bCs/>
              </w:rPr>
            </w:pPr>
            <w:r w:rsidRPr="000741BC">
              <w:rPr>
                <w:b/>
                <w:bCs/>
              </w:rPr>
              <w:t>Product category</w:t>
            </w:r>
          </w:p>
        </w:tc>
        <w:tc>
          <w:tcPr>
            <w:tcW w:w="4040" w:type="pct"/>
          </w:tcPr>
          <w:p w14:paraId="7056D17C" w14:textId="4949F38B" w:rsidR="00952BEE" w:rsidRDefault="00384804">
            <w:pPr>
              <w:pStyle w:val="Tabletext"/>
            </w:pPr>
            <w:r>
              <w:t>Medical Device Class III</w:t>
            </w:r>
          </w:p>
        </w:tc>
      </w:tr>
      <w:tr w:rsidR="00360254" w14:paraId="0FB88431" w14:textId="77777777" w:rsidTr="00360254">
        <w:tc>
          <w:tcPr>
            <w:tcW w:w="960" w:type="pct"/>
          </w:tcPr>
          <w:p w14:paraId="771EB4B3" w14:textId="6E651C88" w:rsidR="00EE69BB" w:rsidRPr="000741BC" w:rsidRDefault="004B6A41">
            <w:pPr>
              <w:pStyle w:val="Tabletext"/>
              <w:rPr>
                <w:b/>
                <w:bCs/>
              </w:rPr>
            </w:pPr>
            <w:r w:rsidRPr="000741BC">
              <w:rPr>
                <w:b/>
                <w:bCs/>
              </w:rPr>
              <w:t>GMDN</w:t>
            </w:r>
          </w:p>
        </w:tc>
        <w:tc>
          <w:tcPr>
            <w:tcW w:w="4040" w:type="pct"/>
          </w:tcPr>
          <w:p w14:paraId="70072BEA" w14:textId="29314445" w:rsidR="00EE69BB" w:rsidRPr="00B176B0" w:rsidRDefault="00A71CEF">
            <w:pPr>
              <w:pStyle w:val="Tabletext"/>
            </w:pPr>
            <w:r w:rsidRPr="00A71CEF">
              <w:t>65121 Tricuspid transcatheter heart valve bioprosthesis</w:t>
            </w:r>
          </w:p>
        </w:tc>
      </w:tr>
      <w:tr w:rsidR="006918E4" w14:paraId="3F8C645E" w14:textId="77777777" w:rsidTr="00360254">
        <w:tc>
          <w:tcPr>
            <w:tcW w:w="960" w:type="pct"/>
          </w:tcPr>
          <w:p w14:paraId="4D733588" w14:textId="49295A25" w:rsidR="00EE69BB" w:rsidRPr="000741BC" w:rsidRDefault="00637434">
            <w:pPr>
              <w:pStyle w:val="Tabletext"/>
              <w:rPr>
                <w:b/>
                <w:bCs/>
              </w:rPr>
            </w:pPr>
            <w:r w:rsidRPr="000741BC">
              <w:rPr>
                <w:b/>
                <w:bCs/>
              </w:rPr>
              <w:t>Functional description</w:t>
            </w:r>
          </w:p>
        </w:tc>
        <w:tc>
          <w:tcPr>
            <w:tcW w:w="4040" w:type="pct"/>
          </w:tcPr>
          <w:p w14:paraId="57D98516" w14:textId="798C1FE7" w:rsidR="00EE69BB" w:rsidRPr="00B176B0" w:rsidRDefault="00A71CEF">
            <w:pPr>
              <w:pStyle w:val="Tabletext"/>
            </w:pPr>
            <w:r w:rsidRPr="00A71CEF">
              <w:t>The Edwards EVOQUE tricuspid valve replacement system is designed to replace the native tricuspid valve in patients with tricuspid valve regurgitation without the need for conventional open-heart surgery.</w:t>
            </w:r>
          </w:p>
        </w:tc>
      </w:tr>
      <w:tr w:rsidR="00637434" w14:paraId="0A68D972" w14:textId="77777777" w:rsidTr="00360254">
        <w:tc>
          <w:tcPr>
            <w:tcW w:w="960" w:type="pct"/>
          </w:tcPr>
          <w:p w14:paraId="6D66865F" w14:textId="0E9CDE58" w:rsidR="00637434" w:rsidRPr="000741BC" w:rsidRDefault="00637434">
            <w:pPr>
              <w:pStyle w:val="Tabletext"/>
              <w:rPr>
                <w:b/>
                <w:bCs/>
              </w:rPr>
            </w:pPr>
            <w:r w:rsidRPr="000741BC">
              <w:rPr>
                <w:b/>
                <w:bCs/>
              </w:rPr>
              <w:t>Intended purpose</w:t>
            </w:r>
          </w:p>
        </w:tc>
        <w:tc>
          <w:tcPr>
            <w:tcW w:w="4040" w:type="pct"/>
          </w:tcPr>
          <w:p w14:paraId="113DC986" w14:textId="50C17047" w:rsidR="00637434" w:rsidRPr="00B176B0" w:rsidRDefault="00A71CEF">
            <w:pPr>
              <w:pStyle w:val="Tabletext"/>
            </w:pPr>
            <w:r w:rsidRPr="00A71CEF">
              <w:t>The EVOQUE tricuspid valve replacement system is indicated for the improvement of health status in patients with symptomatic severe tricuspid regurgitation despite being treated optimally with medical therapy for whom tricuspid valve replacement is deemed appropriate by a Heart Team.</w:t>
            </w:r>
          </w:p>
        </w:tc>
      </w:tr>
      <w:tr w:rsidR="00A71CEF" w14:paraId="6F1F5E96" w14:textId="77777777" w:rsidTr="00360254">
        <w:tc>
          <w:tcPr>
            <w:tcW w:w="960" w:type="pct"/>
            <w:tcBorders>
              <w:bottom w:val="single" w:sz="4" w:space="0" w:color="auto"/>
            </w:tcBorders>
          </w:tcPr>
          <w:p w14:paraId="1E7304C0" w14:textId="087A9334" w:rsidR="00A71CEF" w:rsidRPr="000741BC" w:rsidRDefault="00A71CEF">
            <w:pPr>
              <w:pStyle w:val="Tabletext"/>
              <w:rPr>
                <w:b/>
                <w:bCs/>
              </w:rPr>
            </w:pPr>
            <w:r w:rsidRPr="000741BC">
              <w:rPr>
                <w:b/>
                <w:bCs/>
              </w:rPr>
              <w:t>Specific conditions</w:t>
            </w:r>
          </w:p>
        </w:tc>
        <w:tc>
          <w:tcPr>
            <w:tcW w:w="4040" w:type="pct"/>
            <w:tcBorders>
              <w:bottom w:val="single" w:sz="4" w:space="0" w:color="auto"/>
            </w:tcBorders>
          </w:tcPr>
          <w:p w14:paraId="3D89EB94" w14:textId="36F6E8CE" w:rsidR="00A71CEF" w:rsidRPr="00A71CEF" w:rsidRDefault="006918E4">
            <w:pPr>
              <w:pStyle w:val="Tabletext"/>
            </w:pPr>
            <w:r>
              <w:t>No specific conditions</w:t>
            </w:r>
          </w:p>
        </w:tc>
      </w:tr>
    </w:tbl>
    <w:p w14:paraId="2B88E77F" w14:textId="4B15F81D" w:rsidR="00931E28" w:rsidRDefault="00931E28" w:rsidP="00931E28">
      <w:pPr>
        <w:pStyle w:val="Tablenotes"/>
        <w:spacing w:after="360"/>
      </w:pPr>
      <w:r>
        <w:t xml:space="preserve">Source: </w:t>
      </w:r>
      <w:hyperlink r:id="rId12" w:tooltip="Hyperlink to ARTG entry for EVOQUE ID 483625" w:history="1">
        <w:r w:rsidRPr="00DE043B">
          <w:rPr>
            <w:rStyle w:val="Hyperlink"/>
            <w:rFonts w:ascii="Arial Narrow" w:hAnsi="Arial Narrow" w:cs="Arial"/>
          </w:rPr>
          <w:t>ARTG</w:t>
        </w:r>
        <w:r w:rsidR="00FA2336" w:rsidRPr="00DE043B">
          <w:rPr>
            <w:rStyle w:val="Hyperlink"/>
            <w:rFonts w:ascii="Arial Narrow" w:hAnsi="Arial Narrow" w:cs="Arial"/>
          </w:rPr>
          <w:t xml:space="preserve"> Public Summary</w:t>
        </w:r>
      </w:hyperlink>
      <w:r w:rsidR="00FA2336">
        <w:t>, accessed 18 April 2024</w:t>
      </w:r>
      <w:r>
        <w:t>.</w:t>
      </w:r>
    </w:p>
    <w:p w14:paraId="44FEC6A4" w14:textId="22ABA4D1" w:rsidR="008338E9" w:rsidRDefault="008338E9" w:rsidP="00931E28">
      <w:pPr>
        <w:pStyle w:val="Tablenotes"/>
        <w:spacing w:after="360"/>
      </w:pPr>
      <w:r>
        <w:t>ARTG = Australian Register of Therapeutic Goods</w:t>
      </w:r>
      <w:r w:rsidR="004C27A7">
        <w:t xml:space="preserve">; GMDN = </w:t>
      </w:r>
      <w:r w:rsidR="004C27A7" w:rsidRPr="004C27A7">
        <w:t>Global Medical Device Nomenclature</w:t>
      </w:r>
      <w:r w:rsidR="004C27A7">
        <w:t>; ID = identification number</w:t>
      </w:r>
      <w:r w:rsidR="00052B93">
        <w:t>.</w:t>
      </w:r>
    </w:p>
    <w:p w14:paraId="45386A32" w14:textId="548FB7CC" w:rsidR="00DD28E6" w:rsidDel="00C51626" w:rsidRDefault="00DD28E6" w:rsidP="00DD28E6">
      <w:r w:rsidDel="00C51626">
        <w:t>T</w:t>
      </w:r>
      <w:r w:rsidRPr="001022C4" w:rsidDel="00C51626">
        <w:t xml:space="preserve">he </w:t>
      </w:r>
      <w:r w:rsidDel="00C51626">
        <w:t xml:space="preserve">Edwards </w:t>
      </w:r>
      <w:r w:rsidRPr="001022C4" w:rsidDel="00C51626">
        <w:t>SAPIEN 3 Transcatheter Heart Valve System (</w:t>
      </w:r>
      <w:r w:rsidDel="00C51626">
        <w:t>ARTG ID 471906</w:t>
      </w:r>
      <w:r w:rsidRPr="001022C4" w:rsidDel="00C51626">
        <w:t xml:space="preserve">) </w:t>
      </w:r>
      <w:r w:rsidDel="00C51626">
        <w:t xml:space="preserve">was </w:t>
      </w:r>
      <w:r w:rsidRPr="001022C4" w:rsidDel="00C51626">
        <w:t xml:space="preserve">primarily designed for aortic valve replacement </w:t>
      </w:r>
      <w:r w:rsidDel="00C51626">
        <w:t xml:space="preserve">but </w:t>
      </w:r>
      <w:r w:rsidRPr="001022C4" w:rsidDel="00C51626">
        <w:t>can be used in the tricuspid position, particularly for patients who have a degenerated surgical tricuspid bioprosthetic valve and need valve-in-valve replacement. However, any use in the tricuspid position would be considered off-label in Australia.</w:t>
      </w:r>
    </w:p>
    <w:p w14:paraId="16A140BB" w14:textId="4210805C" w:rsidR="008B2178" w:rsidRDefault="008B2178" w:rsidP="008B2178">
      <w:r>
        <w:t>Two TTV repair devices – the PASCAL Precision System and the TriClip Transcatheter Tricuspid Valve Repair System – are registered for use in Australia (</w:t>
      </w:r>
      <w:r w:rsidR="00920EA0">
        <w:fldChar w:fldCharType="begin"/>
      </w:r>
      <w:r w:rsidR="00920EA0">
        <w:instrText xml:space="preserve"> REF _Ref197028696 \h </w:instrText>
      </w:r>
      <w:r w:rsidR="00920EA0">
        <w:fldChar w:fldCharType="separate"/>
      </w:r>
      <w:r w:rsidR="00481F36" w:rsidRPr="00AD26D1">
        <w:t xml:space="preserve">Table </w:t>
      </w:r>
      <w:r w:rsidR="00481F36">
        <w:rPr>
          <w:noProof/>
        </w:rPr>
        <w:t>4</w:t>
      </w:r>
      <w:r w:rsidR="00920EA0">
        <w:fldChar w:fldCharType="end"/>
      </w:r>
      <w:r>
        <w:t>). There is some use of these technologies in the public health system but limited use in the private setting.</w:t>
      </w:r>
      <w:r>
        <w:rPr>
          <w:rStyle w:val="FootnoteReference"/>
        </w:rPr>
        <w:footnoteReference w:id="3"/>
      </w:r>
      <w:r>
        <w:t xml:space="preserve"> </w:t>
      </w:r>
    </w:p>
    <w:p w14:paraId="433CF1FE" w14:textId="2D1928E6" w:rsidR="008B2178" w:rsidRPr="00AD26D1" w:rsidRDefault="008B2178" w:rsidP="008B2178">
      <w:pPr>
        <w:pStyle w:val="Caption"/>
        <w:rPr>
          <w:lang w:val="en-AU"/>
        </w:rPr>
      </w:pPr>
      <w:bookmarkStart w:id="7" w:name="_Ref197028696"/>
      <w:r w:rsidRPr="00AD26D1">
        <w:rPr>
          <w:lang w:val="en-AU"/>
        </w:rPr>
        <w:t xml:space="preserve">Table </w:t>
      </w:r>
      <w:r w:rsidRPr="00AD26D1">
        <w:rPr>
          <w:lang w:val="en-AU"/>
        </w:rPr>
        <w:fldChar w:fldCharType="begin"/>
      </w:r>
      <w:r w:rsidRPr="00AD26D1">
        <w:rPr>
          <w:lang w:val="en-AU"/>
        </w:rPr>
        <w:instrText xml:space="preserve"> SEQ Table \* ARABIC </w:instrText>
      </w:r>
      <w:r w:rsidRPr="00AD26D1">
        <w:rPr>
          <w:lang w:val="en-AU"/>
        </w:rPr>
        <w:fldChar w:fldCharType="separate"/>
      </w:r>
      <w:r w:rsidR="00481F36">
        <w:rPr>
          <w:noProof/>
          <w:lang w:val="en-AU"/>
        </w:rPr>
        <w:t>4</w:t>
      </w:r>
      <w:r w:rsidRPr="00AD26D1">
        <w:rPr>
          <w:lang w:val="en-AU"/>
        </w:rPr>
        <w:fldChar w:fldCharType="end"/>
      </w:r>
      <w:bookmarkEnd w:id="7"/>
      <w:r w:rsidRPr="00AD26D1">
        <w:rPr>
          <w:lang w:val="en-AU"/>
        </w:rPr>
        <w:tab/>
        <w:t>TTVI systems included in the ARTG</w:t>
      </w:r>
    </w:p>
    <w:tbl>
      <w:tblPr>
        <w:tblStyle w:val="TableGrid"/>
        <w:tblW w:w="5000" w:type="pct"/>
        <w:tblInd w:w="0" w:type="dxa"/>
        <w:tblLook w:val="04A0" w:firstRow="1" w:lastRow="0" w:firstColumn="1" w:lastColumn="0" w:noHBand="0" w:noVBand="1"/>
        <w:tblCaption w:val="TTVI systems included in the ARTG"/>
        <w:tblDescription w:val="The table shows the regulatory details for the PASCAL Prescision System and the TriClip, taken from the ARTG Public Summary."/>
      </w:tblPr>
      <w:tblGrid>
        <w:gridCol w:w="1413"/>
        <w:gridCol w:w="4079"/>
        <w:gridCol w:w="4079"/>
      </w:tblGrid>
      <w:tr w:rsidR="008B2178" w14:paraId="36E1E2E4" w14:textId="77777777">
        <w:trPr>
          <w:tblHeader/>
        </w:trPr>
        <w:tc>
          <w:tcPr>
            <w:tcW w:w="738" w:type="pct"/>
          </w:tcPr>
          <w:p w14:paraId="141C6F9F" w14:textId="77777777" w:rsidR="008B2178" w:rsidRDefault="008B2178">
            <w:pPr>
              <w:pStyle w:val="TableHeading"/>
            </w:pPr>
            <w:r>
              <w:t>Product Name</w:t>
            </w:r>
          </w:p>
        </w:tc>
        <w:tc>
          <w:tcPr>
            <w:tcW w:w="2131" w:type="pct"/>
          </w:tcPr>
          <w:p w14:paraId="21F2F224" w14:textId="77777777" w:rsidR="008B2178" w:rsidRPr="00DE2ED2" w:rsidRDefault="008B2178">
            <w:pPr>
              <w:pStyle w:val="TableHeading"/>
            </w:pPr>
            <w:r>
              <w:t xml:space="preserve">PASCAL Precision System </w:t>
            </w:r>
          </w:p>
        </w:tc>
        <w:tc>
          <w:tcPr>
            <w:tcW w:w="2131" w:type="pct"/>
          </w:tcPr>
          <w:p w14:paraId="00401E95" w14:textId="77777777" w:rsidR="008B2178" w:rsidRDefault="008B2178">
            <w:pPr>
              <w:pStyle w:val="TableHeading"/>
            </w:pPr>
            <w:r w:rsidRPr="00DE2ED2">
              <w:t>TriClip Transcatheter Tricuspid Valve Repair System</w:t>
            </w:r>
          </w:p>
        </w:tc>
      </w:tr>
      <w:tr w:rsidR="008B2178" w14:paraId="5F37C48E" w14:textId="77777777">
        <w:tc>
          <w:tcPr>
            <w:tcW w:w="738" w:type="pct"/>
          </w:tcPr>
          <w:p w14:paraId="12CA177B" w14:textId="77777777" w:rsidR="008B2178" w:rsidRPr="00B928C5" w:rsidRDefault="008B2178">
            <w:pPr>
              <w:pStyle w:val="Tabletext"/>
              <w:rPr>
                <w:b/>
                <w:bCs/>
              </w:rPr>
            </w:pPr>
            <w:r w:rsidRPr="00B928C5">
              <w:rPr>
                <w:b/>
                <w:bCs/>
              </w:rPr>
              <w:t>Sponsor</w:t>
            </w:r>
          </w:p>
        </w:tc>
        <w:tc>
          <w:tcPr>
            <w:tcW w:w="2131" w:type="pct"/>
          </w:tcPr>
          <w:p w14:paraId="6DF37298" w14:textId="77777777" w:rsidR="008B2178" w:rsidRDefault="008B2178">
            <w:pPr>
              <w:pStyle w:val="Tabletext"/>
            </w:pPr>
            <w:r w:rsidRPr="00D42843">
              <w:t>Edwards Lifesciences Pty Ltd</w:t>
            </w:r>
          </w:p>
        </w:tc>
        <w:tc>
          <w:tcPr>
            <w:tcW w:w="2131" w:type="pct"/>
          </w:tcPr>
          <w:p w14:paraId="2F8011CD" w14:textId="77777777" w:rsidR="008B2178" w:rsidRDefault="008B2178">
            <w:pPr>
              <w:pStyle w:val="Tabletext"/>
            </w:pPr>
            <w:r>
              <w:t>Abbott Medical Australia Pty Ltd</w:t>
            </w:r>
          </w:p>
        </w:tc>
      </w:tr>
      <w:tr w:rsidR="008B2178" w14:paraId="6276AEF4" w14:textId="77777777">
        <w:tc>
          <w:tcPr>
            <w:tcW w:w="738" w:type="pct"/>
          </w:tcPr>
          <w:p w14:paraId="797C68AE" w14:textId="77777777" w:rsidR="008B2178" w:rsidRPr="00B928C5" w:rsidRDefault="008B2178">
            <w:pPr>
              <w:pStyle w:val="Tabletext"/>
              <w:rPr>
                <w:b/>
                <w:bCs/>
              </w:rPr>
            </w:pPr>
            <w:r w:rsidRPr="00B928C5">
              <w:rPr>
                <w:b/>
                <w:bCs/>
              </w:rPr>
              <w:t>ARTG ID</w:t>
            </w:r>
          </w:p>
        </w:tc>
        <w:tc>
          <w:tcPr>
            <w:tcW w:w="2131" w:type="pct"/>
          </w:tcPr>
          <w:p w14:paraId="34C8C709" w14:textId="385A08F2" w:rsidR="008B2178" w:rsidRDefault="008B2178">
            <w:pPr>
              <w:pStyle w:val="Tabletext"/>
            </w:pPr>
            <w:hyperlink r:id="rId13" w:tooltip="Hyperlink to ARTG entry for 410289" w:history="1">
              <w:r w:rsidRPr="00701EEF">
                <w:rPr>
                  <w:rStyle w:val="Hyperlink"/>
                  <w:rFonts w:ascii="Arial Narrow" w:hAnsi="Arial Narrow" w:cs="Tahoma"/>
                </w:rPr>
                <w:t>410289</w:t>
              </w:r>
            </w:hyperlink>
            <w:r>
              <w:t xml:space="preserve"> – PASCAL Precision System – PASCAL ACE Implant System – Heart valve clip</w:t>
            </w:r>
          </w:p>
          <w:p w14:paraId="1588666F" w14:textId="737A7F35" w:rsidR="008B2178" w:rsidRDefault="008B2178">
            <w:pPr>
              <w:pStyle w:val="Tabletext"/>
            </w:pPr>
            <w:hyperlink r:id="rId14" w:tooltip="Hperlink to ARTG entry for 410288" w:history="1">
              <w:r w:rsidRPr="00B477A2">
                <w:rPr>
                  <w:rStyle w:val="Hyperlink"/>
                  <w:rFonts w:ascii="Arial Narrow" w:hAnsi="Arial Narrow" w:cs="Tahoma"/>
                </w:rPr>
                <w:t>410288</w:t>
              </w:r>
            </w:hyperlink>
            <w:r>
              <w:t xml:space="preserve"> – PASCAL </w:t>
            </w:r>
            <w:r w:rsidRPr="00676F12">
              <w:t xml:space="preserve">Precision System </w:t>
            </w:r>
            <w:r>
              <w:t>–</w:t>
            </w:r>
            <w:r w:rsidRPr="00676F12">
              <w:t xml:space="preserve"> Implant System </w:t>
            </w:r>
            <w:r>
              <w:t>–</w:t>
            </w:r>
            <w:r w:rsidRPr="00676F12">
              <w:t xml:space="preserve"> Heart valve clip</w:t>
            </w:r>
            <w:r>
              <w:t xml:space="preserve"> </w:t>
            </w:r>
          </w:p>
          <w:p w14:paraId="2CCE72B6" w14:textId="67543690" w:rsidR="008B2178" w:rsidRDefault="008B2178">
            <w:pPr>
              <w:pStyle w:val="Tabletext"/>
            </w:pPr>
            <w:hyperlink r:id="rId15" w:tooltip="Hyperlink to ARTG entry for 410290" w:history="1">
              <w:r w:rsidRPr="00014C4B">
                <w:rPr>
                  <w:rStyle w:val="Hyperlink"/>
                  <w:rFonts w:ascii="Arial Narrow" w:hAnsi="Arial Narrow" w:cs="Tahoma"/>
                </w:rPr>
                <w:t>410290</w:t>
              </w:r>
            </w:hyperlink>
            <w:r>
              <w:t xml:space="preserve"> – PASCAL Precision System – Guide Sheath – Heart valve clip</w:t>
            </w:r>
          </w:p>
        </w:tc>
        <w:tc>
          <w:tcPr>
            <w:tcW w:w="2131" w:type="pct"/>
          </w:tcPr>
          <w:p w14:paraId="0713876A" w14:textId="2BFE8DA8" w:rsidR="008B2178" w:rsidRDefault="008B2178">
            <w:pPr>
              <w:pStyle w:val="Tabletext"/>
            </w:pPr>
            <w:hyperlink r:id="rId16" w:tooltip="Hyperlink to ARTG entry for 444061" w:history="1">
              <w:r w:rsidRPr="00C32028">
                <w:rPr>
                  <w:rStyle w:val="Hyperlink"/>
                  <w:rFonts w:ascii="Arial Narrow" w:hAnsi="Arial Narrow" w:cs="Tahoma"/>
                </w:rPr>
                <w:t>444061</w:t>
              </w:r>
            </w:hyperlink>
            <w:r>
              <w:t xml:space="preserve"> – TriClip G4 Clip Delivery System – Mitral valve clip</w:t>
            </w:r>
            <w:r w:rsidRPr="000367A8">
              <w:rPr>
                <w:vertAlign w:val="superscript"/>
              </w:rPr>
              <w:t>a</w:t>
            </w:r>
          </w:p>
          <w:p w14:paraId="133E9213" w14:textId="48458647" w:rsidR="008B2178" w:rsidRDefault="008B2178">
            <w:pPr>
              <w:pStyle w:val="Tabletext"/>
            </w:pPr>
            <w:hyperlink r:id="rId17" w:tooltip="Hyperlink to ARTG entry for 444062" w:history="1">
              <w:r w:rsidRPr="00C52ECE">
                <w:rPr>
                  <w:rStyle w:val="Hyperlink"/>
                  <w:rFonts w:ascii="Arial Narrow" w:hAnsi="Arial Narrow" w:cs="Tahoma"/>
                </w:rPr>
                <w:t>444062</w:t>
              </w:r>
            </w:hyperlink>
            <w:r>
              <w:t xml:space="preserve"> – </w:t>
            </w:r>
            <w:r w:rsidRPr="005548E9">
              <w:t>TriClip Steerable Guide Catheter - Catheter, intravascular, guiding</w:t>
            </w:r>
          </w:p>
        </w:tc>
      </w:tr>
      <w:tr w:rsidR="008B2178" w14:paraId="23CE8C03" w14:textId="77777777">
        <w:tc>
          <w:tcPr>
            <w:tcW w:w="738" w:type="pct"/>
          </w:tcPr>
          <w:p w14:paraId="7E22AE7D" w14:textId="77777777" w:rsidR="008B2178" w:rsidRPr="00B928C5" w:rsidRDefault="008B2178">
            <w:pPr>
              <w:pStyle w:val="Tabletext"/>
              <w:rPr>
                <w:b/>
                <w:bCs/>
              </w:rPr>
            </w:pPr>
            <w:r w:rsidRPr="00B928C5">
              <w:rPr>
                <w:b/>
                <w:bCs/>
              </w:rPr>
              <w:t>GMDN</w:t>
            </w:r>
          </w:p>
        </w:tc>
        <w:tc>
          <w:tcPr>
            <w:tcW w:w="2131" w:type="pct"/>
          </w:tcPr>
          <w:p w14:paraId="138CE82D" w14:textId="77777777" w:rsidR="008B2178" w:rsidRPr="00D54A13" w:rsidRDefault="008B2178">
            <w:pPr>
              <w:pStyle w:val="Tabletext"/>
            </w:pPr>
            <w:r w:rsidRPr="00D54A13">
              <w:t>57790 Heart valve clip</w:t>
            </w:r>
          </w:p>
        </w:tc>
        <w:tc>
          <w:tcPr>
            <w:tcW w:w="2131" w:type="pct"/>
          </w:tcPr>
          <w:p w14:paraId="1FB3B614" w14:textId="77777777" w:rsidR="008B2178" w:rsidRDefault="008B2178">
            <w:pPr>
              <w:pStyle w:val="Tabletext"/>
            </w:pPr>
            <w:r w:rsidRPr="00D54A13">
              <w:t>57790 Heart valve clip</w:t>
            </w:r>
          </w:p>
          <w:p w14:paraId="4C5CEBCA" w14:textId="77777777" w:rsidR="008B2178" w:rsidRDefault="008B2178">
            <w:pPr>
              <w:pStyle w:val="Tabletext"/>
            </w:pPr>
            <w:r w:rsidRPr="00085E31">
              <w:t>17846 Catheter, intravascular, guiding</w:t>
            </w:r>
          </w:p>
        </w:tc>
      </w:tr>
      <w:tr w:rsidR="008B2178" w14:paraId="6FED1620" w14:textId="77777777">
        <w:tc>
          <w:tcPr>
            <w:tcW w:w="738" w:type="pct"/>
          </w:tcPr>
          <w:p w14:paraId="45DE0A95" w14:textId="77777777" w:rsidR="008B2178" w:rsidRPr="00B928C5" w:rsidRDefault="008B2178">
            <w:pPr>
              <w:pStyle w:val="Tabletext"/>
              <w:rPr>
                <w:b/>
                <w:bCs/>
              </w:rPr>
            </w:pPr>
            <w:r>
              <w:rPr>
                <w:b/>
                <w:bCs/>
              </w:rPr>
              <w:t xml:space="preserve">Category </w:t>
            </w:r>
          </w:p>
        </w:tc>
        <w:tc>
          <w:tcPr>
            <w:tcW w:w="2131" w:type="pct"/>
          </w:tcPr>
          <w:p w14:paraId="7248D882" w14:textId="77777777" w:rsidR="008B2178" w:rsidRDefault="008B2178">
            <w:pPr>
              <w:pStyle w:val="Tabletext"/>
            </w:pPr>
            <w:r>
              <w:t>Medical Device Class III</w:t>
            </w:r>
          </w:p>
        </w:tc>
        <w:tc>
          <w:tcPr>
            <w:tcW w:w="2131" w:type="pct"/>
          </w:tcPr>
          <w:p w14:paraId="6FA6E005" w14:textId="77777777" w:rsidR="008B2178" w:rsidRDefault="008B2178">
            <w:pPr>
              <w:pStyle w:val="Tabletext"/>
            </w:pPr>
            <w:r>
              <w:t>Medical Device Class III</w:t>
            </w:r>
          </w:p>
        </w:tc>
      </w:tr>
      <w:tr w:rsidR="008B2178" w14:paraId="6A940309" w14:textId="77777777">
        <w:tc>
          <w:tcPr>
            <w:tcW w:w="738" w:type="pct"/>
          </w:tcPr>
          <w:p w14:paraId="7576C2A2" w14:textId="77777777" w:rsidR="008B2178" w:rsidRPr="00B928C5" w:rsidRDefault="008B2178">
            <w:pPr>
              <w:pStyle w:val="Tabletext"/>
              <w:rPr>
                <w:b/>
                <w:bCs/>
              </w:rPr>
            </w:pPr>
            <w:r w:rsidRPr="00B928C5">
              <w:rPr>
                <w:b/>
                <w:bCs/>
              </w:rPr>
              <w:t>Effective Date</w:t>
            </w:r>
          </w:p>
        </w:tc>
        <w:tc>
          <w:tcPr>
            <w:tcW w:w="2131" w:type="pct"/>
          </w:tcPr>
          <w:p w14:paraId="6815A82D" w14:textId="77777777" w:rsidR="008B2178" w:rsidRDefault="008B2178">
            <w:pPr>
              <w:pStyle w:val="Tabletext"/>
            </w:pPr>
            <w:r>
              <w:t>9 June 2023</w:t>
            </w:r>
          </w:p>
        </w:tc>
        <w:tc>
          <w:tcPr>
            <w:tcW w:w="2131" w:type="pct"/>
          </w:tcPr>
          <w:p w14:paraId="21E1B2C5" w14:textId="77777777" w:rsidR="008B2178" w:rsidRDefault="008B2178">
            <w:pPr>
              <w:pStyle w:val="Tabletext"/>
            </w:pPr>
            <w:r>
              <w:t>20 March 2024</w:t>
            </w:r>
          </w:p>
        </w:tc>
      </w:tr>
      <w:tr w:rsidR="008B2178" w14:paraId="2091523E" w14:textId="77777777" w:rsidTr="0066064B">
        <w:trPr>
          <w:cantSplit/>
        </w:trPr>
        <w:tc>
          <w:tcPr>
            <w:tcW w:w="738" w:type="pct"/>
          </w:tcPr>
          <w:p w14:paraId="4B455772" w14:textId="77777777" w:rsidR="008B2178" w:rsidRPr="00B928C5" w:rsidRDefault="008B2178">
            <w:pPr>
              <w:pStyle w:val="Tabletext"/>
              <w:rPr>
                <w:b/>
                <w:bCs/>
              </w:rPr>
            </w:pPr>
            <w:r>
              <w:rPr>
                <w:b/>
                <w:bCs/>
              </w:rPr>
              <w:lastRenderedPageBreak/>
              <w:t>Intended Purpose</w:t>
            </w:r>
          </w:p>
        </w:tc>
        <w:tc>
          <w:tcPr>
            <w:tcW w:w="2131" w:type="pct"/>
          </w:tcPr>
          <w:p w14:paraId="3E388ED3" w14:textId="77777777" w:rsidR="008B2178" w:rsidRPr="00B176B0" w:rsidRDefault="008B2178">
            <w:pPr>
              <w:pStyle w:val="Tabletext"/>
            </w:pPr>
            <w:r w:rsidRPr="00A33EDE">
              <w:t>The PASCAL Precision system is intended to repair an insufficient mitral and/or tricuspid valve via percutaneous reconstruction through tissue approximation. The PASCAL Precision system percutaneously delivers the implant to the valve via a femoral vein access using a transvenous, transseptal (mitral) and transvenous (tricuspid) approach.</w:t>
            </w:r>
          </w:p>
        </w:tc>
        <w:tc>
          <w:tcPr>
            <w:tcW w:w="2131" w:type="pct"/>
          </w:tcPr>
          <w:p w14:paraId="1ACC0966" w14:textId="77777777" w:rsidR="008B2178" w:rsidRDefault="008B2178">
            <w:pPr>
              <w:pStyle w:val="Tabletext"/>
            </w:pPr>
            <w:r w:rsidRPr="00B176B0">
              <w:t>The TriClip™ G4 System is intended for reconstruction of the insufficient tricuspid valve through tissue approximation. The TriClip device is indicated for patients with severe tricuspid regurgitation who are symptomatic despite medical therapy with valve anatomies that are conducive for transcatheter repair and who have been determined to be at high or greater estimated risk for tricuspid valve surgery by a Heart Team</w:t>
            </w:r>
            <w:r>
              <w:t>.</w:t>
            </w:r>
          </w:p>
        </w:tc>
      </w:tr>
      <w:tr w:rsidR="008B2178" w14:paraId="23643905" w14:textId="77777777">
        <w:tc>
          <w:tcPr>
            <w:tcW w:w="738" w:type="pct"/>
          </w:tcPr>
          <w:p w14:paraId="020CD33E" w14:textId="77777777" w:rsidR="008B2178" w:rsidRDefault="008B2178">
            <w:pPr>
              <w:pStyle w:val="Tabletext"/>
              <w:rPr>
                <w:b/>
                <w:bCs/>
              </w:rPr>
            </w:pPr>
            <w:r>
              <w:rPr>
                <w:b/>
                <w:bCs/>
              </w:rPr>
              <w:t>Specific Conditions</w:t>
            </w:r>
          </w:p>
        </w:tc>
        <w:tc>
          <w:tcPr>
            <w:tcW w:w="2131" w:type="pct"/>
          </w:tcPr>
          <w:p w14:paraId="4110A646" w14:textId="77777777" w:rsidR="008B2178" w:rsidRPr="00723C0A" w:rsidRDefault="008B2178">
            <w:pPr>
              <w:pStyle w:val="Tabletext"/>
            </w:pPr>
            <w:r>
              <w:t>No specific conditions</w:t>
            </w:r>
          </w:p>
        </w:tc>
        <w:tc>
          <w:tcPr>
            <w:tcW w:w="2131" w:type="pct"/>
          </w:tcPr>
          <w:p w14:paraId="36C7A07A" w14:textId="77777777" w:rsidR="008B2178" w:rsidRPr="00B176B0" w:rsidRDefault="008B2178">
            <w:pPr>
              <w:pStyle w:val="Tabletext"/>
            </w:pPr>
            <w:r w:rsidRPr="00723C0A">
              <w:t>Final study reports of the 'TRILUMINATE Pivotal Study' and 'bRIGHT EU Post Approval Study' with a 5-year follow-up must be provided by 31st July 2028. The final study reports must be accompanied by the manufacturer's analysis of the data, with redlined changes made to the clinical evaluation report (CER) and risk management documents based on the final study results.</w:t>
            </w:r>
          </w:p>
        </w:tc>
      </w:tr>
    </w:tbl>
    <w:p w14:paraId="56EC4058" w14:textId="77777777" w:rsidR="008B2178" w:rsidRDefault="008B2178" w:rsidP="008B2178">
      <w:pPr>
        <w:pStyle w:val="Tablenotes"/>
      </w:pPr>
      <w:r>
        <w:t>Source: Australian Register of Therapeutic Goods, accessed 20 February 2025</w:t>
      </w:r>
    </w:p>
    <w:p w14:paraId="406D4D68" w14:textId="77777777" w:rsidR="008B2178" w:rsidRDefault="008B2178" w:rsidP="008B2178">
      <w:pPr>
        <w:pStyle w:val="Tablenotes"/>
      </w:pPr>
      <w:r>
        <w:t>ARTG = Australian Register of Therapeutic Goods; GMDN = Global Medical Device Nomenclature; TTVI = transcatheter tricuspid valve intervention.</w:t>
      </w:r>
    </w:p>
    <w:p w14:paraId="20BED009" w14:textId="36369B21" w:rsidR="008B2178" w:rsidRDefault="008B2178" w:rsidP="007C6DEE">
      <w:pPr>
        <w:pStyle w:val="Tablenotes"/>
        <w:spacing w:after="360"/>
      </w:pPr>
      <w:r>
        <w:t>a The functional description and intended purpose do not align with this device being named a mitral valve clip.</w:t>
      </w:r>
    </w:p>
    <w:p w14:paraId="5F99507A" w14:textId="27D9E870" w:rsidR="00A32C19" w:rsidRDefault="00A32C19" w:rsidP="00A32C19">
      <w:pPr>
        <w:pStyle w:val="Heading4"/>
      </w:pPr>
      <w:r>
        <w:t xml:space="preserve">Funding of the </w:t>
      </w:r>
      <w:r w:rsidR="00225D9C">
        <w:t>device</w:t>
      </w:r>
    </w:p>
    <w:p w14:paraId="499F4665" w14:textId="31F9A585" w:rsidR="00FD6E4A" w:rsidRDefault="00FD6E4A" w:rsidP="00D53A2F">
      <w:r>
        <w:t>The application state</w:t>
      </w:r>
      <w:r w:rsidR="0072537C">
        <w:t>d</w:t>
      </w:r>
      <w:r>
        <w:t xml:space="preserve"> that</w:t>
      </w:r>
      <w:r w:rsidR="00B94F09">
        <w:t xml:space="preserve"> the</w:t>
      </w:r>
      <w:r>
        <w:t xml:space="preserve"> TTVR </w:t>
      </w:r>
      <w:r w:rsidR="00B94F09">
        <w:t xml:space="preserve">device </w:t>
      </w:r>
      <w:r>
        <w:t>is not currently funded in Australia</w:t>
      </w:r>
      <w:r w:rsidR="0013649B">
        <w:t xml:space="preserve">. </w:t>
      </w:r>
    </w:p>
    <w:p w14:paraId="4F7F123C" w14:textId="61583C6B" w:rsidR="00942BFF" w:rsidRDefault="00D53A2F" w:rsidP="00DA5BC4">
      <w:r>
        <w:t>The cost of the EVOQUE system</w:t>
      </w:r>
      <w:r w:rsidR="00380B9B">
        <w:t xml:space="preserve"> – </w:t>
      </w:r>
      <w:r>
        <w:t xml:space="preserve">according to the cost breakdown </w:t>
      </w:r>
      <w:r w:rsidR="00380B9B">
        <w:t>provided with</w:t>
      </w:r>
      <w:r>
        <w:t xml:space="preserve"> the application</w:t>
      </w:r>
      <w:r w:rsidR="00380B9B">
        <w:t xml:space="preserve"> – </w:t>
      </w:r>
      <w:r>
        <w:t xml:space="preserve">is </w:t>
      </w:r>
      <w:r w:rsidRPr="006141B3">
        <w:t>$</w:t>
      </w:r>
      <w:r w:rsidR="2259AA70">
        <w:t>REDACT</w:t>
      </w:r>
      <w:r w:rsidR="00F125DB">
        <w:t>.</w:t>
      </w:r>
      <w:r w:rsidR="00DC0074">
        <w:t xml:space="preserve"> </w:t>
      </w:r>
      <w:r w:rsidR="003607E5">
        <w:t>T</w:t>
      </w:r>
      <w:r w:rsidR="00B34A9A">
        <w:t xml:space="preserve">he </w:t>
      </w:r>
      <w:r w:rsidR="005C7DFD">
        <w:t xml:space="preserve">applicant </w:t>
      </w:r>
      <w:r w:rsidR="005D43CA">
        <w:t>confirmed the</w:t>
      </w:r>
      <w:r w:rsidR="00DE3595">
        <w:t>ir</w:t>
      </w:r>
      <w:r w:rsidR="005D43CA">
        <w:t xml:space="preserve"> </w:t>
      </w:r>
      <w:r w:rsidR="0040286A">
        <w:t>inten</w:t>
      </w:r>
      <w:r w:rsidR="005D43CA">
        <w:t>tion</w:t>
      </w:r>
      <w:r w:rsidR="00084258">
        <w:t xml:space="preserve"> </w:t>
      </w:r>
      <w:r w:rsidR="004C5A26">
        <w:t xml:space="preserve">to </w:t>
      </w:r>
      <w:r w:rsidR="00712C50">
        <w:t xml:space="preserve">apply </w:t>
      </w:r>
      <w:r w:rsidR="00B2718D">
        <w:t>to list</w:t>
      </w:r>
      <w:r w:rsidR="0040286A">
        <w:t xml:space="preserve"> </w:t>
      </w:r>
      <w:r w:rsidR="004C5A26">
        <w:t xml:space="preserve">the </w:t>
      </w:r>
      <w:r w:rsidR="00B34A9A">
        <w:t xml:space="preserve">EVOQUE system on the Prescribed </w:t>
      </w:r>
      <w:r w:rsidR="00213BD3">
        <w:t>List of</w:t>
      </w:r>
      <w:r w:rsidR="00B34A9A">
        <w:t xml:space="preserve"> Medical Devices and Human Tissue Products (PL)</w:t>
      </w:r>
      <w:r w:rsidR="00B2718D">
        <w:t xml:space="preserve"> in parallel with the MSAC application</w:t>
      </w:r>
      <w:r w:rsidR="00103986">
        <w:t xml:space="preserve"> process</w:t>
      </w:r>
      <w:r w:rsidR="00B34A9A">
        <w:t>.</w:t>
      </w:r>
      <w:bookmarkStart w:id="8" w:name="_Ref192586417"/>
      <w:r w:rsidR="004C5A26">
        <w:rPr>
          <w:rStyle w:val="FootnoteReference"/>
        </w:rPr>
        <w:footnoteReference w:id="4"/>
      </w:r>
      <w:bookmarkEnd w:id="8"/>
    </w:p>
    <w:p w14:paraId="665B0675" w14:textId="5FDFCB88" w:rsidR="007A66C8" w:rsidRDefault="007A66C8" w:rsidP="00713728">
      <w:pPr>
        <w:pStyle w:val="Heading3"/>
      </w:pPr>
      <w:r w:rsidRPr="008F1532">
        <w:t>Comparator</w:t>
      </w:r>
      <w:r w:rsidR="007D6B83">
        <w:t>(</w:t>
      </w:r>
      <w:r w:rsidR="008F1532">
        <w:t>s</w:t>
      </w:r>
      <w:r w:rsidR="007D6B83">
        <w:t>)</w:t>
      </w:r>
    </w:p>
    <w:p w14:paraId="47472471" w14:textId="573ECFF4" w:rsidR="00C90B5C" w:rsidRDefault="005F11FC" w:rsidP="00C90B5C">
      <w:pPr>
        <w:autoSpaceDE w:val="0"/>
        <w:autoSpaceDN w:val="0"/>
        <w:adjustRightInd w:val="0"/>
        <w:spacing w:line="23" w:lineRule="atLeast"/>
      </w:pPr>
      <w:r>
        <w:t xml:space="preserve">The </w:t>
      </w:r>
      <w:r w:rsidR="00785063">
        <w:t xml:space="preserve">application proposed </w:t>
      </w:r>
      <w:r w:rsidR="00F01D65">
        <w:t xml:space="preserve">that the appropriate comparator for the proposed intervention is </w:t>
      </w:r>
      <w:r w:rsidR="001C6659">
        <w:t>OMT</w:t>
      </w:r>
      <w:r w:rsidR="00785063">
        <w:t xml:space="preserve"> </w:t>
      </w:r>
      <w:r w:rsidR="00F01D65">
        <w:t>alone</w:t>
      </w:r>
      <w:r w:rsidR="00366288">
        <w:t xml:space="preserve">, as </w:t>
      </w:r>
      <w:r w:rsidR="00E21F4D">
        <w:t xml:space="preserve">patients with severe, symptomatic TR are </w:t>
      </w:r>
      <w:r w:rsidR="00581141">
        <w:t>generally managed with medical therapy due to their ineligibility for surgery</w:t>
      </w:r>
      <w:r w:rsidR="00B0371F">
        <w:t>.</w:t>
      </w:r>
    </w:p>
    <w:p w14:paraId="326B470E" w14:textId="4F33E3D1" w:rsidR="000D1054" w:rsidRPr="004D5C19" w:rsidRDefault="000D1054" w:rsidP="005F11FC">
      <w:r w:rsidRPr="000D1054">
        <w:t xml:space="preserve">Medical therapy for TR typically involves increasing doses of medications aimed at reducing congestion, alleviating volume overload, and managing heart failure symptoms. Current guidelines recommend diuretics as the cornerstone of medical management, particularly to relieve symptoms of right-sided heart failure, such as peripheral </w:t>
      </w:r>
      <w:r w:rsidR="00763679" w:rsidRPr="000D1054">
        <w:t>oedema</w:t>
      </w:r>
      <w:r w:rsidRPr="000D1054">
        <w:t xml:space="preserve"> and </w:t>
      </w:r>
      <w:r w:rsidRPr="0020347F">
        <w:t xml:space="preserve">ascites (Otto et al. </w:t>
      </w:r>
      <w:r w:rsidRPr="00480E85">
        <w:t>2021; Vahanian et al. 2022). In</w:t>
      </w:r>
      <w:r w:rsidRPr="000D1054">
        <w:t xml:space="preserve"> some cases, treatment may also address pulmonary arterial hypertension. </w:t>
      </w:r>
      <w:r w:rsidR="006A4FD6" w:rsidRPr="006A4FD6">
        <w:t xml:space="preserve">Patients with right heart dilation due to pulmonary embolism usually receive anticoagulation therapy, either with a direct-acting anticoagulant or warfarin. </w:t>
      </w:r>
      <w:r w:rsidRPr="000D1054">
        <w:t xml:space="preserve">If atrial fibrillation is present, anticoagulants and other pharmacological interventions may be used to restore normal sinus rhythm. However, the effectiveness of medical therapy is limited in many patients due to comorbidities like impaired kidney function, which restrict the types and doses of medications that can be used. </w:t>
      </w:r>
      <w:r w:rsidR="00B14051">
        <w:t>Importantly, w</w:t>
      </w:r>
      <w:r w:rsidRPr="000D1054">
        <w:t xml:space="preserve">hile medical therapy can improve TR by adjusting volume status and promoting atrial/ventricular </w:t>
      </w:r>
      <w:r w:rsidR="006F115B" w:rsidRPr="000D1054">
        <w:t>remodelling</w:t>
      </w:r>
      <w:r w:rsidRPr="000D1054">
        <w:t xml:space="preserve">, it cannot directly reverse the </w:t>
      </w:r>
      <w:r w:rsidRPr="004D5C19">
        <w:t xml:space="preserve">condition </w:t>
      </w:r>
      <w:r w:rsidR="00F900B1">
        <w:t>and has no m</w:t>
      </w:r>
      <w:r w:rsidR="000B62A6">
        <w:t xml:space="preserve">orbidity or mortality benefit </w:t>
      </w:r>
      <w:r w:rsidR="0098768B">
        <w:t xml:space="preserve">in TR </w:t>
      </w:r>
      <w:r w:rsidRPr="004D5C19">
        <w:t>(Davidson et al. 2024</w:t>
      </w:r>
      <w:r w:rsidR="00285F67">
        <w:t xml:space="preserve">; Messika-Zeitoun et al. </w:t>
      </w:r>
      <w:r w:rsidR="005D4AB6">
        <w:t>2020</w:t>
      </w:r>
      <w:r w:rsidRPr="004D5C19">
        <w:t>).</w:t>
      </w:r>
    </w:p>
    <w:p w14:paraId="62BF5FB4" w14:textId="4842E260" w:rsidR="004F4E51" w:rsidRDefault="0012011C" w:rsidP="00874F8E">
      <w:r w:rsidRPr="004D5C19">
        <w:lastRenderedPageBreak/>
        <w:t>OMT was also used as the comparator in the TRISCEND II Pivotal Trial, which included patients with severe</w:t>
      </w:r>
      <w:r w:rsidRPr="0012011C">
        <w:t xml:space="preserve">, symptomatic TR despite being on stable oral diuretic therapy (primarily the loop diuretic furosemide). The trial also allowed entry for patients who had a documented intolerance to diuretics; however, the exact number of participants enrolled based on this criterion was not disclosed in the study </w:t>
      </w:r>
      <w:r w:rsidRPr="006C34D2">
        <w:t>publication</w:t>
      </w:r>
      <w:r w:rsidR="006C34D2">
        <w:t>s</w:t>
      </w:r>
      <w:r w:rsidRPr="006C34D2">
        <w:t xml:space="preserve"> </w:t>
      </w:r>
      <w:r w:rsidR="004F4E51" w:rsidRPr="006C34D2">
        <w:t>(Arnold et al. 2025</w:t>
      </w:r>
      <w:r w:rsidR="00991349">
        <w:t>; Hahn et al. 2025</w:t>
      </w:r>
      <w:r w:rsidR="004F4E51" w:rsidRPr="006C34D2">
        <w:t>).</w:t>
      </w:r>
    </w:p>
    <w:p w14:paraId="30BBD0BB" w14:textId="71398794" w:rsidR="00911C7F" w:rsidRDefault="00B90307" w:rsidP="005F11FC">
      <w:r w:rsidRPr="00334AC9">
        <w:t xml:space="preserve">The healthcare resources used to deliver </w:t>
      </w:r>
      <w:r w:rsidR="00D16133">
        <w:t>OMT</w:t>
      </w:r>
      <w:r w:rsidR="00E74572" w:rsidRPr="00334AC9">
        <w:t xml:space="preserve"> </w:t>
      </w:r>
      <w:r w:rsidR="001A7073" w:rsidRPr="00334AC9">
        <w:t>i</w:t>
      </w:r>
      <w:r w:rsidRPr="00334AC9">
        <w:t>nclude ongoing consultations with cardiologists and other specialists.</w:t>
      </w:r>
      <w:r w:rsidR="001A7073" w:rsidRPr="00334AC9">
        <w:t xml:space="preserve"> </w:t>
      </w:r>
      <w:r w:rsidR="00600263" w:rsidRPr="00334AC9">
        <w:t xml:space="preserve">Patients </w:t>
      </w:r>
      <w:r w:rsidR="0082041C" w:rsidRPr="00334AC9">
        <w:t xml:space="preserve">receiving OMT </w:t>
      </w:r>
      <w:r w:rsidR="00E634DA">
        <w:t xml:space="preserve">(including those who </w:t>
      </w:r>
      <w:r w:rsidR="005A0C09">
        <w:t xml:space="preserve">continue OMT after </w:t>
      </w:r>
      <w:r w:rsidR="00DC4873">
        <w:t xml:space="preserve">TTVR) </w:t>
      </w:r>
      <w:r w:rsidR="0082041C" w:rsidRPr="00334AC9">
        <w:t>require</w:t>
      </w:r>
      <w:r w:rsidR="00B025A7" w:rsidRPr="00334AC9">
        <w:t xml:space="preserve"> </w:t>
      </w:r>
      <w:r w:rsidR="00334AC9" w:rsidRPr="00334AC9">
        <w:t>ongoing monitoring of weight, blood pressure, symptoms, renal function and electrolytes.</w:t>
      </w:r>
    </w:p>
    <w:p w14:paraId="0C2AF834" w14:textId="38C656EB" w:rsidR="00CE70F0" w:rsidRDefault="00CE70F0" w:rsidP="005F11FC">
      <w:r>
        <w:t xml:space="preserve">The </w:t>
      </w:r>
      <w:r w:rsidRPr="00686831">
        <w:t xml:space="preserve">intervention (TTVR in </w:t>
      </w:r>
      <w:r>
        <w:t>addition to</w:t>
      </w:r>
      <w:r w:rsidRPr="00686831">
        <w:t xml:space="preserve"> </w:t>
      </w:r>
      <w:r>
        <w:t xml:space="preserve">continued </w:t>
      </w:r>
      <w:r w:rsidRPr="00686831">
        <w:t>OMT) will likely displace</w:t>
      </w:r>
      <w:r>
        <w:t xml:space="preserve"> some use of OMT alone. </w:t>
      </w:r>
      <w:r w:rsidR="00AC25C7" w:rsidRPr="00AC25C7">
        <w:t>A multinational, retrospective analysis of patients who received the EVOQUE system under compassionate use between 2019 and 2021 found a reduction in the dosage of loop diuretics following EVOQUE device implantation, with this reduction being sustained during follow</w:t>
      </w:r>
      <w:r w:rsidR="00242EAC">
        <w:t xml:space="preserve"> </w:t>
      </w:r>
      <w:r w:rsidR="00AC25C7" w:rsidRPr="006C34D2">
        <w:t xml:space="preserve">up </w:t>
      </w:r>
      <w:r w:rsidRPr="006C34D2">
        <w:t>(Stolz et al. 2023).</w:t>
      </w:r>
    </w:p>
    <w:p w14:paraId="46EDCF84" w14:textId="618CBEC9" w:rsidR="00EA3024" w:rsidRDefault="00EA3024" w:rsidP="005F11FC">
      <w:r>
        <w:t>An</w:t>
      </w:r>
      <w:r w:rsidRPr="00EA3024">
        <w:t xml:space="preserve"> alternative comparator not mentioned in the application is TTV repair. While two TTV repair devices—the PASCAL System and the TriClip System—are registered for use in Australia, there are </w:t>
      </w:r>
      <w:r w:rsidR="0052649C">
        <w:t xml:space="preserve">no relevant MBS items </w:t>
      </w:r>
      <w:r w:rsidRPr="00EA3024">
        <w:t xml:space="preserve">for </w:t>
      </w:r>
      <w:r w:rsidR="0073468E">
        <w:t>TTV repair</w:t>
      </w:r>
      <w:r w:rsidRPr="00EA3024">
        <w:t>, nor have there been any MSAC applications for the</w:t>
      </w:r>
      <w:r w:rsidR="00124CAF">
        <w:t xml:space="preserve"> use of these devices</w:t>
      </w:r>
      <w:r w:rsidRPr="00EA3024">
        <w:t xml:space="preserve"> in TTV repair. </w:t>
      </w:r>
      <w:r w:rsidRPr="00DB4328">
        <w:t xml:space="preserve">Additionally, due to the </w:t>
      </w:r>
      <w:r w:rsidR="00547C20">
        <w:t>novelty</w:t>
      </w:r>
      <w:r w:rsidRPr="00DB4328">
        <w:t xml:space="preserve"> of TTV</w:t>
      </w:r>
      <w:r w:rsidR="00F9080D">
        <w:t>I</w:t>
      </w:r>
      <w:r w:rsidRPr="00DB4328">
        <w:t xml:space="preserve"> technology, </w:t>
      </w:r>
      <w:r w:rsidR="009A2607">
        <w:t xml:space="preserve">there is </w:t>
      </w:r>
      <w:r w:rsidR="00305FCB">
        <w:t xml:space="preserve">currently no </w:t>
      </w:r>
      <w:r w:rsidRPr="00DB4328">
        <w:t xml:space="preserve">direct comparative </w:t>
      </w:r>
      <w:r w:rsidR="00774DB7" w:rsidRPr="00DB4328">
        <w:t xml:space="preserve">evidence </w:t>
      </w:r>
      <w:r w:rsidR="00DB4328" w:rsidRPr="00DB4328">
        <w:t>of</w:t>
      </w:r>
      <w:r w:rsidRPr="00DB4328">
        <w:t xml:space="preserve"> TTVR </w:t>
      </w:r>
      <w:r w:rsidR="00DB4328" w:rsidRPr="00DB4328">
        <w:t>versus</w:t>
      </w:r>
      <w:r w:rsidRPr="00DB4328">
        <w:t xml:space="preserve"> TTV repair</w:t>
      </w:r>
      <w:r w:rsidR="00305FCB">
        <w:t>.</w:t>
      </w:r>
    </w:p>
    <w:p w14:paraId="54A104CD" w14:textId="0B9BE2E5" w:rsidR="001A7AFD" w:rsidRDefault="001A7AFD" w:rsidP="00154176">
      <w:pPr>
        <w:autoSpaceDE w:val="0"/>
        <w:autoSpaceDN w:val="0"/>
        <w:adjustRightInd w:val="0"/>
        <w:rPr>
          <w:rFonts w:asciiTheme="minorHAnsi" w:hAnsiTheme="minorHAnsi" w:cstheme="minorHAnsi"/>
          <w:i/>
          <w:iCs/>
        </w:rPr>
      </w:pPr>
      <w:r>
        <w:rPr>
          <w:rFonts w:asciiTheme="minorHAnsi" w:hAnsiTheme="minorHAnsi" w:cstheme="minorHAnsi"/>
          <w:i/>
          <w:iCs/>
        </w:rPr>
        <w:t xml:space="preserve">PASC agreed that </w:t>
      </w:r>
      <w:r w:rsidRPr="00D001AE">
        <w:rPr>
          <w:i/>
          <w:iCs/>
        </w:rPr>
        <w:t xml:space="preserve">OMT alone is </w:t>
      </w:r>
      <w:r>
        <w:rPr>
          <w:rFonts w:asciiTheme="minorHAnsi" w:hAnsiTheme="minorHAnsi" w:cstheme="minorHAnsi"/>
          <w:i/>
          <w:iCs/>
        </w:rPr>
        <w:t>the appropriate comparator, noting that patients with severe, symptomatic TR have limited therapeutic options and medical therapy is largely limited to diuretics and possibly also sodium-glucose cotransporter-2 (SGL</w:t>
      </w:r>
      <w:r w:rsidR="001961C4">
        <w:rPr>
          <w:rFonts w:asciiTheme="minorHAnsi" w:hAnsiTheme="minorHAnsi" w:cstheme="minorHAnsi"/>
          <w:i/>
          <w:iCs/>
        </w:rPr>
        <w:t>T</w:t>
      </w:r>
      <w:r>
        <w:rPr>
          <w:rFonts w:asciiTheme="minorHAnsi" w:hAnsiTheme="minorHAnsi" w:cstheme="minorHAnsi"/>
          <w:i/>
          <w:iCs/>
        </w:rPr>
        <w:t>2) inhibitors.</w:t>
      </w:r>
    </w:p>
    <w:p w14:paraId="40420244" w14:textId="77777777" w:rsidR="001A7AFD" w:rsidRDefault="001A7AFD" w:rsidP="00154176">
      <w:pPr>
        <w:autoSpaceDE w:val="0"/>
        <w:autoSpaceDN w:val="0"/>
        <w:adjustRightInd w:val="0"/>
      </w:pPr>
      <w:r>
        <w:rPr>
          <w:rFonts w:asciiTheme="minorHAnsi" w:hAnsiTheme="minorHAnsi" w:cstheme="minorHAnsi"/>
          <w:i/>
          <w:iCs/>
        </w:rPr>
        <w:t xml:space="preserve">PASC acknowledged that isolated tricuspid valve surgery could be an option for a small subset of the proposed population but due to the morbidity and mortality risk associated with surgery and the uncertainty in outcomes achieved, surgery is infrequently offered in this population. PASC therefore considered surgery to not be an appropriate comparator to TTVR. </w:t>
      </w:r>
    </w:p>
    <w:p w14:paraId="30B5CE38" w14:textId="2B068381" w:rsidR="002A7BAD" w:rsidRDefault="002A7BAD" w:rsidP="00154176">
      <w:pPr>
        <w:contextualSpacing/>
      </w:pPr>
      <w:r>
        <w:rPr>
          <w:rFonts w:asciiTheme="minorHAnsi" w:hAnsiTheme="minorHAnsi" w:cstheme="minorHAnsi"/>
          <w:i/>
          <w:iCs/>
        </w:rPr>
        <w:t>PASC agreed that TTV repair is not an appropriate comparator because it was unlikely to be replaced in clinical practice, having only recently been adopted in Australia. Additionally, PASC noted advice f</w:t>
      </w:r>
      <w:r w:rsidR="001961C4">
        <w:rPr>
          <w:rFonts w:asciiTheme="minorHAnsi" w:hAnsiTheme="minorHAnsi" w:cstheme="minorHAnsi"/>
          <w:i/>
          <w:iCs/>
        </w:rPr>
        <w:t xml:space="preserve">rom </w:t>
      </w:r>
      <w:r>
        <w:rPr>
          <w:rFonts w:asciiTheme="minorHAnsi" w:hAnsiTheme="minorHAnsi" w:cstheme="minorHAnsi"/>
          <w:i/>
          <w:iCs/>
        </w:rPr>
        <w:t xml:space="preserve">the applicant’s clinical experts that </w:t>
      </w:r>
      <w:r w:rsidRPr="00F51A03">
        <w:rPr>
          <w:rFonts w:asciiTheme="minorHAnsi" w:hAnsiTheme="minorHAnsi" w:cstheme="minorHAnsi"/>
          <w:i/>
          <w:iCs/>
        </w:rPr>
        <w:t xml:space="preserve">the anatomy and pathology of patients who would </w:t>
      </w:r>
      <w:r>
        <w:rPr>
          <w:rFonts w:asciiTheme="minorHAnsi" w:hAnsiTheme="minorHAnsi" w:cstheme="minorHAnsi"/>
          <w:i/>
          <w:iCs/>
        </w:rPr>
        <w:t>undergo</w:t>
      </w:r>
      <w:r w:rsidRPr="00F51A03">
        <w:rPr>
          <w:rFonts w:asciiTheme="minorHAnsi" w:hAnsiTheme="minorHAnsi" w:cstheme="minorHAnsi"/>
          <w:i/>
          <w:iCs/>
        </w:rPr>
        <w:t xml:space="preserve"> </w:t>
      </w:r>
      <w:r>
        <w:rPr>
          <w:rFonts w:asciiTheme="minorHAnsi" w:hAnsiTheme="minorHAnsi" w:cstheme="minorHAnsi"/>
          <w:i/>
          <w:iCs/>
        </w:rPr>
        <w:t>TTV repair differ from those who would receive TTVR</w:t>
      </w:r>
      <w:r w:rsidRPr="00D1546E">
        <w:rPr>
          <w:rFonts w:asciiTheme="minorHAnsi" w:hAnsiTheme="minorHAnsi" w:cstheme="minorHAnsi"/>
        </w:rPr>
        <w:t>.</w:t>
      </w:r>
    </w:p>
    <w:p w14:paraId="42D80EFF" w14:textId="77777777" w:rsidR="00A4449B" w:rsidRDefault="00A4449B">
      <w:pPr>
        <w:spacing w:after="160" w:line="259" w:lineRule="auto"/>
        <w:rPr>
          <w:rFonts w:eastAsia="MS Gothic"/>
          <w:b/>
          <w:bCs/>
          <w:i/>
          <w:sz w:val="24"/>
          <w:szCs w:val="24"/>
        </w:rPr>
      </w:pPr>
      <w:r>
        <w:br w:type="page"/>
      </w:r>
    </w:p>
    <w:p w14:paraId="29C1EA87" w14:textId="084E6728" w:rsidR="007A66C8" w:rsidRDefault="007A66C8" w:rsidP="00713728">
      <w:pPr>
        <w:pStyle w:val="Heading3"/>
      </w:pPr>
      <w:r w:rsidRPr="008F1532">
        <w:lastRenderedPageBreak/>
        <w:t xml:space="preserve">Outcomes </w:t>
      </w:r>
    </w:p>
    <w:p w14:paraId="24DE35E2" w14:textId="677291AB" w:rsidR="00116867" w:rsidRDefault="000D4253" w:rsidP="00354ECF">
      <w:r>
        <w:t xml:space="preserve">The outcomes </w:t>
      </w:r>
      <w:r w:rsidR="00CA2B9F">
        <w:t>relevant to the assessment of TTVR</w:t>
      </w:r>
      <w:r>
        <w:t xml:space="preserve"> are</w:t>
      </w:r>
      <w:r w:rsidR="00762CC7">
        <w:t xml:space="preserve"> </w:t>
      </w:r>
      <w:r>
        <w:t xml:space="preserve">summarised in </w:t>
      </w:r>
      <w:r w:rsidR="00EB31EE">
        <w:fldChar w:fldCharType="begin"/>
      </w:r>
      <w:r w:rsidR="00EB31EE">
        <w:instrText xml:space="preserve"> REF _Ref190777176 \h </w:instrText>
      </w:r>
      <w:r w:rsidR="00EB31EE">
        <w:fldChar w:fldCharType="separate"/>
      </w:r>
      <w:r w:rsidR="00481F36" w:rsidRPr="00AD26D1">
        <w:t xml:space="preserve">Table </w:t>
      </w:r>
      <w:r w:rsidR="00481F36">
        <w:rPr>
          <w:noProof/>
        </w:rPr>
        <w:t>5</w:t>
      </w:r>
      <w:r w:rsidR="00EB31EE">
        <w:fldChar w:fldCharType="end"/>
      </w:r>
      <w:r w:rsidR="00EB31EE">
        <w:t>.</w:t>
      </w:r>
      <w:r w:rsidR="00CA2B9F">
        <w:t xml:space="preserve"> </w:t>
      </w:r>
    </w:p>
    <w:p w14:paraId="1D638EA4" w14:textId="42BAE816" w:rsidR="00116867" w:rsidRPr="00AD26D1" w:rsidRDefault="00116867" w:rsidP="00116867">
      <w:pPr>
        <w:pStyle w:val="Caption"/>
        <w:rPr>
          <w:lang w:val="en-AU"/>
        </w:rPr>
      </w:pPr>
      <w:bookmarkStart w:id="9" w:name="_Ref190777176"/>
      <w:r w:rsidRPr="00AD26D1">
        <w:rPr>
          <w:lang w:val="en-AU"/>
        </w:rPr>
        <w:t xml:space="preserve">Table </w:t>
      </w:r>
      <w:r w:rsidRPr="00AD26D1">
        <w:rPr>
          <w:lang w:val="en-AU"/>
        </w:rPr>
        <w:fldChar w:fldCharType="begin"/>
      </w:r>
      <w:r w:rsidRPr="00AD26D1">
        <w:rPr>
          <w:lang w:val="en-AU"/>
        </w:rPr>
        <w:instrText xml:space="preserve"> SEQ Table \* ARABIC </w:instrText>
      </w:r>
      <w:r w:rsidRPr="00AD26D1">
        <w:rPr>
          <w:lang w:val="en-AU"/>
        </w:rPr>
        <w:fldChar w:fldCharType="separate"/>
      </w:r>
      <w:r w:rsidR="00481F36">
        <w:rPr>
          <w:noProof/>
          <w:lang w:val="en-AU"/>
        </w:rPr>
        <w:t>5</w:t>
      </w:r>
      <w:r w:rsidRPr="00AD26D1">
        <w:rPr>
          <w:lang w:val="en-AU"/>
        </w:rPr>
        <w:fldChar w:fldCharType="end"/>
      </w:r>
      <w:bookmarkEnd w:id="9"/>
      <w:r w:rsidRPr="00AD26D1">
        <w:rPr>
          <w:lang w:val="en-AU"/>
        </w:rPr>
        <w:tab/>
        <w:t>Outcomes relevant to the assessment of TTVR</w:t>
      </w:r>
    </w:p>
    <w:tbl>
      <w:tblPr>
        <w:tblStyle w:val="TableGrid"/>
        <w:tblW w:w="0" w:type="auto"/>
        <w:tblInd w:w="0" w:type="dxa"/>
        <w:tblLook w:val="04A0" w:firstRow="1" w:lastRow="0" w:firstColumn="1" w:lastColumn="0" w:noHBand="0" w:noVBand="1"/>
        <w:tblCaption w:val="Outcomes relevant to the assessment of TTVR"/>
        <w:tblDescription w:val="The table lists outcomes in the following categories: safety, efficacy/effectiveness, healthcare resources, cost-effectiveness, and total Australian government healthcare costs"/>
      </w:tblPr>
      <w:tblGrid>
        <w:gridCol w:w="1980"/>
        <w:gridCol w:w="7591"/>
      </w:tblGrid>
      <w:tr w:rsidR="00116867" w14:paraId="5C33C691" w14:textId="77777777">
        <w:trPr>
          <w:tblHeader/>
        </w:trPr>
        <w:tc>
          <w:tcPr>
            <w:tcW w:w="1980" w:type="dxa"/>
          </w:tcPr>
          <w:p w14:paraId="0F63F5EF" w14:textId="77777777" w:rsidR="00116867" w:rsidRDefault="00116867">
            <w:pPr>
              <w:pStyle w:val="TableHeading"/>
            </w:pPr>
            <w:r>
              <w:t>Outcome type</w:t>
            </w:r>
          </w:p>
        </w:tc>
        <w:tc>
          <w:tcPr>
            <w:tcW w:w="7591" w:type="dxa"/>
          </w:tcPr>
          <w:p w14:paraId="08DE88D3" w14:textId="77777777" w:rsidR="00116867" w:rsidRDefault="00116867">
            <w:pPr>
              <w:pStyle w:val="TableHeading"/>
            </w:pPr>
            <w:r>
              <w:t>Outcome</w:t>
            </w:r>
          </w:p>
        </w:tc>
      </w:tr>
      <w:tr w:rsidR="00116867" w14:paraId="4BF68135" w14:textId="77777777">
        <w:tc>
          <w:tcPr>
            <w:tcW w:w="1980" w:type="dxa"/>
          </w:tcPr>
          <w:p w14:paraId="49558031" w14:textId="77777777" w:rsidR="00116867" w:rsidRDefault="00116867">
            <w:pPr>
              <w:pStyle w:val="Tabletext"/>
            </w:pPr>
            <w:r>
              <w:t>Safety</w:t>
            </w:r>
          </w:p>
        </w:tc>
        <w:tc>
          <w:tcPr>
            <w:tcW w:w="7591" w:type="dxa"/>
          </w:tcPr>
          <w:p w14:paraId="7023B7A2" w14:textId="77777777" w:rsidR="00116867" w:rsidRDefault="00116867">
            <w:pPr>
              <w:pStyle w:val="Tabletext"/>
            </w:pPr>
            <w:r>
              <w:t>Major cardiovascular events (MI, stroke, cardiovascular death)</w:t>
            </w:r>
          </w:p>
          <w:p w14:paraId="2548A7E8" w14:textId="77777777" w:rsidR="00116867" w:rsidRDefault="00116867">
            <w:pPr>
              <w:pStyle w:val="Tabletext"/>
            </w:pPr>
            <w:r>
              <w:t>Severe bleeding</w:t>
            </w:r>
          </w:p>
          <w:p w14:paraId="6F5E320A" w14:textId="77777777" w:rsidR="00116867" w:rsidRDefault="00116867">
            <w:pPr>
              <w:pStyle w:val="Tabletext"/>
            </w:pPr>
            <w:r>
              <w:t>Major access site and vascular complications</w:t>
            </w:r>
          </w:p>
          <w:p w14:paraId="0BB2A3C5" w14:textId="77777777" w:rsidR="00116867" w:rsidRDefault="00116867">
            <w:pPr>
              <w:pStyle w:val="Tabletext"/>
            </w:pPr>
            <w:r>
              <w:t>Major cardiac structural complications (e.g. coronary structure perforation)</w:t>
            </w:r>
          </w:p>
          <w:p w14:paraId="5F41730A" w14:textId="77777777" w:rsidR="00116867" w:rsidRDefault="00116867">
            <w:pPr>
              <w:pStyle w:val="Tabletext"/>
            </w:pPr>
            <w:r>
              <w:t>Arrhythmia or conduction disorder requiring permanent pacing</w:t>
            </w:r>
          </w:p>
          <w:p w14:paraId="6CE7227E" w14:textId="77777777" w:rsidR="00116867" w:rsidRDefault="00116867">
            <w:pPr>
              <w:pStyle w:val="Tabletext"/>
            </w:pPr>
            <w:r>
              <w:t>New need for renal replacement therapy</w:t>
            </w:r>
          </w:p>
          <w:p w14:paraId="7A233022" w14:textId="77777777" w:rsidR="00116867" w:rsidRDefault="00116867">
            <w:pPr>
              <w:pStyle w:val="Tabletext"/>
            </w:pPr>
            <w:r>
              <w:t>Conversion to surgery</w:t>
            </w:r>
          </w:p>
          <w:p w14:paraId="32FA8C00" w14:textId="77777777" w:rsidR="00116867" w:rsidRDefault="00116867">
            <w:pPr>
              <w:pStyle w:val="Tabletext"/>
            </w:pPr>
            <w:r>
              <w:t>Tricuspid valve reintervention (percutaneous or surgical)</w:t>
            </w:r>
          </w:p>
          <w:p w14:paraId="50D9BB62" w14:textId="77777777" w:rsidR="00116867" w:rsidRDefault="00116867">
            <w:pPr>
              <w:pStyle w:val="Tabletext"/>
            </w:pPr>
            <w:r>
              <w:t>Prosthetic valve dysfunction</w:t>
            </w:r>
          </w:p>
        </w:tc>
      </w:tr>
      <w:tr w:rsidR="00116867" w14:paraId="5A69E1D6" w14:textId="77777777">
        <w:tc>
          <w:tcPr>
            <w:tcW w:w="1980" w:type="dxa"/>
          </w:tcPr>
          <w:p w14:paraId="4AC7A997" w14:textId="77777777" w:rsidR="00116867" w:rsidRDefault="00116867">
            <w:pPr>
              <w:pStyle w:val="Tabletext"/>
            </w:pPr>
            <w:r>
              <w:t>Efficacy/effectiveness</w:t>
            </w:r>
          </w:p>
        </w:tc>
        <w:tc>
          <w:tcPr>
            <w:tcW w:w="7591" w:type="dxa"/>
          </w:tcPr>
          <w:p w14:paraId="68C1EFCD" w14:textId="77777777" w:rsidR="00116867" w:rsidRDefault="00116867">
            <w:pPr>
              <w:pStyle w:val="Tabletext"/>
            </w:pPr>
            <w:r>
              <w:t>Mortality (all cause, cardiovascular)</w:t>
            </w:r>
          </w:p>
          <w:p w14:paraId="73198587" w14:textId="77777777" w:rsidR="00116867" w:rsidRDefault="00116867">
            <w:pPr>
              <w:pStyle w:val="Tabletext"/>
            </w:pPr>
            <w:r>
              <w:t>Hospitalisation for heart failure</w:t>
            </w:r>
          </w:p>
          <w:p w14:paraId="35248820" w14:textId="77777777" w:rsidR="00116867" w:rsidRDefault="00116867">
            <w:pPr>
              <w:pStyle w:val="Tabletext"/>
            </w:pPr>
            <w:r>
              <w:t>Implantation of a RV assist device or heart transplantation</w:t>
            </w:r>
          </w:p>
          <w:p w14:paraId="558705AC" w14:textId="77777777" w:rsidR="00116867" w:rsidRDefault="00116867">
            <w:pPr>
              <w:pStyle w:val="Tabletext"/>
            </w:pPr>
            <w:r>
              <w:t>Change in TR grade</w:t>
            </w:r>
          </w:p>
          <w:p w14:paraId="37F16D5A" w14:textId="77777777" w:rsidR="00116867" w:rsidRDefault="00116867">
            <w:pPr>
              <w:pStyle w:val="Tabletext"/>
            </w:pPr>
            <w:r>
              <w:t>Quality of life using disease-specific tools (e.g. KCCQ) and generic tools (e.g. EQ-5D, SF-36)</w:t>
            </w:r>
          </w:p>
          <w:p w14:paraId="17270C94" w14:textId="77777777" w:rsidR="00116867" w:rsidRDefault="00116867">
            <w:pPr>
              <w:pStyle w:val="Tabletext"/>
            </w:pPr>
            <w:r>
              <w:t>Health status (NYHA functional class, 6MWT)</w:t>
            </w:r>
          </w:p>
          <w:p w14:paraId="43FCF5AE" w14:textId="5E261694" w:rsidR="006D701C" w:rsidRDefault="006D701C">
            <w:pPr>
              <w:pStyle w:val="Tabletext"/>
            </w:pPr>
            <w:r>
              <w:t xml:space="preserve">Change in </w:t>
            </w:r>
            <w:r w:rsidR="00CE2D5A">
              <w:t xml:space="preserve">medical therapy (dose, </w:t>
            </w:r>
            <w:r w:rsidR="00094ABF">
              <w:t>frequency</w:t>
            </w:r>
            <w:r w:rsidR="003A7B3E">
              <w:t xml:space="preserve">, </w:t>
            </w:r>
            <w:r w:rsidR="00094ABF">
              <w:t>type</w:t>
            </w:r>
            <w:r w:rsidR="00CE2D5A">
              <w:t>)</w:t>
            </w:r>
          </w:p>
        </w:tc>
      </w:tr>
      <w:tr w:rsidR="00116867" w14:paraId="3C207E57" w14:textId="77777777">
        <w:tc>
          <w:tcPr>
            <w:tcW w:w="1980" w:type="dxa"/>
          </w:tcPr>
          <w:p w14:paraId="2B09AF7A" w14:textId="77777777" w:rsidR="00116867" w:rsidRDefault="00116867">
            <w:pPr>
              <w:pStyle w:val="Tabletext"/>
            </w:pPr>
            <w:r>
              <w:t>Healthcare resources</w:t>
            </w:r>
          </w:p>
        </w:tc>
        <w:tc>
          <w:tcPr>
            <w:tcW w:w="7591" w:type="dxa"/>
          </w:tcPr>
          <w:p w14:paraId="2D9DA1E7" w14:textId="3BB8345A" w:rsidR="00116867" w:rsidRDefault="00116867">
            <w:pPr>
              <w:pStyle w:val="Tabletext"/>
            </w:pPr>
            <w:r>
              <w:t>Cost of tricuspid valve prosthesis</w:t>
            </w:r>
            <w:r w:rsidR="00952F1D">
              <w:t xml:space="preserve"> and other consumables</w:t>
            </w:r>
          </w:p>
          <w:p w14:paraId="1358F8CE" w14:textId="77777777" w:rsidR="00116867" w:rsidRDefault="00116867">
            <w:pPr>
              <w:pStyle w:val="Tabletext"/>
            </w:pPr>
            <w:r>
              <w:t>Cost to deliver TTVR intervention</w:t>
            </w:r>
          </w:p>
          <w:p w14:paraId="574DC12A" w14:textId="77777777" w:rsidR="00116867" w:rsidRDefault="00116867">
            <w:pPr>
              <w:pStyle w:val="Tabletext"/>
            </w:pPr>
            <w:r>
              <w:t>Cost associated with changes in clinical management (testing required before the procedure, length of hospital stay, post-discharge rehabilitation)</w:t>
            </w:r>
          </w:p>
          <w:p w14:paraId="5CF8494A" w14:textId="77777777" w:rsidR="00116867" w:rsidRDefault="00116867">
            <w:pPr>
              <w:pStyle w:val="Tabletext"/>
            </w:pPr>
            <w:r>
              <w:t>Cost associated with management of complications (including reintervention)</w:t>
            </w:r>
          </w:p>
        </w:tc>
      </w:tr>
      <w:tr w:rsidR="00116867" w14:paraId="2C12993E" w14:textId="77777777">
        <w:tc>
          <w:tcPr>
            <w:tcW w:w="1980" w:type="dxa"/>
          </w:tcPr>
          <w:p w14:paraId="459B9D02" w14:textId="77777777" w:rsidR="00116867" w:rsidRDefault="00116867">
            <w:pPr>
              <w:pStyle w:val="Tabletext"/>
            </w:pPr>
            <w:r>
              <w:t>Cost-effectiveness</w:t>
            </w:r>
          </w:p>
        </w:tc>
        <w:tc>
          <w:tcPr>
            <w:tcW w:w="7591" w:type="dxa"/>
          </w:tcPr>
          <w:p w14:paraId="7DE3218D" w14:textId="77777777" w:rsidR="00116867" w:rsidRDefault="00116867">
            <w:pPr>
              <w:pStyle w:val="Tabletext"/>
            </w:pPr>
            <w:r>
              <w:t>Cost per life-year gained</w:t>
            </w:r>
          </w:p>
          <w:p w14:paraId="0D8B1789" w14:textId="77777777" w:rsidR="00116867" w:rsidRDefault="00116867">
            <w:pPr>
              <w:pStyle w:val="Tabletext"/>
            </w:pPr>
            <w:r>
              <w:t>Cost per QALY gained</w:t>
            </w:r>
          </w:p>
        </w:tc>
      </w:tr>
      <w:tr w:rsidR="00116867" w14:paraId="6E75F7E4" w14:textId="77777777">
        <w:tc>
          <w:tcPr>
            <w:tcW w:w="1980" w:type="dxa"/>
          </w:tcPr>
          <w:p w14:paraId="608DBB62" w14:textId="77777777" w:rsidR="00116867" w:rsidRDefault="00116867">
            <w:pPr>
              <w:pStyle w:val="Tabletext"/>
            </w:pPr>
            <w:r w:rsidRPr="00CA2B9F">
              <w:t>Total Australian government healthcare costs</w:t>
            </w:r>
          </w:p>
        </w:tc>
        <w:tc>
          <w:tcPr>
            <w:tcW w:w="7591" w:type="dxa"/>
          </w:tcPr>
          <w:p w14:paraId="385A92F7" w14:textId="77777777" w:rsidR="00116867" w:rsidRDefault="00116867">
            <w:pPr>
              <w:pStyle w:val="Tabletext"/>
            </w:pPr>
            <w:r>
              <w:t>Total cost to the MBS</w:t>
            </w:r>
          </w:p>
          <w:p w14:paraId="05C4EAF2" w14:textId="77777777" w:rsidR="00116867" w:rsidRDefault="00116867">
            <w:pPr>
              <w:pStyle w:val="Tabletext"/>
            </w:pPr>
            <w:r>
              <w:t>Total cost to other government health budgets, including the PBS</w:t>
            </w:r>
          </w:p>
        </w:tc>
      </w:tr>
    </w:tbl>
    <w:p w14:paraId="3EB3C596" w14:textId="77777777" w:rsidR="00116867" w:rsidRPr="00354ECF" w:rsidRDefault="00116867" w:rsidP="00843C88">
      <w:pPr>
        <w:pStyle w:val="Tablenotes"/>
        <w:spacing w:after="200"/>
      </w:pPr>
      <w:r>
        <w:t xml:space="preserve">EQ-5D = </w:t>
      </w:r>
      <w:r w:rsidRPr="00B72FA0">
        <w:t>EuroQol 5-dimension tool</w:t>
      </w:r>
      <w:r>
        <w:t xml:space="preserve">; KCCQ = </w:t>
      </w:r>
      <w:r w:rsidRPr="00B72FA0">
        <w:t>Kansas City Cardiomyopathy Questionnaire</w:t>
      </w:r>
      <w:r>
        <w:t xml:space="preserve">; NYHA = </w:t>
      </w:r>
      <w:r w:rsidRPr="00CD7481">
        <w:t>New York Heart Association</w:t>
      </w:r>
      <w:r>
        <w:t xml:space="preserve">; MBS = </w:t>
      </w:r>
      <w:r w:rsidRPr="007A2ABD">
        <w:t>Medical Benefits Schedule</w:t>
      </w:r>
      <w:r>
        <w:t xml:space="preserve">; MI = myocardial infarction; 6MWT = </w:t>
      </w:r>
      <w:r w:rsidRPr="00B72FA0">
        <w:t xml:space="preserve">6-minute walk </w:t>
      </w:r>
      <w:r>
        <w:t xml:space="preserve">test; PBS = </w:t>
      </w:r>
      <w:r w:rsidRPr="007A2ABD">
        <w:t>Pharmaceutical Benefits Scheme</w:t>
      </w:r>
      <w:r>
        <w:t xml:space="preserve">; QALY = </w:t>
      </w:r>
      <w:r w:rsidRPr="007A2ABD">
        <w:t>quality-adjusted life year</w:t>
      </w:r>
      <w:r>
        <w:t xml:space="preserve">; RV = right ventricular; SF-36 = Medical Outcomes Study </w:t>
      </w:r>
      <w:r w:rsidRPr="00CF68FD">
        <w:t>36</w:t>
      </w:r>
      <w:r>
        <w:t>-item Short Form</w:t>
      </w:r>
      <w:r w:rsidRPr="00CF68FD">
        <w:t xml:space="preserve"> </w:t>
      </w:r>
      <w:r>
        <w:t xml:space="preserve">Health Survey; TR = tricuspid regurgitation; TTVR = </w:t>
      </w:r>
      <w:r w:rsidRPr="007A2ABD">
        <w:t>transcatheter tricuspid valve replacement</w:t>
      </w:r>
    </w:p>
    <w:p w14:paraId="17A179A0" w14:textId="77777777" w:rsidR="00075BAC" w:rsidRDefault="00075BAC" w:rsidP="00075BAC">
      <w:r>
        <w:t>Patient-reported outcomes are important to demonstrate the effectiveness of TTVR given that the optimisation of a patient’s health status (i.e. symptoms, functional status and quality of life) is a central goal in the treatment of severe TR.</w:t>
      </w:r>
    </w:p>
    <w:p w14:paraId="28C3A66C" w14:textId="3CAC7149" w:rsidR="00075BAC" w:rsidRDefault="00075BAC" w:rsidP="00075BAC">
      <w:r>
        <w:t>Procedural and late safety events should be captured in the analysis as both must be factored into clinical decision</w:t>
      </w:r>
      <w:r w:rsidR="0082128F">
        <w:t xml:space="preserve"> </w:t>
      </w:r>
      <w:r>
        <w:t xml:space="preserve">making, especially given the </w:t>
      </w:r>
      <w:r w:rsidR="001961C4">
        <w:t>advanced age of the</w:t>
      </w:r>
      <w:r>
        <w:t xml:space="preserve"> population</w:t>
      </w:r>
      <w:r w:rsidR="001961C4">
        <w:t xml:space="preserve"> and need for anticoagulation</w:t>
      </w:r>
      <w:r>
        <w:t>.</w:t>
      </w:r>
    </w:p>
    <w:p w14:paraId="74D45905" w14:textId="77777777" w:rsidR="00075BAC" w:rsidRDefault="00075BAC" w:rsidP="00075BAC">
      <w:r>
        <w:t>Tricuspid valve reintervention may be related to an unsuccessful implantation procedure, device failure or device-related complication events, either acute (e.g. embolisation) or chronic (e.g. paravalvular leak).</w:t>
      </w:r>
    </w:p>
    <w:p w14:paraId="3D13ACFF" w14:textId="1F7D8C56" w:rsidR="00EA0D5F" w:rsidRDefault="000343E9" w:rsidP="002909CC">
      <w:pPr>
        <w:spacing w:after="120"/>
      </w:pPr>
      <w:r>
        <w:t>All</w:t>
      </w:r>
      <w:r w:rsidR="00D26A84">
        <w:t xml:space="preserve"> safety and efficacy </w:t>
      </w:r>
      <w:r w:rsidR="00762CC7">
        <w:t xml:space="preserve">outcomes </w:t>
      </w:r>
      <w:r w:rsidR="00AF336F">
        <w:t xml:space="preserve">in </w:t>
      </w:r>
      <w:r w:rsidR="00AF336F">
        <w:fldChar w:fldCharType="begin"/>
      </w:r>
      <w:r w:rsidR="00AF336F">
        <w:instrText xml:space="preserve"> REF _Ref190777176 \h </w:instrText>
      </w:r>
      <w:r w:rsidR="00AF336F">
        <w:fldChar w:fldCharType="separate"/>
      </w:r>
      <w:r w:rsidR="00481F36" w:rsidRPr="00AD26D1">
        <w:t xml:space="preserve">Table </w:t>
      </w:r>
      <w:r w:rsidR="00481F36">
        <w:rPr>
          <w:noProof/>
        </w:rPr>
        <w:t>5</w:t>
      </w:r>
      <w:r w:rsidR="00AF336F">
        <w:fldChar w:fldCharType="end"/>
      </w:r>
      <w:r w:rsidR="00AF336F">
        <w:t xml:space="preserve"> </w:t>
      </w:r>
      <w:r w:rsidR="00624676">
        <w:t>were captured in</w:t>
      </w:r>
      <w:r w:rsidR="00FC2248">
        <w:t xml:space="preserve"> the TRISCEND II </w:t>
      </w:r>
      <w:r>
        <w:t>Pivotal Trial</w:t>
      </w:r>
      <w:r w:rsidR="00624676">
        <w:t xml:space="preserve">, with the exception of </w:t>
      </w:r>
      <w:r w:rsidR="00D12CBC">
        <w:t>health-related quality of life (</w:t>
      </w:r>
      <w:r w:rsidR="00624676" w:rsidRPr="00624676">
        <w:t>HRQOL</w:t>
      </w:r>
      <w:r w:rsidR="00D12CBC">
        <w:t>)</w:t>
      </w:r>
      <w:r w:rsidR="00624676" w:rsidRPr="00624676">
        <w:t xml:space="preserve"> using generic tools such as </w:t>
      </w:r>
      <w:r w:rsidR="00BA37DF">
        <w:t xml:space="preserve">the </w:t>
      </w:r>
      <w:r w:rsidR="00BA37DF" w:rsidRPr="00BA37DF">
        <w:t xml:space="preserve">EuroQol 5-dimension </w:t>
      </w:r>
      <w:r w:rsidR="00BA37DF" w:rsidRPr="00BA37DF">
        <w:lastRenderedPageBreak/>
        <w:t xml:space="preserve">tool </w:t>
      </w:r>
      <w:r w:rsidR="00BA37DF">
        <w:t>(</w:t>
      </w:r>
      <w:r w:rsidR="00624676" w:rsidRPr="00624676">
        <w:t>EQ-5D</w:t>
      </w:r>
      <w:r w:rsidR="00BA37DF">
        <w:t>)</w:t>
      </w:r>
      <w:r w:rsidR="00624676" w:rsidRPr="00624676">
        <w:t xml:space="preserve"> or </w:t>
      </w:r>
      <w:r w:rsidR="00BA37DF">
        <w:t xml:space="preserve">the </w:t>
      </w:r>
      <w:r w:rsidR="00BA37DF" w:rsidRPr="00BA37DF">
        <w:t xml:space="preserve">36-item Short Form Health Survey </w:t>
      </w:r>
      <w:r w:rsidR="00BA37DF">
        <w:t>(</w:t>
      </w:r>
      <w:r w:rsidR="00624676" w:rsidRPr="00624676">
        <w:t>SF-36</w:t>
      </w:r>
      <w:r w:rsidR="00BA37DF">
        <w:t>)</w:t>
      </w:r>
      <w:r w:rsidR="00FC2248">
        <w:t>.</w:t>
      </w:r>
      <w:r w:rsidR="00D26A84">
        <w:t xml:space="preserve"> </w:t>
      </w:r>
      <w:r w:rsidR="00412A3C">
        <w:t>The</w:t>
      </w:r>
      <w:r w:rsidR="00DA0995">
        <w:t xml:space="preserve"> </w:t>
      </w:r>
      <w:r w:rsidR="00C37703">
        <w:t xml:space="preserve">primary </w:t>
      </w:r>
      <w:r w:rsidR="006169AF">
        <w:t>outcome measure</w:t>
      </w:r>
      <w:r w:rsidR="00C37703">
        <w:t xml:space="preserve"> for </w:t>
      </w:r>
      <w:r w:rsidR="009A71F5">
        <w:t>TRISCEND </w:t>
      </w:r>
      <w:r w:rsidR="00DA0995">
        <w:t xml:space="preserve">II </w:t>
      </w:r>
      <w:r w:rsidR="00EA4529">
        <w:t>was a hierarchical</w:t>
      </w:r>
      <w:r w:rsidR="00F0732D">
        <w:t xml:space="preserve"> composite </w:t>
      </w:r>
      <w:r w:rsidR="00EA4529">
        <w:t>at 1 year</w:t>
      </w:r>
      <w:r w:rsidR="00EA0D5F">
        <w:t xml:space="preserve"> that included:</w:t>
      </w:r>
    </w:p>
    <w:p w14:paraId="546FEAC7" w14:textId="5AF88F6F" w:rsidR="000A5FE6" w:rsidRDefault="006169AF" w:rsidP="000A5FE6">
      <w:pPr>
        <w:pStyle w:val="ListParagraph"/>
        <w:numPr>
          <w:ilvl w:val="0"/>
          <w:numId w:val="13"/>
        </w:numPr>
      </w:pPr>
      <w:r>
        <w:t>all-cause mortality</w:t>
      </w:r>
    </w:p>
    <w:p w14:paraId="4B5FDB76" w14:textId="3C046E4A" w:rsidR="000A5FE6" w:rsidRDefault="000A5FE6" w:rsidP="000A5FE6">
      <w:pPr>
        <w:pStyle w:val="ListParagraph"/>
        <w:numPr>
          <w:ilvl w:val="0"/>
          <w:numId w:val="13"/>
        </w:numPr>
      </w:pPr>
      <w:r>
        <w:t>durable implantation of a</w:t>
      </w:r>
      <w:r w:rsidR="00EC2487">
        <w:t>n</w:t>
      </w:r>
      <w:r>
        <w:t xml:space="preserve"> </w:t>
      </w:r>
      <w:r w:rsidR="00EC2487">
        <w:t>RV</w:t>
      </w:r>
      <w:r>
        <w:t xml:space="preserve"> assist device or heart transplantation</w:t>
      </w:r>
    </w:p>
    <w:p w14:paraId="5A6D9D19" w14:textId="6E8CB5AD" w:rsidR="00E946E2" w:rsidRDefault="00E946E2" w:rsidP="00E946E2">
      <w:pPr>
        <w:pStyle w:val="ListParagraph"/>
        <w:numPr>
          <w:ilvl w:val="0"/>
          <w:numId w:val="13"/>
        </w:numPr>
      </w:pPr>
      <w:r>
        <w:t>tricuspid-valve surgery or percutaneous tricuspid intervention after any index intervention</w:t>
      </w:r>
    </w:p>
    <w:p w14:paraId="3A30B5DA" w14:textId="79C2A111" w:rsidR="00E946E2" w:rsidRDefault="00F46F9C" w:rsidP="00E946E2">
      <w:pPr>
        <w:pStyle w:val="ListParagraph"/>
        <w:numPr>
          <w:ilvl w:val="0"/>
          <w:numId w:val="13"/>
        </w:numPr>
      </w:pPr>
      <w:r>
        <w:t>heart failure</w:t>
      </w:r>
      <w:r w:rsidR="00E946E2">
        <w:t xml:space="preserve"> hospitalisation</w:t>
      </w:r>
    </w:p>
    <w:p w14:paraId="79BD4A01" w14:textId="54EEE550" w:rsidR="00E946E2" w:rsidRDefault="006663BD" w:rsidP="00E946E2">
      <w:pPr>
        <w:pStyle w:val="ListParagraph"/>
        <w:numPr>
          <w:ilvl w:val="0"/>
          <w:numId w:val="13"/>
        </w:numPr>
      </w:pPr>
      <w:r>
        <w:t>health status</w:t>
      </w:r>
      <w:r w:rsidR="00E946E2">
        <w:t xml:space="preserve"> measured using the Kansas City Cardiomyopathy Questionnaire overall summary (KCCQ-OS)</w:t>
      </w:r>
    </w:p>
    <w:p w14:paraId="6DCCF216" w14:textId="05BC28C0" w:rsidR="00E946E2" w:rsidRDefault="00E946E2" w:rsidP="00E946E2">
      <w:pPr>
        <w:pStyle w:val="ListParagraph"/>
        <w:numPr>
          <w:ilvl w:val="0"/>
          <w:numId w:val="13"/>
        </w:numPr>
      </w:pPr>
      <w:r>
        <w:t>NYHA functional class</w:t>
      </w:r>
    </w:p>
    <w:p w14:paraId="69197662" w14:textId="23B42A35" w:rsidR="000A5FE6" w:rsidRDefault="00E946E2" w:rsidP="00E946E2">
      <w:pPr>
        <w:pStyle w:val="ListParagraph"/>
        <w:numPr>
          <w:ilvl w:val="0"/>
          <w:numId w:val="13"/>
        </w:numPr>
      </w:pPr>
      <w:r>
        <w:t xml:space="preserve">6-minute walk </w:t>
      </w:r>
      <w:r w:rsidR="009D284A">
        <w:t>test</w:t>
      </w:r>
      <w:r w:rsidR="00E84ED5">
        <w:t xml:space="preserve"> (6MW</w:t>
      </w:r>
      <w:r w:rsidR="009D284A">
        <w:t>T</w:t>
      </w:r>
      <w:r w:rsidR="00E84ED5">
        <w:t>)</w:t>
      </w:r>
      <w:r w:rsidR="004751D0">
        <w:t>.</w:t>
      </w:r>
    </w:p>
    <w:p w14:paraId="5D5C168D" w14:textId="6BDBE47F" w:rsidR="00354ECF" w:rsidRDefault="00EA0D5F" w:rsidP="00354ECF">
      <w:r>
        <w:t>T</w:t>
      </w:r>
      <w:r w:rsidR="007F38A5">
        <w:t>he application state</w:t>
      </w:r>
      <w:r w:rsidR="00D26A84">
        <w:t>d</w:t>
      </w:r>
      <w:r w:rsidR="007F38A5">
        <w:t xml:space="preserve"> that the </w:t>
      </w:r>
      <w:r w:rsidR="001B5DB6">
        <w:t xml:space="preserve">individual components of the composite are available </w:t>
      </w:r>
      <w:r w:rsidR="00E00391">
        <w:t>for inclusion</w:t>
      </w:r>
      <w:r w:rsidR="001B5DB6">
        <w:t xml:space="preserve"> in the assessment report</w:t>
      </w:r>
      <w:r w:rsidR="00687FAE">
        <w:t>;</w:t>
      </w:r>
      <w:r w:rsidR="00775422">
        <w:t xml:space="preserve"> </w:t>
      </w:r>
      <w:r w:rsidR="00687FAE">
        <w:t xml:space="preserve">however, </w:t>
      </w:r>
      <w:r w:rsidR="00687FAE" w:rsidRPr="00687FAE">
        <w:t>the trial was not powered or designed to detect differences in the individual components</w:t>
      </w:r>
      <w:r w:rsidR="00687FAE">
        <w:t>.</w:t>
      </w:r>
    </w:p>
    <w:p w14:paraId="36D454B1" w14:textId="034C77E9" w:rsidR="00864353" w:rsidRDefault="00864353" w:rsidP="00154176">
      <w:r w:rsidRPr="00EF104F">
        <w:rPr>
          <w:rFonts w:asciiTheme="minorHAnsi" w:hAnsiTheme="minorHAnsi" w:cstheme="minorHAnsi"/>
          <w:i/>
          <w:iCs/>
        </w:rPr>
        <w:t xml:space="preserve">PASC </w:t>
      </w:r>
      <w:r>
        <w:rPr>
          <w:rFonts w:asciiTheme="minorHAnsi" w:hAnsiTheme="minorHAnsi" w:cstheme="minorHAnsi"/>
          <w:i/>
          <w:iCs/>
        </w:rPr>
        <w:t>agreed that the proposed outcomes are appropriate and are consistent with those in the TRISCEND II Pivotal Trial. PASC discussed the hierarchical primary outcome, noting the</w:t>
      </w:r>
      <w:r w:rsidRPr="00DA3FA2">
        <w:rPr>
          <w:rFonts w:asciiTheme="minorHAnsi" w:hAnsiTheme="minorHAnsi" w:cstheme="minorHAnsi"/>
          <w:i/>
          <w:iCs/>
        </w:rPr>
        <w:t xml:space="preserve"> analysis was presented as a win ratio</w:t>
      </w:r>
      <w:r>
        <w:rPr>
          <w:rFonts w:asciiTheme="minorHAnsi" w:hAnsiTheme="minorHAnsi" w:cstheme="minorHAnsi"/>
          <w:i/>
          <w:iCs/>
        </w:rPr>
        <w:t xml:space="preserve"> using an</w:t>
      </w:r>
      <w:r w:rsidRPr="00A5771C">
        <w:rPr>
          <w:rFonts w:asciiTheme="minorHAnsi" w:hAnsiTheme="minorHAnsi" w:cstheme="minorHAnsi"/>
          <w:i/>
          <w:iCs/>
        </w:rPr>
        <w:t xml:space="preserve"> unmatched pairs</w:t>
      </w:r>
      <w:r>
        <w:rPr>
          <w:rFonts w:asciiTheme="minorHAnsi" w:hAnsiTheme="minorHAnsi" w:cstheme="minorHAnsi"/>
          <w:i/>
          <w:iCs/>
        </w:rPr>
        <w:t xml:space="preserve"> approach</w:t>
      </w:r>
      <w:r w:rsidRPr="00A5771C">
        <w:rPr>
          <w:rFonts w:asciiTheme="minorHAnsi" w:hAnsiTheme="minorHAnsi" w:cstheme="minorHAnsi"/>
          <w:i/>
          <w:iCs/>
        </w:rPr>
        <w:t xml:space="preserve">. PASC acknowledged </w:t>
      </w:r>
      <w:r>
        <w:rPr>
          <w:rFonts w:asciiTheme="minorHAnsi" w:hAnsiTheme="minorHAnsi" w:cstheme="minorHAnsi"/>
          <w:i/>
          <w:iCs/>
        </w:rPr>
        <w:t xml:space="preserve">that </w:t>
      </w:r>
      <w:r w:rsidRPr="00A5771C">
        <w:rPr>
          <w:rFonts w:asciiTheme="minorHAnsi" w:hAnsiTheme="minorHAnsi" w:cstheme="minorHAnsi"/>
          <w:i/>
          <w:iCs/>
        </w:rPr>
        <w:t xml:space="preserve">this approach </w:t>
      </w:r>
      <w:r w:rsidR="004106AD">
        <w:rPr>
          <w:rFonts w:asciiTheme="minorHAnsi" w:hAnsiTheme="minorHAnsi" w:cstheme="minorHAnsi"/>
          <w:i/>
          <w:iCs/>
        </w:rPr>
        <w:t>may overcome</w:t>
      </w:r>
      <w:r w:rsidR="004106AD" w:rsidRPr="00A5771C">
        <w:rPr>
          <w:rFonts w:asciiTheme="minorHAnsi" w:hAnsiTheme="minorHAnsi" w:cstheme="minorHAnsi"/>
          <w:i/>
          <w:iCs/>
        </w:rPr>
        <w:t xml:space="preserve"> </w:t>
      </w:r>
      <w:r w:rsidRPr="00A5771C">
        <w:rPr>
          <w:rFonts w:asciiTheme="minorHAnsi" w:hAnsiTheme="minorHAnsi" w:cstheme="minorHAnsi"/>
          <w:i/>
          <w:iCs/>
        </w:rPr>
        <w:t xml:space="preserve">some of the limitations of traditional composite endpoints by including a specific hierarchy of importance for each clinical endpoint, prioritising those considered more important such as death or heart transplant. </w:t>
      </w:r>
      <w:r>
        <w:rPr>
          <w:rFonts w:asciiTheme="minorHAnsi" w:hAnsiTheme="minorHAnsi" w:cstheme="minorHAnsi"/>
          <w:i/>
          <w:iCs/>
        </w:rPr>
        <w:t xml:space="preserve">PASC noted the trial was not powered to detect differences in </w:t>
      </w:r>
      <w:r w:rsidR="000532E3">
        <w:rPr>
          <w:rFonts w:asciiTheme="minorHAnsi" w:hAnsiTheme="minorHAnsi" w:cstheme="minorHAnsi"/>
          <w:i/>
          <w:iCs/>
        </w:rPr>
        <w:t xml:space="preserve">secondary outcomes, including </w:t>
      </w:r>
      <w:r>
        <w:rPr>
          <w:rFonts w:asciiTheme="minorHAnsi" w:hAnsiTheme="minorHAnsi" w:cstheme="minorHAnsi"/>
          <w:i/>
          <w:iCs/>
        </w:rPr>
        <w:t>individual components of the composite.</w:t>
      </w:r>
    </w:p>
    <w:p w14:paraId="6E4B0997" w14:textId="74AE5944" w:rsidR="005945D5" w:rsidRDefault="006D2DE6" w:rsidP="005945D5">
      <w:r>
        <w:t xml:space="preserve">The </w:t>
      </w:r>
      <w:r w:rsidR="004102F4">
        <w:t xml:space="preserve">Tricuspid Valve Academic Research Consortium (TVARC) </w:t>
      </w:r>
      <w:r w:rsidR="005A17F3">
        <w:t>advise</w:t>
      </w:r>
      <w:r w:rsidR="00D64DB8">
        <w:t xml:space="preserve"> that </w:t>
      </w:r>
      <w:r w:rsidR="005945D5">
        <w:t>the duration of follow</w:t>
      </w:r>
      <w:r w:rsidR="00AB59E0">
        <w:t xml:space="preserve"> </w:t>
      </w:r>
      <w:r w:rsidR="005945D5">
        <w:t xml:space="preserve">up must be sufficient to ascertain whether device durability is acceptable for the intended patient population and comparable to alternative </w:t>
      </w:r>
      <w:r w:rsidR="005945D5" w:rsidRPr="006C34D2">
        <w:t>therapies</w:t>
      </w:r>
      <w:r w:rsidR="004361E6" w:rsidRPr="006C34D2">
        <w:t xml:space="preserve"> (</w:t>
      </w:r>
      <w:r w:rsidR="003B4818" w:rsidRPr="006C34D2">
        <w:t xml:space="preserve">Hahn et al. </w:t>
      </w:r>
      <w:r w:rsidR="00B56CCD" w:rsidRPr="006C34D2">
        <w:t>2023</w:t>
      </w:r>
      <w:r w:rsidR="004361E6" w:rsidRPr="006C34D2">
        <w:t>)</w:t>
      </w:r>
      <w:r w:rsidR="005945D5" w:rsidRPr="006C34D2">
        <w:t>.</w:t>
      </w:r>
      <w:r w:rsidR="00D24CA8" w:rsidRPr="006C34D2">
        <w:t xml:space="preserve"> </w:t>
      </w:r>
      <w:r w:rsidR="00603CFC" w:rsidRPr="006C34D2">
        <w:t>The TRISCEND</w:t>
      </w:r>
      <w:r w:rsidR="00603CFC">
        <w:t xml:space="preserve"> II Pivotal Trial </w:t>
      </w:r>
      <w:r w:rsidR="002A7CE5">
        <w:t>will follow</w:t>
      </w:r>
      <w:r w:rsidR="00A004DC">
        <w:t xml:space="preserve"> </w:t>
      </w:r>
      <w:r w:rsidR="002A7CE5">
        <w:t xml:space="preserve">up </w:t>
      </w:r>
      <w:r w:rsidR="00B519A2">
        <w:t>study participants to</w:t>
      </w:r>
      <w:r w:rsidR="00867458">
        <w:t xml:space="preserve"> 5 years</w:t>
      </w:r>
      <w:r w:rsidR="002A4F75">
        <w:t xml:space="preserve">, with </w:t>
      </w:r>
      <w:r w:rsidR="00B91B53">
        <w:t>estimated study completion i</w:t>
      </w:r>
      <w:r w:rsidR="002A4F75">
        <w:t>n</w:t>
      </w:r>
      <w:r w:rsidR="00B91B53">
        <w:t xml:space="preserve"> December 2029.</w:t>
      </w:r>
      <w:r w:rsidR="00B519A2">
        <w:t xml:space="preserve"> </w:t>
      </w:r>
      <w:r w:rsidR="002D51A1">
        <w:t xml:space="preserve">The application </w:t>
      </w:r>
      <w:r w:rsidR="00CE121B">
        <w:t>stated</w:t>
      </w:r>
      <w:r w:rsidR="002D4711">
        <w:t xml:space="preserve"> </w:t>
      </w:r>
      <w:r w:rsidR="002D51A1">
        <w:t xml:space="preserve">that </w:t>
      </w:r>
      <w:r w:rsidR="00CE121B">
        <w:t xml:space="preserve">published </w:t>
      </w:r>
      <w:r w:rsidR="00CE7486">
        <w:t>follow</w:t>
      </w:r>
      <w:r w:rsidR="00A004DC">
        <w:t xml:space="preserve"> </w:t>
      </w:r>
      <w:r w:rsidR="00CE7486">
        <w:t xml:space="preserve">up </w:t>
      </w:r>
      <w:r w:rsidR="002D4711">
        <w:t xml:space="preserve">is available for safety and efficacy outcomes to </w:t>
      </w:r>
      <w:r w:rsidR="0058096D">
        <w:t>1</w:t>
      </w:r>
      <w:r w:rsidR="002D4711">
        <w:t xml:space="preserve"> year.</w:t>
      </w:r>
      <w:r w:rsidR="00CE121B">
        <w:t xml:space="preserve"> The applicant confirmed that 2-year data have been presented at </w:t>
      </w:r>
      <w:r w:rsidR="00F017EF">
        <w:t xml:space="preserve">an international </w:t>
      </w:r>
      <w:r w:rsidR="00F96A86">
        <w:t>conference</w:t>
      </w:r>
      <w:r w:rsidR="00F017EF">
        <w:t>.</w:t>
      </w:r>
      <w:r w:rsidR="00753919">
        <w:rPr>
          <w:rStyle w:val="FootnoteReference"/>
        </w:rPr>
        <w:footnoteReference w:id="5"/>
      </w:r>
    </w:p>
    <w:p w14:paraId="742B025C" w14:textId="056BAB2F" w:rsidR="00864353" w:rsidRPr="00864353" w:rsidRDefault="00864353" w:rsidP="00154176">
      <w:r>
        <w:rPr>
          <w:rFonts w:asciiTheme="minorHAnsi" w:hAnsiTheme="minorHAnsi" w:cstheme="minorHAnsi"/>
          <w:i/>
          <w:iCs/>
        </w:rPr>
        <w:t xml:space="preserve">PASC noted that the applicant advised that further outcome data including beyond 12 months is expected to become available and may be presented </w:t>
      </w:r>
      <w:r w:rsidR="00DD7EE0">
        <w:rPr>
          <w:rFonts w:asciiTheme="minorHAnsi" w:hAnsiTheme="minorHAnsi" w:cstheme="minorHAnsi"/>
          <w:i/>
          <w:iCs/>
        </w:rPr>
        <w:t>in the assessment.</w:t>
      </w:r>
    </w:p>
    <w:p w14:paraId="6069F0B5" w14:textId="77777777" w:rsidR="00D73332" w:rsidRDefault="00D73332" w:rsidP="00713728">
      <w:pPr>
        <w:pStyle w:val="Heading2"/>
      </w:pPr>
      <w:r w:rsidRPr="00490FBB">
        <w:t>Clinical management algorithms</w:t>
      </w:r>
    </w:p>
    <w:p w14:paraId="2E427AFA" w14:textId="617F3903" w:rsidR="00B87405" w:rsidRDefault="00B87405" w:rsidP="00B87405">
      <w:r>
        <w:t xml:space="preserve">The </w:t>
      </w:r>
      <w:r w:rsidR="000905D9">
        <w:t>current</w:t>
      </w:r>
      <w:r>
        <w:t xml:space="preserve"> clinical management algorithm for </w:t>
      </w:r>
      <w:r w:rsidR="007614FE">
        <w:t>patients with severe, symptomatic TR</w:t>
      </w:r>
      <w:r>
        <w:t xml:space="preserve"> </w:t>
      </w:r>
      <w:r w:rsidR="00EC20B8">
        <w:t xml:space="preserve">despite OMT </w:t>
      </w:r>
      <w:r>
        <w:t xml:space="preserve">is shown in </w:t>
      </w:r>
      <w:r w:rsidR="000905D9">
        <w:fldChar w:fldCharType="begin"/>
      </w:r>
      <w:r w:rsidR="000905D9">
        <w:instrText xml:space="preserve"> REF _Ref190803230 \h </w:instrText>
      </w:r>
      <w:r w:rsidR="000905D9">
        <w:fldChar w:fldCharType="separate"/>
      </w:r>
      <w:r w:rsidR="00481F36" w:rsidRPr="00AD26D1">
        <w:t xml:space="preserve">Figure </w:t>
      </w:r>
      <w:r w:rsidR="00481F36">
        <w:rPr>
          <w:noProof/>
        </w:rPr>
        <w:t>1</w:t>
      </w:r>
      <w:r w:rsidR="000905D9">
        <w:fldChar w:fldCharType="end"/>
      </w:r>
      <w:r>
        <w:t xml:space="preserve">. </w:t>
      </w:r>
      <w:r w:rsidR="00B04275">
        <w:t>Patients receive testing</w:t>
      </w:r>
      <w:r>
        <w:t xml:space="preserve"> to determine </w:t>
      </w:r>
      <w:r w:rsidR="00CF3B6C">
        <w:t xml:space="preserve">TR aetiology, </w:t>
      </w:r>
      <w:r>
        <w:t xml:space="preserve">severity and </w:t>
      </w:r>
      <w:r w:rsidR="00CF3B6C">
        <w:t>suitability for surgery</w:t>
      </w:r>
      <w:r>
        <w:t xml:space="preserve">. </w:t>
      </w:r>
      <w:r w:rsidR="004A3F98">
        <w:t>K</w:t>
      </w:r>
      <w:r>
        <w:t>ey tests and resources include:</w:t>
      </w:r>
    </w:p>
    <w:p w14:paraId="34C26AE1" w14:textId="4035AC59" w:rsidR="00206B53" w:rsidRDefault="001A7F0D" w:rsidP="00B87405">
      <w:pPr>
        <w:pStyle w:val="ListParagraph"/>
        <w:numPr>
          <w:ilvl w:val="0"/>
          <w:numId w:val="14"/>
        </w:numPr>
      </w:pPr>
      <w:r>
        <w:t>i</w:t>
      </w:r>
      <w:r w:rsidR="00B87405">
        <w:t xml:space="preserve">nitial </w:t>
      </w:r>
      <w:r w:rsidR="00206B53">
        <w:t>c</w:t>
      </w:r>
      <w:r w:rsidR="00B87405">
        <w:t xml:space="preserve">linical </w:t>
      </w:r>
      <w:r w:rsidR="00206B53">
        <w:t>e</w:t>
      </w:r>
      <w:r w:rsidR="00B87405">
        <w:t>valuation</w:t>
      </w:r>
    </w:p>
    <w:p w14:paraId="5C890D7E" w14:textId="7980F769" w:rsidR="00B87405" w:rsidRDefault="00B26C35" w:rsidP="00CF3B6C">
      <w:pPr>
        <w:pStyle w:val="ListParagraph"/>
        <w:numPr>
          <w:ilvl w:val="1"/>
          <w:numId w:val="14"/>
        </w:numPr>
        <w:ind w:left="1134" w:hanging="425"/>
      </w:pPr>
      <w:r>
        <w:t>a</w:t>
      </w:r>
      <w:r w:rsidR="00B87405">
        <w:t xml:space="preserve">ssessment by a </w:t>
      </w:r>
      <w:r w:rsidR="000B3461">
        <w:t xml:space="preserve">GP </w:t>
      </w:r>
      <w:r w:rsidR="00B87405">
        <w:t>to review medical history for conditions associated with TR, including heart failure and other comorbidities</w:t>
      </w:r>
    </w:p>
    <w:p w14:paraId="10D789D2" w14:textId="34330D07" w:rsidR="00B87405" w:rsidRDefault="001A7F0D" w:rsidP="00206B53">
      <w:pPr>
        <w:pStyle w:val="ListParagraph"/>
        <w:numPr>
          <w:ilvl w:val="0"/>
          <w:numId w:val="14"/>
        </w:numPr>
      </w:pPr>
      <w:r>
        <w:t>d</w:t>
      </w:r>
      <w:r w:rsidR="00B87405">
        <w:t xml:space="preserve">iagnostic </w:t>
      </w:r>
      <w:r w:rsidR="00206B53">
        <w:t>i</w:t>
      </w:r>
      <w:r w:rsidR="00B87405">
        <w:t>maging</w:t>
      </w:r>
    </w:p>
    <w:p w14:paraId="391EC104" w14:textId="724E1BA7" w:rsidR="00550653" w:rsidRDefault="00B87405" w:rsidP="00CF3B6C">
      <w:pPr>
        <w:pStyle w:val="ListParagraph"/>
        <w:numPr>
          <w:ilvl w:val="1"/>
          <w:numId w:val="14"/>
        </w:numPr>
        <w:ind w:left="1134" w:hanging="425"/>
      </w:pPr>
      <w:r w:rsidRPr="004A3F98">
        <w:t>TTE</w:t>
      </w:r>
      <w:r w:rsidR="00550653" w:rsidRPr="004A3F98">
        <w:t xml:space="preserve"> is </w:t>
      </w:r>
      <w:r>
        <w:t>the primary imaging modality to evaluate valve structure and TR severity</w:t>
      </w:r>
    </w:p>
    <w:p w14:paraId="16C63155" w14:textId="1A3D5FEB" w:rsidR="00D7365B" w:rsidRPr="000B3461" w:rsidRDefault="00B87405" w:rsidP="00CF3B6C">
      <w:pPr>
        <w:pStyle w:val="ListParagraph"/>
        <w:numPr>
          <w:ilvl w:val="1"/>
          <w:numId w:val="14"/>
        </w:numPr>
        <w:ind w:left="1134" w:hanging="425"/>
      </w:pPr>
      <w:r w:rsidRPr="000B3461">
        <w:lastRenderedPageBreak/>
        <w:t>T</w:t>
      </w:r>
      <w:r w:rsidR="00766D43">
        <w:t>O</w:t>
      </w:r>
      <w:r w:rsidRPr="000B3461">
        <w:t>E</w:t>
      </w:r>
      <w:r w:rsidR="00D7365B" w:rsidRPr="000B3461">
        <w:t xml:space="preserve"> p</w:t>
      </w:r>
      <w:r w:rsidRPr="000B3461">
        <w:t>rovides detailed images, particularly when TTE results are inconclusive</w:t>
      </w:r>
    </w:p>
    <w:p w14:paraId="1C40D40D" w14:textId="3105D731" w:rsidR="00B87405" w:rsidRDefault="00B87405" w:rsidP="00CF3B6C">
      <w:pPr>
        <w:pStyle w:val="ListParagraph"/>
        <w:numPr>
          <w:ilvl w:val="1"/>
          <w:numId w:val="14"/>
        </w:numPr>
        <w:ind w:left="1134" w:hanging="425"/>
      </w:pPr>
      <w:r w:rsidRPr="00D37EC2">
        <w:t xml:space="preserve">CT </w:t>
      </w:r>
      <w:r w:rsidR="00D7365B" w:rsidRPr="00D37EC2">
        <w:t>s</w:t>
      </w:r>
      <w:r w:rsidRPr="00D37EC2">
        <w:t>can</w:t>
      </w:r>
      <w:r w:rsidR="00D7365B" w:rsidRPr="00D37EC2">
        <w:t xml:space="preserve"> is r</w:t>
      </w:r>
      <w:r w:rsidRPr="00D37EC2">
        <w:t>equired</w:t>
      </w:r>
      <w:r>
        <w:t xml:space="preserve"> </w:t>
      </w:r>
      <w:r w:rsidR="004A3F98">
        <w:t>to assess</w:t>
      </w:r>
      <w:r>
        <w:t xml:space="preserve"> the anatomy and suitability of the tricuspid valve area</w:t>
      </w:r>
    </w:p>
    <w:p w14:paraId="19E5CEFC" w14:textId="1E001BE6" w:rsidR="00BF5651" w:rsidRDefault="001A7F0D" w:rsidP="00CF3B6C">
      <w:pPr>
        <w:pStyle w:val="ListParagraph"/>
        <w:keepNext/>
        <w:numPr>
          <w:ilvl w:val="0"/>
          <w:numId w:val="14"/>
        </w:numPr>
        <w:ind w:left="714" w:hanging="357"/>
      </w:pPr>
      <w:r>
        <w:t>m</w:t>
      </w:r>
      <w:r w:rsidR="00B87405">
        <w:t xml:space="preserve">ultidisciplinary </w:t>
      </w:r>
      <w:r w:rsidR="0005013E">
        <w:t>h</w:t>
      </w:r>
      <w:r w:rsidR="00B87405">
        <w:t xml:space="preserve">eart </w:t>
      </w:r>
      <w:r w:rsidR="0005013E">
        <w:t>t</w:t>
      </w:r>
      <w:r w:rsidR="00B87405">
        <w:t xml:space="preserve">eam </w:t>
      </w:r>
      <w:r w:rsidR="00BF5651">
        <w:t>a</w:t>
      </w:r>
      <w:r w:rsidR="00B87405">
        <w:t>ssessment</w:t>
      </w:r>
    </w:p>
    <w:p w14:paraId="76A7A87A" w14:textId="53E4C1C7" w:rsidR="00FB3C1E" w:rsidRDefault="00BF5651" w:rsidP="00CF3B6C">
      <w:pPr>
        <w:pStyle w:val="ListParagraph"/>
        <w:numPr>
          <w:ilvl w:val="1"/>
          <w:numId w:val="14"/>
        </w:numPr>
        <w:ind w:left="1134" w:hanging="425"/>
      </w:pPr>
      <w:r>
        <w:t>e</w:t>
      </w:r>
      <w:r w:rsidR="00B87405">
        <w:t>valuation by a team consisting of an interventional cardiologist, a cardiac imaging specialist, and potentially a cardiothoracic surgeon</w:t>
      </w:r>
      <w:r w:rsidR="009B0DFD">
        <w:t xml:space="preserve">, </w:t>
      </w:r>
      <w:r w:rsidR="006F11E7">
        <w:t>that</w:t>
      </w:r>
      <w:r w:rsidR="00B87405">
        <w:t xml:space="preserve"> assess the patient's overall risk, anatomy, and </w:t>
      </w:r>
      <w:r w:rsidR="00C23866">
        <w:t>suitability</w:t>
      </w:r>
      <w:r w:rsidR="00B87405">
        <w:t xml:space="preserve"> for </w:t>
      </w:r>
      <w:r w:rsidR="000500AE">
        <w:t xml:space="preserve">further </w:t>
      </w:r>
      <w:r w:rsidR="00E95992">
        <w:t>intervention</w:t>
      </w:r>
      <w:r w:rsidR="00B87405">
        <w:t>.</w:t>
      </w:r>
    </w:p>
    <w:p w14:paraId="674CB16A" w14:textId="07AA5515" w:rsidR="008E77D7" w:rsidRDefault="008E77D7" w:rsidP="008E77D7">
      <w:r>
        <w:t xml:space="preserve">Several </w:t>
      </w:r>
      <w:r w:rsidR="00071C09">
        <w:t xml:space="preserve">surgical </w:t>
      </w:r>
      <w:r>
        <w:t>risk assessment</w:t>
      </w:r>
      <w:r w:rsidR="00071C09">
        <w:t xml:space="preserve"> tools are available</w:t>
      </w:r>
      <w:r>
        <w:t xml:space="preserve">, </w:t>
      </w:r>
      <w:r w:rsidR="00071C09">
        <w:t xml:space="preserve">such as </w:t>
      </w:r>
      <w:r>
        <w:t xml:space="preserve">the </w:t>
      </w:r>
      <w:r w:rsidR="00071C09">
        <w:t xml:space="preserve">EuroSCORE, the Society of Thoracic Surgeons (STS) Risk Score, and the </w:t>
      </w:r>
      <w:r>
        <w:t>TRI-SCORE scoring system</w:t>
      </w:r>
      <w:r w:rsidR="00C444C2">
        <w:t xml:space="preserve">, which is </w:t>
      </w:r>
      <w:r>
        <w:t>a new</w:t>
      </w:r>
      <w:r w:rsidR="003A0E0E">
        <w:t>er</w:t>
      </w:r>
      <w:r>
        <w:t xml:space="preserve"> risk score for in-hospital mortality prediction following isolated TV surgery, based on a large multicent</w:t>
      </w:r>
      <w:r w:rsidR="00071C09">
        <w:t>re</w:t>
      </w:r>
      <w:r>
        <w:t xml:space="preserve"> </w:t>
      </w:r>
      <w:r w:rsidRPr="00D536DA">
        <w:t>database</w:t>
      </w:r>
      <w:r w:rsidR="00C444C2" w:rsidRPr="00D536DA">
        <w:t xml:space="preserve"> (</w:t>
      </w:r>
      <w:r w:rsidR="00334258" w:rsidRPr="00D536DA">
        <w:t>Gröger et al. 2023</w:t>
      </w:r>
      <w:r w:rsidR="00071C09" w:rsidRPr="00D536DA">
        <w:t>).</w:t>
      </w:r>
    </w:p>
    <w:p w14:paraId="0BEE6BBE" w14:textId="5B0D9E0D" w:rsidR="00E92B0C" w:rsidRDefault="00E92B0C" w:rsidP="00154176">
      <w:pPr>
        <w:autoSpaceDE w:val="0"/>
        <w:autoSpaceDN w:val="0"/>
        <w:adjustRightInd w:val="0"/>
      </w:pPr>
      <w:r>
        <w:rPr>
          <w:rFonts w:asciiTheme="minorHAnsi" w:hAnsiTheme="minorHAnsi" w:cstheme="minorHAnsi"/>
          <w:i/>
          <w:iCs/>
        </w:rPr>
        <w:t xml:space="preserve">PASC noted that patients who </w:t>
      </w:r>
      <w:r w:rsidR="004106AD">
        <w:rPr>
          <w:rFonts w:asciiTheme="minorHAnsi" w:hAnsiTheme="minorHAnsi" w:cstheme="minorHAnsi"/>
          <w:i/>
          <w:iCs/>
        </w:rPr>
        <w:t>may be surgical candidates</w:t>
      </w:r>
      <w:r>
        <w:rPr>
          <w:rFonts w:asciiTheme="minorHAnsi" w:hAnsiTheme="minorHAnsi" w:cstheme="minorHAnsi"/>
          <w:i/>
          <w:iCs/>
        </w:rPr>
        <w:t xml:space="preserve"> may decline it</w:t>
      </w:r>
      <w:r w:rsidR="004106AD">
        <w:rPr>
          <w:rFonts w:asciiTheme="minorHAnsi" w:hAnsiTheme="minorHAnsi" w:cstheme="minorHAnsi"/>
          <w:i/>
          <w:iCs/>
        </w:rPr>
        <w:t>,</w:t>
      </w:r>
      <w:r>
        <w:rPr>
          <w:rFonts w:asciiTheme="minorHAnsi" w:hAnsiTheme="minorHAnsi" w:cstheme="minorHAnsi"/>
          <w:i/>
          <w:iCs/>
        </w:rPr>
        <w:t xml:space="preserve"> or not be offered it due to surgeon reluctance, given the high morbidity and mortality associated with isolated tricuspid valve surgical intervention and concerns around the reliability of surgical risk prediction tools in this patient cohort.</w:t>
      </w:r>
    </w:p>
    <w:p w14:paraId="2F1A21FA" w14:textId="3DF71809" w:rsidR="00FC176D" w:rsidRDefault="00225A43" w:rsidP="0006708D">
      <w:r w:rsidRPr="00944640">
        <w:t xml:space="preserve">Without the proposed health technology, patients </w:t>
      </w:r>
      <w:r w:rsidR="00944640" w:rsidRPr="00944640">
        <w:t xml:space="preserve">with </w:t>
      </w:r>
      <w:r w:rsidR="00944640">
        <w:t xml:space="preserve">severe, </w:t>
      </w:r>
      <w:r w:rsidR="00944640" w:rsidRPr="00944640">
        <w:t>symptomatic</w:t>
      </w:r>
      <w:r w:rsidR="00944640">
        <w:t xml:space="preserve"> </w:t>
      </w:r>
      <w:r w:rsidR="00944640" w:rsidRPr="00944640">
        <w:t xml:space="preserve">TR </w:t>
      </w:r>
      <w:r w:rsidR="004F642D">
        <w:t xml:space="preserve">may be </w:t>
      </w:r>
      <w:r w:rsidR="005A6EF8">
        <w:t>considered,</w:t>
      </w:r>
      <w:r w:rsidR="004F642D">
        <w:t xml:space="preserve"> </w:t>
      </w:r>
      <w:r w:rsidR="005A6EF8">
        <w:t>on the basis of clinical and technical factors, for TTV repair</w:t>
      </w:r>
      <w:r w:rsidR="00F0101E">
        <w:t>. T</w:t>
      </w:r>
      <w:r w:rsidR="00E127D5">
        <w:t xml:space="preserve">he PASCAL Precision System and the TriClip Transcatheter Tricuspid Valve Repair System are </w:t>
      </w:r>
      <w:r w:rsidR="00B52BBF">
        <w:t>commercially available in Australia</w:t>
      </w:r>
      <w:r w:rsidR="00F0101E">
        <w:t xml:space="preserve"> </w:t>
      </w:r>
      <w:r w:rsidR="00E127D5">
        <w:t xml:space="preserve">for </w:t>
      </w:r>
      <w:r w:rsidR="00F0101E">
        <w:t>this purpose</w:t>
      </w:r>
      <w:r w:rsidR="00452FF8">
        <w:t xml:space="preserve"> but uptake of the technology in</w:t>
      </w:r>
      <w:r w:rsidR="000531E7">
        <w:t xml:space="preserve"> the private setting </w:t>
      </w:r>
      <w:r w:rsidR="00452FF8">
        <w:t>is limited</w:t>
      </w:r>
      <w:r w:rsidR="00BE71C4">
        <w:t xml:space="preserve"> (hence the perforated arrows in </w:t>
      </w:r>
      <w:r w:rsidR="00BE71C4">
        <w:fldChar w:fldCharType="begin"/>
      </w:r>
      <w:r w:rsidR="00BE71C4">
        <w:instrText xml:space="preserve"> REF _Ref190803230 \h </w:instrText>
      </w:r>
      <w:r w:rsidR="00BE71C4">
        <w:fldChar w:fldCharType="separate"/>
      </w:r>
      <w:r w:rsidR="00481F36" w:rsidRPr="00AD26D1">
        <w:t xml:space="preserve">Figure </w:t>
      </w:r>
      <w:r w:rsidR="00481F36">
        <w:rPr>
          <w:noProof/>
        </w:rPr>
        <w:t>1</w:t>
      </w:r>
      <w:r w:rsidR="00BE71C4">
        <w:fldChar w:fldCharType="end"/>
      </w:r>
      <w:r w:rsidR="00BE71C4">
        <w:t>)</w:t>
      </w:r>
      <w:r w:rsidR="004F642D">
        <w:t>.</w:t>
      </w:r>
    </w:p>
    <w:p w14:paraId="063917A0" w14:textId="7561921B" w:rsidR="008C31AC" w:rsidRDefault="00DE08EB" w:rsidP="008C31AC">
      <w:r>
        <w:rPr>
          <w:rFonts w:asciiTheme="minorHAnsi" w:hAnsiTheme="minorHAnsi" w:cstheme="minorHAnsi"/>
          <w:i/>
          <w:iCs/>
        </w:rPr>
        <w:t xml:space="preserve">PASC </w:t>
      </w:r>
      <w:r w:rsidR="00ED0BD3">
        <w:rPr>
          <w:rFonts w:asciiTheme="minorHAnsi" w:hAnsiTheme="minorHAnsi" w:cstheme="minorHAnsi"/>
          <w:i/>
          <w:iCs/>
        </w:rPr>
        <w:t>noted</w:t>
      </w:r>
      <w:r>
        <w:rPr>
          <w:rFonts w:asciiTheme="minorHAnsi" w:hAnsiTheme="minorHAnsi" w:cstheme="minorHAnsi"/>
          <w:i/>
          <w:iCs/>
        </w:rPr>
        <w:t xml:space="preserve"> that TTV repair is currently undertaken at public hospitals but not at private hospitals because the procedure is not listed on the MBS nor are the devices </w:t>
      </w:r>
      <w:r w:rsidR="00C63542">
        <w:rPr>
          <w:rFonts w:asciiTheme="minorHAnsi" w:hAnsiTheme="minorHAnsi" w:cstheme="minorHAnsi"/>
          <w:i/>
          <w:iCs/>
        </w:rPr>
        <w:t>funded fo</w:t>
      </w:r>
      <w:r w:rsidR="003202B1">
        <w:rPr>
          <w:rFonts w:asciiTheme="minorHAnsi" w:hAnsiTheme="minorHAnsi" w:cstheme="minorHAnsi"/>
          <w:i/>
          <w:iCs/>
        </w:rPr>
        <w:t>r this indication</w:t>
      </w:r>
      <w:r>
        <w:rPr>
          <w:rFonts w:asciiTheme="minorHAnsi" w:hAnsiTheme="minorHAnsi" w:cstheme="minorHAnsi"/>
          <w:i/>
          <w:iCs/>
        </w:rPr>
        <w:t xml:space="preserve"> on the PL. For that reason, PASC questioned whether TTV repair should be included in the clinical management algorithms. However, PASC were advised by the applicant’s clinical expert that TTV repair is currently being undertaken in the public setting in Australia and to a limited extent in the private setting.</w:t>
      </w:r>
      <w:r w:rsidR="008C31AC">
        <w:rPr>
          <w:rFonts w:asciiTheme="minorHAnsi" w:hAnsiTheme="minorHAnsi" w:cstheme="minorHAnsi"/>
          <w:i/>
          <w:iCs/>
        </w:rPr>
        <w:t xml:space="preserve"> PASC noted that the optimal TTVI approach would be determined by the multidisciplinary heart team on a case-by-case basis; some patients may be more suited to one technique than the other.</w:t>
      </w:r>
    </w:p>
    <w:p w14:paraId="501834CC" w14:textId="5D714948" w:rsidR="0006708D" w:rsidRPr="0094484A" w:rsidRDefault="0006708D" w:rsidP="0006708D">
      <w:r w:rsidRPr="00FC176D">
        <w:t xml:space="preserve">The 2021 ESC/EACTS algorithm for the management of TR (Figure 8, p.598 of the </w:t>
      </w:r>
      <w:r w:rsidR="00437D7F" w:rsidRPr="00FC176D">
        <w:t xml:space="preserve">published </w:t>
      </w:r>
      <w:r w:rsidRPr="00FC176D">
        <w:t xml:space="preserve">guidelines) </w:t>
      </w:r>
      <w:r w:rsidR="004362FB">
        <w:t xml:space="preserve">shows TTVI as an option for patients with </w:t>
      </w:r>
      <w:r w:rsidR="001B4C5C">
        <w:t xml:space="preserve">severe, symptomatic secondary TR but </w:t>
      </w:r>
      <w:r w:rsidR="00376672">
        <w:t xml:space="preserve">the guidelines </w:t>
      </w:r>
      <w:r w:rsidRPr="00FC176D">
        <w:t xml:space="preserve">remain silent on </w:t>
      </w:r>
      <w:r w:rsidR="00BC6B81">
        <w:t>it as an option</w:t>
      </w:r>
      <w:r w:rsidRPr="00FC176D">
        <w:t xml:space="preserve"> for</w:t>
      </w:r>
      <w:r w:rsidR="00BC6B81">
        <w:t xml:space="preserve"> patients with</w:t>
      </w:r>
      <w:r w:rsidRPr="00FC176D">
        <w:t xml:space="preserve"> primary TR. The applicant’s clinical expert advised that </w:t>
      </w:r>
      <w:r w:rsidR="004F7B31">
        <w:t xml:space="preserve">the European </w:t>
      </w:r>
      <w:r w:rsidRPr="00FC176D">
        <w:t>guidance is likely to evolve in future updates of the guidelines to reflect more recent evidence for the use of TTVI in patients with severe, symptomatic primary or secondary TR.</w:t>
      </w:r>
      <w:r w:rsidRPr="00FC176D">
        <w:rPr>
          <w:rStyle w:val="FootnoteReference"/>
        </w:rPr>
        <w:footnoteReference w:id="6"/>
      </w:r>
    </w:p>
    <w:p w14:paraId="6D83D019" w14:textId="7C754465" w:rsidR="004F642D" w:rsidRDefault="000C0550" w:rsidP="00A47063">
      <w:r>
        <w:t>If</w:t>
      </w:r>
      <w:r w:rsidR="00324238">
        <w:t xml:space="preserve"> TTV repair</w:t>
      </w:r>
      <w:r>
        <w:t xml:space="preserve"> </w:t>
      </w:r>
      <w:r w:rsidR="00161F64">
        <w:t>is undertaken</w:t>
      </w:r>
      <w:r w:rsidR="00EE4E72">
        <w:t>, patients</w:t>
      </w:r>
      <w:r w:rsidR="00324238">
        <w:t xml:space="preserve"> </w:t>
      </w:r>
      <w:r w:rsidR="00DB4877">
        <w:t>continue OMT, with adjustments to medications and/or doses as determined by their treating physician</w:t>
      </w:r>
      <w:r w:rsidR="00DB4877" w:rsidRPr="0094484A">
        <w:t>.</w:t>
      </w:r>
    </w:p>
    <w:p w14:paraId="05C7AC28" w14:textId="2E51A104" w:rsidR="005661A1" w:rsidRDefault="00DB4877" w:rsidP="00B30346">
      <w:r>
        <w:t xml:space="preserve">Patients </w:t>
      </w:r>
      <w:r w:rsidR="005A0A85">
        <w:t xml:space="preserve">who are considered unsuitable for </w:t>
      </w:r>
      <w:r w:rsidR="00BD6CF0">
        <w:t xml:space="preserve">surgery or </w:t>
      </w:r>
      <w:r w:rsidR="005A0A85">
        <w:t xml:space="preserve">TTV repair </w:t>
      </w:r>
      <w:r w:rsidR="00225A43" w:rsidRPr="00944640">
        <w:t>remain on OMT</w:t>
      </w:r>
      <w:r w:rsidR="00FC176D">
        <w:t xml:space="preserve"> and </w:t>
      </w:r>
      <w:r w:rsidR="00225A43" w:rsidRPr="006D4585">
        <w:t>typically require ongoing monitoring of weight, blood pressure</w:t>
      </w:r>
      <w:r w:rsidR="004F78C3">
        <w:t xml:space="preserve"> and </w:t>
      </w:r>
      <w:r w:rsidR="00225A43" w:rsidRPr="006D4585">
        <w:t>symptom exacerbation, alongside full blood tests for renal function and electrolytes.</w:t>
      </w:r>
      <w:r w:rsidR="004F642D">
        <w:t xml:space="preserve"> </w:t>
      </w:r>
    </w:p>
    <w:p w14:paraId="47A3002D" w14:textId="339FCCB3" w:rsidR="002B5233" w:rsidRPr="00AD26D1" w:rsidRDefault="002B5233" w:rsidP="002B5233">
      <w:pPr>
        <w:pStyle w:val="Caption"/>
        <w:rPr>
          <w:lang w:val="en-AU"/>
        </w:rPr>
      </w:pPr>
      <w:bookmarkStart w:id="10" w:name="_Ref190803230"/>
      <w:r w:rsidRPr="00AD26D1">
        <w:rPr>
          <w:lang w:val="en-AU"/>
        </w:rPr>
        <w:lastRenderedPageBreak/>
        <w:t xml:space="preserve">Figure </w:t>
      </w:r>
      <w:r w:rsidRPr="00AD26D1">
        <w:rPr>
          <w:lang w:val="en-AU"/>
        </w:rPr>
        <w:fldChar w:fldCharType="begin"/>
      </w:r>
      <w:r w:rsidRPr="00AD26D1">
        <w:rPr>
          <w:lang w:val="en-AU"/>
        </w:rPr>
        <w:instrText xml:space="preserve"> SEQ Figure \* ARABIC </w:instrText>
      </w:r>
      <w:r w:rsidRPr="00AD26D1">
        <w:rPr>
          <w:lang w:val="en-AU"/>
        </w:rPr>
        <w:fldChar w:fldCharType="separate"/>
      </w:r>
      <w:r w:rsidR="00481F36">
        <w:rPr>
          <w:noProof/>
          <w:lang w:val="en-AU"/>
        </w:rPr>
        <w:t>1</w:t>
      </w:r>
      <w:r w:rsidRPr="00AD26D1">
        <w:rPr>
          <w:lang w:val="en-AU"/>
        </w:rPr>
        <w:fldChar w:fldCharType="end"/>
      </w:r>
      <w:bookmarkEnd w:id="10"/>
      <w:r w:rsidRPr="00AD26D1">
        <w:rPr>
          <w:lang w:val="en-AU"/>
        </w:rPr>
        <w:tab/>
      </w:r>
      <w:r w:rsidR="00060509" w:rsidRPr="00AD26D1">
        <w:rPr>
          <w:lang w:val="en-AU"/>
        </w:rPr>
        <w:t>C</w:t>
      </w:r>
      <w:r w:rsidRPr="00AD26D1">
        <w:rPr>
          <w:lang w:val="en-AU"/>
        </w:rPr>
        <w:t xml:space="preserve">linical management algorithm </w:t>
      </w:r>
      <w:r w:rsidR="00060509" w:rsidRPr="00AD26D1">
        <w:rPr>
          <w:lang w:val="en-AU"/>
        </w:rPr>
        <w:t xml:space="preserve">for </w:t>
      </w:r>
      <w:r w:rsidRPr="00AD26D1">
        <w:rPr>
          <w:lang w:val="en-AU"/>
        </w:rPr>
        <w:t>patients with severe TR</w:t>
      </w:r>
      <w:r w:rsidR="00577DB9" w:rsidRPr="00AD26D1">
        <w:rPr>
          <w:lang w:val="en-AU"/>
        </w:rPr>
        <w:t>: current practice without TTVR</w:t>
      </w:r>
    </w:p>
    <w:p w14:paraId="4FA9A0B0" w14:textId="77777777" w:rsidR="00913426" w:rsidRDefault="00913426" w:rsidP="00913426">
      <w:pPr>
        <w:pStyle w:val="Tablenotes"/>
        <w:spacing w:before="120"/>
        <w:contextualSpacing w:val="0"/>
        <w:jc w:val="center"/>
      </w:pPr>
      <w:r>
        <w:rPr>
          <w:noProof/>
        </w:rPr>
        <w:drawing>
          <wp:inline distT="0" distB="0" distL="0" distR="0" wp14:anchorId="5D81F3A5" wp14:editId="2082A49B">
            <wp:extent cx="4029710" cy="4359275"/>
            <wp:effectExtent l="0" t="0" r="8890" b="3175"/>
            <wp:docPr id="2059017947" name="Picture 1" descr="The figure shows the current clinical management algorithm for patients with severe TR. Treatment options include surgical repair or replacement, TTV repair and/or continued O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17947" name="Picture 1" descr="The figure shows the current clinical management algorithm for patients with severe TR. Treatment options include surgical repair or replacement, TTV repair and/or continued OM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29710" cy="4359275"/>
                    </a:xfrm>
                    <a:prstGeom prst="rect">
                      <a:avLst/>
                    </a:prstGeom>
                    <a:noFill/>
                  </pic:spPr>
                </pic:pic>
              </a:graphicData>
            </a:graphic>
          </wp:inline>
        </w:drawing>
      </w:r>
    </w:p>
    <w:p w14:paraId="6FF8A649" w14:textId="084B668B" w:rsidR="00C30898" w:rsidRDefault="00F456B0" w:rsidP="0078707B">
      <w:pPr>
        <w:pStyle w:val="Tablenotes"/>
        <w:spacing w:before="120" w:after="360"/>
      </w:pPr>
      <w:r w:rsidRPr="00F456B0">
        <w:t xml:space="preserve">Source: </w:t>
      </w:r>
      <w:r w:rsidR="00C92A60">
        <w:t>Prepared by the assessment group</w:t>
      </w:r>
      <w:r w:rsidR="00C30898">
        <w:t>.</w:t>
      </w:r>
    </w:p>
    <w:p w14:paraId="3F74EB2A" w14:textId="3BAC89DC" w:rsidR="00A035E3" w:rsidRPr="00A035E3" w:rsidRDefault="00A035E3" w:rsidP="00A035E3">
      <w:pPr>
        <w:pStyle w:val="Tablenotes"/>
        <w:spacing w:after="360"/>
      </w:pPr>
      <w:r w:rsidRPr="00A035E3">
        <w:t xml:space="preserve">LVEF = left ventricular ejection fraction; MDHT = multidisciplinary heart team; </w:t>
      </w:r>
      <w:r w:rsidR="007D5989">
        <w:t xml:space="preserve">NYHA = </w:t>
      </w:r>
      <w:r w:rsidR="007D5989" w:rsidRPr="007D5989">
        <w:t>New York Heart Association</w:t>
      </w:r>
      <w:r w:rsidR="00395A1B">
        <w:t>;</w:t>
      </w:r>
      <w:r w:rsidR="007D5989" w:rsidRPr="007D5989">
        <w:t xml:space="preserve"> </w:t>
      </w:r>
      <w:r w:rsidRPr="00A035E3">
        <w:t>OMT = optimal medical therapy; TR = tricuspid regurgitation; TTV = transcatheter tricuspid valve</w:t>
      </w:r>
      <w:r w:rsidR="00681373">
        <w:t xml:space="preserve">; </w:t>
      </w:r>
      <w:r w:rsidR="00681373" w:rsidRPr="00A035E3">
        <w:t>TTV</w:t>
      </w:r>
      <w:r w:rsidR="00681373">
        <w:t>I</w:t>
      </w:r>
      <w:r w:rsidR="00681373" w:rsidRPr="00A035E3">
        <w:t xml:space="preserve"> = transcatheter tricuspid valve</w:t>
      </w:r>
      <w:r w:rsidR="00681373">
        <w:t xml:space="preserve"> intervention</w:t>
      </w:r>
      <w:r w:rsidRPr="00A035E3">
        <w:t>.</w:t>
      </w:r>
    </w:p>
    <w:p w14:paraId="6CCA06DF" w14:textId="190FB0AA" w:rsidR="001949C7" w:rsidRDefault="001949C7" w:rsidP="00A035E3">
      <w:pPr>
        <w:pStyle w:val="Tablenotes"/>
        <w:spacing w:after="360"/>
      </w:pPr>
      <w:r>
        <w:t>N</w:t>
      </w:r>
      <w:r w:rsidR="00A87460">
        <w:t>ote</w:t>
      </w:r>
      <w:r>
        <w:t xml:space="preserve">: </w:t>
      </w:r>
      <w:r w:rsidR="007B5248">
        <w:t>Perforated</w:t>
      </w:r>
      <w:r>
        <w:t xml:space="preserve"> </w:t>
      </w:r>
      <w:r w:rsidR="00B269A5">
        <w:t>arrow</w:t>
      </w:r>
      <w:r>
        <w:t xml:space="preserve"> </w:t>
      </w:r>
      <w:r w:rsidR="00A87460">
        <w:t>indicates</w:t>
      </w:r>
      <w:r>
        <w:t xml:space="preserve"> limited uptake of intervention in the private setting.</w:t>
      </w:r>
    </w:p>
    <w:p w14:paraId="036E8812" w14:textId="763866BB" w:rsidR="00A035E3" w:rsidRPr="00A035E3" w:rsidRDefault="00A035E3" w:rsidP="00A035E3">
      <w:pPr>
        <w:pStyle w:val="Tablenotes"/>
        <w:spacing w:after="360"/>
      </w:pPr>
      <w:r w:rsidRPr="00A035E3">
        <w:t xml:space="preserve">a Severity determined by echocardiography using </w:t>
      </w:r>
      <w:r w:rsidR="003845A3" w:rsidRPr="00A035E3">
        <w:t xml:space="preserve">American Society of Echocardiography </w:t>
      </w:r>
      <w:r w:rsidR="003845A3">
        <w:t>(</w:t>
      </w:r>
      <w:r w:rsidRPr="00A035E3">
        <w:t>ASE</w:t>
      </w:r>
      <w:r w:rsidR="003845A3">
        <w:t>)</w:t>
      </w:r>
      <w:r w:rsidRPr="00A035E3">
        <w:t xml:space="preserve"> grading.</w:t>
      </w:r>
    </w:p>
    <w:p w14:paraId="4266DDE6" w14:textId="77777777" w:rsidR="00A035E3" w:rsidRPr="00A035E3" w:rsidRDefault="00A035E3" w:rsidP="00A035E3">
      <w:pPr>
        <w:pStyle w:val="Tablenotes"/>
        <w:spacing w:after="360"/>
      </w:pPr>
      <w:r w:rsidRPr="00A035E3">
        <w:t>b Symptomatic = NYHA functional class II or greater.</w:t>
      </w:r>
    </w:p>
    <w:p w14:paraId="7F5BA5B4" w14:textId="6135C9E0" w:rsidR="00A035E3" w:rsidRPr="00A035E3" w:rsidRDefault="00A035E3" w:rsidP="00A035E3">
      <w:pPr>
        <w:pStyle w:val="Tablenotes"/>
        <w:spacing w:after="360"/>
      </w:pPr>
      <w:r w:rsidRPr="00A035E3">
        <w:t>c OMT refers to stable oral diuretic therapy</w:t>
      </w:r>
      <w:r w:rsidR="00B95B8C">
        <w:t xml:space="preserve"> at a minimum</w:t>
      </w:r>
      <w:r w:rsidRPr="00A035E3">
        <w:t>.</w:t>
      </w:r>
    </w:p>
    <w:p w14:paraId="79F0F2D5" w14:textId="77777777" w:rsidR="00A035E3" w:rsidRPr="00A035E3" w:rsidRDefault="00A035E3" w:rsidP="00A035E3">
      <w:pPr>
        <w:pStyle w:val="Tablenotes"/>
        <w:spacing w:after="360"/>
      </w:pPr>
      <w:r w:rsidRPr="00A035E3">
        <w:t>d Patients are considered for surgery by a multidisciplinary heart team, combining surgical risk assessment, frailty, major organ dysfunction and procedure-specific impediments.</w:t>
      </w:r>
    </w:p>
    <w:p w14:paraId="62728FE0" w14:textId="7B23E66F" w:rsidR="00A035E3" w:rsidRDefault="00A035E3" w:rsidP="00C30898">
      <w:pPr>
        <w:pStyle w:val="Tablenotes"/>
        <w:spacing w:after="360"/>
      </w:pPr>
      <w:r w:rsidRPr="00A035E3">
        <w:t xml:space="preserve">e Patients are considered for TTV repair </w:t>
      </w:r>
      <w:r w:rsidR="002454AE">
        <w:t>based on clinical and technical factors</w:t>
      </w:r>
      <w:r w:rsidR="00B27375">
        <w:t>.</w:t>
      </w:r>
    </w:p>
    <w:p w14:paraId="678B31BE" w14:textId="4BC1DD37" w:rsidR="00CE2EAE" w:rsidRDefault="00FB3C1E" w:rsidP="00CE2EAE">
      <w:r>
        <w:t xml:space="preserve">The </w:t>
      </w:r>
      <w:r w:rsidRPr="0094484A">
        <w:t>proposed clinical management algorithm</w:t>
      </w:r>
      <w:r w:rsidR="00902FF3">
        <w:t xml:space="preserve"> </w:t>
      </w:r>
      <w:r w:rsidR="00DF2357">
        <w:t>–</w:t>
      </w:r>
      <w:r w:rsidR="00701D57">
        <w:t xml:space="preserve"> </w:t>
      </w:r>
      <w:r w:rsidR="00DF2357">
        <w:t xml:space="preserve">with </w:t>
      </w:r>
      <w:r w:rsidR="005061BC">
        <w:t>TTVR</w:t>
      </w:r>
      <w:r w:rsidR="00DF2357">
        <w:t>–</w:t>
      </w:r>
      <w:r w:rsidR="00B95B8C">
        <w:t xml:space="preserve"> </w:t>
      </w:r>
      <w:r w:rsidRPr="0094484A">
        <w:t xml:space="preserve">is shown in </w:t>
      </w:r>
      <w:r w:rsidRPr="0094484A">
        <w:fldChar w:fldCharType="begin"/>
      </w:r>
      <w:r w:rsidRPr="0094484A">
        <w:instrText xml:space="preserve"> REF _Ref190803407 \h  \* MERGEFORMAT </w:instrText>
      </w:r>
      <w:r w:rsidRPr="0094484A">
        <w:fldChar w:fldCharType="separate"/>
      </w:r>
      <w:r w:rsidR="00481F36" w:rsidRPr="00AD26D1">
        <w:t xml:space="preserve">Figure </w:t>
      </w:r>
      <w:r w:rsidR="00481F36">
        <w:t>2</w:t>
      </w:r>
      <w:r w:rsidRPr="0094484A">
        <w:fldChar w:fldCharType="end"/>
      </w:r>
      <w:r w:rsidRPr="0094484A">
        <w:t>.</w:t>
      </w:r>
    </w:p>
    <w:p w14:paraId="742F6A23" w14:textId="53AF0233" w:rsidR="00EA0B69" w:rsidRDefault="003B4942" w:rsidP="00792AF4">
      <w:r w:rsidRPr="0094484A">
        <w:t>The application claim</w:t>
      </w:r>
      <w:r w:rsidR="00511E1F">
        <w:t>ed</w:t>
      </w:r>
      <w:r w:rsidRPr="0094484A">
        <w:t xml:space="preserve"> that resource utilisation </w:t>
      </w:r>
      <w:r w:rsidR="00C91FDA" w:rsidRPr="004C5E49">
        <w:rPr>
          <w:i/>
          <w:iCs/>
        </w:rPr>
        <w:t>prior</w:t>
      </w:r>
      <w:r w:rsidR="00C91FDA" w:rsidRPr="0094484A">
        <w:t xml:space="preserve"> to the use of TTVR will be the same </w:t>
      </w:r>
      <w:r w:rsidR="003C20B3" w:rsidRPr="0094484A">
        <w:t xml:space="preserve">for </w:t>
      </w:r>
      <w:r w:rsidR="00C91FDA" w:rsidRPr="0094484A">
        <w:t xml:space="preserve">the current </w:t>
      </w:r>
      <w:r w:rsidR="00B062B6" w:rsidRPr="0094484A">
        <w:t xml:space="preserve">and proposed </w:t>
      </w:r>
      <w:r w:rsidR="00B26C35" w:rsidRPr="0094484A">
        <w:t>clinical management algorithm</w:t>
      </w:r>
      <w:r w:rsidR="00B062B6" w:rsidRPr="0094484A">
        <w:t>s</w:t>
      </w:r>
      <w:r w:rsidR="00B26C35" w:rsidRPr="0094484A">
        <w:t>.</w:t>
      </w:r>
    </w:p>
    <w:p w14:paraId="6438141E" w14:textId="3F4629FE" w:rsidR="003B6713" w:rsidRDefault="00792AF4" w:rsidP="00873F35">
      <w:r w:rsidRPr="0094484A">
        <w:t xml:space="preserve">With the proposed health technology, patients with severe, symptomatic TR </w:t>
      </w:r>
      <w:r w:rsidR="0094484A">
        <w:t>will be</w:t>
      </w:r>
      <w:r w:rsidRPr="0094484A">
        <w:t xml:space="preserve"> assessed for </w:t>
      </w:r>
      <w:r w:rsidR="00087A88">
        <w:t xml:space="preserve">suitability for a </w:t>
      </w:r>
      <w:r w:rsidR="00DD37EB">
        <w:t>transcatheter intervention</w:t>
      </w:r>
      <w:r w:rsidR="007A4D74">
        <w:t xml:space="preserve"> </w:t>
      </w:r>
      <w:r w:rsidR="007A4D74" w:rsidRPr="0094484A">
        <w:t xml:space="preserve">by </w:t>
      </w:r>
      <w:r w:rsidR="007A4D74">
        <w:t>a</w:t>
      </w:r>
      <w:r w:rsidR="007A4D74" w:rsidRPr="0094484A">
        <w:t xml:space="preserve"> multidisciplinary </w:t>
      </w:r>
      <w:r w:rsidR="007A4D74">
        <w:t>h</w:t>
      </w:r>
      <w:r w:rsidR="007A4D74" w:rsidRPr="0094484A">
        <w:t xml:space="preserve">eart </w:t>
      </w:r>
      <w:r w:rsidR="007A4D74">
        <w:t>t</w:t>
      </w:r>
      <w:r w:rsidR="007A4D74" w:rsidRPr="0094484A">
        <w:t>eam</w:t>
      </w:r>
      <w:r w:rsidRPr="0094484A">
        <w:t xml:space="preserve">. </w:t>
      </w:r>
      <w:r w:rsidR="004B44D3" w:rsidRPr="004B44D3">
        <w:t xml:space="preserve">The heart team determines </w:t>
      </w:r>
      <w:r w:rsidR="00552938">
        <w:t>whether the patient is appropriate for surgery</w:t>
      </w:r>
      <w:r w:rsidR="005B632B">
        <w:t xml:space="preserve"> or suitable</w:t>
      </w:r>
      <w:r w:rsidR="004B44D3" w:rsidRPr="004B44D3">
        <w:t xml:space="preserve"> </w:t>
      </w:r>
      <w:r w:rsidR="005B632B">
        <w:t xml:space="preserve">for </w:t>
      </w:r>
      <w:r w:rsidR="004B44D3" w:rsidRPr="004B44D3">
        <w:t xml:space="preserve">TTVR </w:t>
      </w:r>
      <w:r w:rsidR="005B632B">
        <w:t>or</w:t>
      </w:r>
      <w:r w:rsidR="005B632B" w:rsidRPr="004B44D3">
        <w:t xml:space="preserve"> </w:t>
      </w:r>
      <w:r w:rsidR="004B44D3" w:rsidRPr="004B44D3">
        <w:t>TTV repair based on an assessment of clinical and technical factors</w:t>
      </w:r>
      <w:r w:rsidR="00873F35">
        <w:t>.</w:t>
      </w:r>
      <w:r w:rsidR="004B44D3">
        <w:t xml:space="preserve"> </w:t>
      </w:r>
      <w:r w:rsidR="004037AC">
        <w:t xml:space="preserve">TTVR is only an option for </w:t>
      </w:r>
      <w:r w:rsidR="005538FC">
        <w:t xml:space="preserve">patients </w:t>
      </w:r>
      <w:r w:rsidR="00832D95">
        <w:t>who</w:t>
      </w:r>
      <w:r w:rsidR="009C4960">
        <w:t xml:space="preserve"> can access </w:t>
      </w:r>
      <w:r w:rsidR="001E0FF9">
        <w:t xml:space="preserve">a </w:t>
      </w:r>
      <w:r w:rsidR="004037AC">
        <w:t xml:space="preserve">heart centre that </w:t>
      </w:r>
      <w:r w:rsidR="001E0FF9">
        <w:t>is</w:t>
      </w:r>
      <w:r w:rsidR="004037AC">
        <w:t xml:space="preserve"> accredited </w:t>
      </w:r>
      <w:r w:rsidR="00D777EB">
        <w:t>for provision of</w:t>
      </w:r>
      <w:r w:rsidR="004037AC">
        <w:t xml:space="preserve"> </w:t>
      </w:r>
      <w:r w:rsidR="009F640F">
        <w:t>TTVR</w:t>
      </w:r>
      <w:r w:rsidR="00F842BE">
        <w:t>,</w:t>
      </w:r>
      <w:r w:rsidR="009F640F">
        <w:t xml:space="preserve"> </w:t>
      </w:r>
      <w:r w:rsidR="00D777EB">
        <w:t xml:space="preserve">with specialists that are </w:t>
      </w:r>
      <w:r w:rsidR="00832D95">
        <w:t xml:space="preserve">appropriately </w:t>
      </w:r>
      <w:r w:rsidR="00D777EB">
        <w:t xml:space="preserve">trained and accredited to perform </w:t>
      </w:r>
      <w:r w:rsidR="004037AC">
        <w:t>the procedure</w:t>
      </w:r>
      <w:r w:rsidR="00D777EB">
        <w:t>.</w:t>
      </w:r>
      <w:r w:rsidR="00F842BE">
        <w:t xml:space="preserve"> </w:t>
      </w:r>
    </w:p>
    <w:p w14:paraId="1659FBD2" w14:textId="53E6AFAE" w:rsidR="00873F35" w:rsidRPr="00A90B62" w:rsidRDefault="00CD63E4" w:rsidP="00873F35">
      <w:r>
        <w:t>As mentioned earlier, uptake of TTV repair in the private setting is currently limited</w:t>
      </w:r>
      <w:r w:rsidR="00BC3F87">
        <w:t xml:space="preserve"> (</w:t>
      </w:r>
      <w:r w:rsidR="00B269A5">
        <w:t xml:space="preserve">hence the </w:t>
      </w:r>
      <w:r w:rsidR="00BC3F87">
        <w:t xml:space="preserve">perforated </w:t>
      </w:r>
      <w:r w:rsidR="00B269A5">
        <w:t>arrows</w:t>
      </w:r>
      <w:r w:rsidR="00BC3F87">
        <w:t xml:space="preserve"> in </w:t>
      </w:r>
      <w:r w:rsidR="00BC3F87">
        <w:fldChar w:fldCharType="begin"/>
      </w:r>
      <w:r w:rsidR="00BC3F87">
        <w:instrText xml:space="preserve"> REF _Ref190803407 \h </w:instrText>
      </w:r>
      <w:r w:rsidR="00BC3F87">
        <w:fldChar w:fldCharType="separate"/>
      </w:r>
      <w:r w:rsidR="00481F36" w:rsidRPr="00AD26D1">
        <w:t xml:space="preserve">Figure </w:t>
      </w:r>
      <w:r w:rsidR="00481F36">
        <w:rPr>
          <w:noProof/>
        </w:rPr>
        <w:t>2</w:t>
      </w:r>
      <w:r w:rsidR="00BC3F87">
        <w:fldChar w:fldCharType="end"/>
      </w:r>
      <w:r w:rsidR="00B269A5">
        <w:t>)</w:t>
      </w:r>
      <w:r>
        <w:t xml:space="preserve">. However, </w:t>
      </w:r>
      <w:r w:rsidR="00873F35">
        <w:t>T</w:t>
      </w:r>
      <w:r w:rsidR="00873F35" w:rsidRPr="00E87623">
        <w:t xml:space="preserve">TV repair may be </w:t>
      </w:r>
      <w:r w:rsidR="00873F35">
        <w:t xml:space="preserve">a </w:t>
      </w:r>
      <w:r w:rsidR="00873F35" w:rsidRPr="00E87623">
        <w:t xml:space="preserve">preferable </w:t>
      </w:r>
      <w:r w:rsidR="00873F35">
        <w:t xml:space="preserve">option </w:t>
      </w:r>
      <w:r w:rsidR="00873F35" w:rsidRPr="00E87623">
        <w:t xml:space="preserve">when </w:t>
      </w:r>
      <w:r w:rsidR="00873F35">
        <w:t>TTVR</w:t>
      </w:r>
      <w:r w:rsidR="00873F35" w:rsidRPr="00E87623">
        <w:t xml:space="preserve"> is not feasible due to poor </w:t>
      </w:r>
      <w:r w:rsidR="00873F35">
        <w:t xml:space="preserve">RV </w:t>
      </w:r>
      <w:r w:rsidR="00873F35" w:rsidRPr="00E87623">
        <w:t xml:space="preserve">function, which remains the primary limiting factor for </w:t>
      </w:r>
      <w:r w:rsidR="003B6F1B">
        <w:t xml:space="preserve">valve </w:t>
      </w:r>
      <w:r w:rsidR="00873F35" w:rsidRPr="00E87623">
        <w:t>replacement.</w:t>
      </w:r>
      <w:r w:rsidR="00873F35">
        <w:t xml:space="preserve"> </w:t>
      </w:r>
      <w:r w:rsidR="00873F35" w:rsidRPr="00632767">
        <w:t xml:space="preserve">Additionally, the long-term </w:t>
      </w:r>
      <w:r w:rsidR="00873F35" w:rsidRPr="00632767">
        <w:lastRenderedPageBreak/>
        <w:t xml:space="preserve">risk of bleeding is an important consideration. Patients at high risk who cannot tolerate lifelong anticoagulation, which is required for currently available replacement devices, may be better candidates for TTV </w:t>
      </w:r>
      <w:r w:rsidR="00873F35" w:rsidRPr="00DD2EA3">
        <w:t>repair (Rahgozar et al. 2021).</w:t>
      </w:r>
    </w:p>
    <w:p w14:paraId="151E5466" w14:textId="77777777" w:rsidR="00873F35" w:rsidRDefault="00873F35" w:rsidP="00873F35">
      <w:r>
        <w:t xml:space="preserve">Tricuspid valve replacement may be the only transcatheter option in cases where valve leaflets are of inadequate length or are severely calcified, fibrotic, degenerated or retracted making it difficult for coaptation devices to securely grasp the leaflets. Likewise, grasping leaflets during transcatheter edge-to-edge repair is challenging if tricuspid valve annuli are severely dilated, coaptation gaps are large, or leads from pacemakers or implantable cardioverter defibrillators traverse the tricuspid </w:t>
      </w:r>
      <w:r w:rsidRPr="000725FA">
        <w:t>valve (Nagraj et al. 2022).</w:t>
      </w:r>
      <w:r>
        <w:t xml:space="preserve"> </w:t>
      </w:r>
    </w:p>
    <w:p w14:paraId="47988DDE" w14:textId="18869CC0" w:rsidR="00873F35" w:rsidRDefault="00873F35" w:rsidP="00873F35">
      <w:r>
        <w:t>Another</w:t>
      </w:r>
      <w:r w:rsidRPr="00632767">
        <w:t xml:space="preserve"> potential advantage of valve replacement is its ability to completely eliminate TR, whereas TTV repair generally only reduces its severity. </w:t>
      </w:r>
      <w:r w:rsidRPr="00C557A3">
        <w:t xml:space="preserve">Additionally, implanting a </w:t>
      </w:r>
      <w:r>
        <w:t xml:space="preserve">bioprosthetic </w:t>
      </w:r>
      <w:r w:rsidRPr="00C557A3">
        <w:t xml:space="preserve">valve in the tricuspid </w:t>
      </w:r>
      <w:r w:rsidRPr="00DD2EA3">
        <w:t>annulus allows for the possibility of future valve-in-valve interventions if needed after the initial procedure (Rahgozar et al. 2021). Several case reports have documented successful transcatheter tricuspid valve-in-valve (TTViV) procedures using the Edwards</w:t>
      </w:r>
      <w:r w:rsidRPr="0024788F">
        <w:t xml:space="preserve"> SAPIEN valve, leading to symptomatic relief and improved functional status in patients with failing tricuspid </w:t>
      </w:r>
      <w:r w:rsidRPr="00AD26D1">
        <w:t>bioprosthes</w:t>
      </w:r>
      <w:r w:rsidR="009D5B6A" w:rsidRPr="00AD26D1">
        <w:t>is</w:t>
      </w:r>
      <w:r w:rsidRPr="00773712">
        <w:t xml:space="preserve"> (</w:t>
      </w:r>
      <w:r w:rsidR="002933FC" w:rsidRPr="00773712">
        <w:t>Schaefer</w:t>
      </w:r>
      <w:r w:rsidRPr="00773712">
        <w:t xml:space="preserve"> et al. 2016; Loyalka et al. 2017; Mortazavi et al. 2014).</w:t>
      </w:r>
      <w:r w:rsidRPr="0024788F">
        <w:t xml:space="preserve"> </w:t>
      </w:r>
    </w:p>
    <w:p w14:paraId="28D6479B" w14:textId="5D8EDF73" w:rsidR="00893A66" w:rsidRDefault="00893A66" w:rsidP="00893A66">
      <w:r>
        <w:t xml:space="preserve">All patients with severe functional TR should be medically optimised prior to consideration for TTVI (Rahgozar et al. 2021). </w:t>
      </w:r>
      <w:r w:rsidRPr="00961FDA">
        <w:t xml:space="preserve">Volume management </w:t>
      </w:r>
      <w:r w:rsidR="00857ACD">
        <w:t>throug</w:t>
      </w:r>
      <w:r w:rsidRPr="00961FDA">
        <w:t>h diuretic therapy, pharmacological neurohormonal blockade, and rate control (along with rhythm control in select patients) should be optimi</w:t>
      </w:r>
      <w:r>
        <w:t>s</w:t>
      </w:r>
      <w:r w:rsidRPr="00961FDA">
        <w:t xml:space="preserve">ed to the </w:t>
      </w:r>
      <w:r w:rsidR="00857ACD">
        <w:t>highest</w:t>
      </w:r>
      <w:r w:rsidRPr="00961FDA">
        <w:t xml:space="preserve"> tolerated level. A thorough evaluation of the patient's overall health and functional status is essential. For patients with a life expectancy of less than one year or those with extreme frailty, medical therapy should remain the primary approach, as data on the clinical benefits of TTVI in this population are limited</w:t>
      </w:r>
      <w:r>
        <w:t xml:space="preserve"> (Rahgozar et al. 2021).</w:t>
      </w:r>
    </w:p>
    <w:p w14:paraId="6108C765" w14:textId="2C5E7309" w:rsidR="00893A66" w:rsidRDefault="00684812" w:rsidP="00B354E2">
      <w:r>
        <w:t>After TTV</w:t>
      </w:r>
      <w:r w:rsidR="00DA4DB3">
        <w:t>I</w:t>
      </w:r>
      <w:r w:rsidR="00C33748">
        <w:t xml:space="preserve"> (TTVR or TTV repair)</w:t>
      </w:r>
      <w:r>
        <w:t>, patients will continue treatment with OMT, with adjustments to medications and/or doses as determined by their treating physician</w:t>
      </w:r>
      <w:r w:rsidRPr="0094484A">
        <w:t>.</w:t>
      </w:r>
    </w:p>
    <w:p w14:paraId="312E3B3E" w14:textId="2B4C3061" w:rsidR="00B87405" w:rsidRPr="00AD26D1" w:rsidRDefault="00B87405" w:rsidP="00B87405">
      <w:pPr>
        <w:pStyle w:val="Caption"/>
        <w:rPr>
          <w:lang w:val="en-AU"/>
        </w:rPr>
      </w:pPr>
      <w:bookmarkStart w:id="11" w:name="_Ref190803407"/>
      <w:r w:rsidRPr="00AD26D1">
        <w:rPr>
          <w:lang w:val="en-AU"/>
        </w:rPr>
        <w:lastRenderedPageBreak/>
        <w:t xml:space="preserve">Figure </w:t>
      </w:r>
      <w:r w:rsidRPr="00AD26D1">
        <w:rPr>
          <w:lang w:val="en-AU"/>
        </w:rPr>
        <w:fldChar w:fldCharType="begin"/>
      </w:r>
      <w:r w:rsidRPr="00AD26D1">
        <w:rPr>
          <w:lang w:val="en-AU"/>
        </w:rPr>
        <w:instrText xml:space="preserve"> SEQ Figure \* ARABIC </w:instrText>
      </w:r>
      <w:r w:rsidRPr="00AD26D1">
        <w:rPr>
          <w:lang w:val="en-AU"/>
        </w:rPr>
        <w:fldChar w:fldCharType="separate"/>
      </w:r>
      <w:r w:rsidR="00481F36">
        <w:rPr>
          <w:noProof/>
          <w:lang w:val="en-AU"/>
        </w:rPr>
        <w:t>2</w:t>
      </w:r>
      <w:r w:rsidRPr="00AD26D1">
        <w:rPr>
          <w:lang w:val="en-AU"/>
        </w:rPr>
        <w:fldChar w:fldCharType="end"/>
      </w:r>
      <w:bookmarkEnd w:id="11"/>
      <w:r w:rsidRPr="00AD26D1">
        <w:rPr>
          <w:lang w:val="en-AU"/>
        </w:rPr>
        <w:tab/>
      </w:r>
      <w:r w:rsidR="00472EA3" w:rsidRPr="00AD26D1">
        <w:rPr>
          <w:lang w:val="en-AU"/>
        </w:rPr>
        <w:t>Clinical management algorithm for patients with severe TR: proposed practice with</w:t>
      </w:r>
      <w:r w:rsidR="00093689" w:rsidRPr="00AD26D1">
        <w:rPr>
          <w:lang w:val="en-AU"/>
        </w:rPr>
        <w:t xml:space="preserve"> </w:t>
      </w:r>
      <w:r w:rsidR="00472EA3" w:rsidRPr="00AD26D1">
        <w:rPr>
          <w:lang w:val="en-AU"/>
        </w:rPr>
        <w:t>TTVR</w:t>
      </w:r>
    </w:p>
    <w:p w14:paraId="50BAD0ED" w14:textId="338EC833" w:rsidR="00655261" w:rsidRDefault="00BB4033" w:rsidP="00901FB3">
      <w:pPr>
        <w:pStyle w:val="Tablenotes"/>
        <w:contextualSpacing w:val="0"/>
        <w:jc w:val="center"/>
      </w:pPr>
      <w:r>
        <w:rPr>
          <w:noProof/>
        </w:rPr>
        <w:drawing>
          <wp:inline distT="0" distB="0" distL="0" distR="0" wp14:anchorId="09DEF44C" wp14:editId="056DE92B">
            <wp:extent cx="4615180" cy="4127500"/>
            <wp:effectExtent l="0" t="0" r="0" b="6350"/>
            <wp:docPr id="670959810" name="Picture 4" descr="The figure shows the proposed clinical management algorithm for patients with severe TR. Treatment options include surgical repair or replacement, TTV repair, TTVR and/or continued O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959810" name="Picture 4" descr="The figure shows the proposed clinical management algorithm for patients with severe TR. Treatment options include surgical repair or replacement, TTV repair, TTVR and/or continued OM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5180" cy="4127500"/>
                    </a:xfrm>
                    <a:prstGeom prst="rect">
                      <a:avLst/>
                    </a:prstGeom>
                    <a:noFill/>
                  </pic:spPr>
                </pic:pic>
              </a:graphicData>
            </a:graphic>
          </wp:inline>
        </w:drawing>
      </w:r>
    </w:p>
    <w:p w14:paraId="08F05DE9" w14:textId="0584BFB2" w:rsidR="00006DC0" w:rsidRPr="001D280F" w:rsidRDefault="00006DC0" w:rsidP="00006DC0">
      <w:pPr>
        <w:pStyle w:val="Tablenotes"/>
        <w:spacing w:after="360"/>
      </w:pPr>
      <w:r w:rsidRPr="001D280F">
        <w:t>Source: Prepared by the assessment group.</w:t>
      </w:r>
    </w:p>
    <w:p w14:paraId="0258E757" w14:textId="33395BDE" w:rsidR="001D280F" w:rsidRPr="001D280F" w:rsidRDefault="2E6C06E5" w:rsidP="001D280F">
      <w:pPr>
        <w:pStyle w:val="Tablenotes"/>
        <w:spacing w:after="360"/>
      </w:pPr>
      <w:r>
        <w:t xml:space="preserve">LVEF = left ventricular ejection fraction; MDHT = multidisciplinary heart team; </w:t>
      </w:r>
      <w:r w:rsidR="06E1697F">
        <w:t xml:space="preserve">NYHA = New York Heart Association; </w:t>
      </w:r>
      <w:r>
        <w:t>OMT = optimal medical therapy; TR = tricuspid regurgitation; TTV = transcatheter tricuspid valve; TTVI = transcatheter tricuspid valve intervention</w:t>
      </w:r>
      <w:r w:rsidR="57AC3C1A">
        <w:t>; TTVR = transcatheter tricuspid valve replacement</w:t>
      </w:r>
      <w:r>
        <w:t>.</w:t>
      </w:r>
    </w:p>
    <w:p w14:paraId="0CB452DA" w14:textId="4C89DE55" w:rsidR="00655261" w:rsidRDefault="00655261" w:rsidP="00655261">
      <w:pPr>
        <w:pStyle w:val="Tablenotes"/>
        <w:spacing w:after="360"/>
      </w:pPr>
      <w:r>
        <w:t>N</w:t>
      </w:r>
      <w:r w:rsidR="00A87460">
        <w:t>ote</w:t>
      </w:r>
      <w:r>
        <w:t xml:space="preserve">: </w:t>
      </w:r>
      <w:r w:rsidR="000073F3">
        <w:t>Perforated</w:t>
      </w:r>
      <w:r>
        <w:t xml:space="preserve"> </w:t>
      </w:r>
      <w:r w:rsidR="00B269A5">
        <w:t>arrow</w:t>
      </w:r>
      <w:r>
        <w:t xml:space="preserve"> </w:t>
      </w:r>
      <w:r w:rsidR="00A87460">
        <w:t>indicates</w:t>
      </w:r>
      <w:r>
        <w:t xml:space="preserve"> limited uptake of intervention in the private setting.</w:t>
      </w:r>
    </w:p>
    <w:p w14:paraId="27AF9666" w14:textId="237EBD54" w:rsidR="001D280F" w:rsidRPr="001D280F" w:rsidRDefault="001D280F" w:rsidP="001D280F">
      <w:pPr>
        <w:pStyle w:val="Tablenotes"/>
        <w:spacing w:after="360"/>
      </w:pPr>
      <w:r w:rsidRPr="001D280F">
        <w:t xml:space="preserve">a Severity determined by echocardiography using </w:t>
      </w:r>
      <w:r w:rsidR="00655261" w:rsidRPr="001D280F">
        <w:t xml:space="preserve">American Society of Echocardiography </w:t>
      </w:r>
      <w:r w:rsidR="00655261">
        <w:t>(</w:t>
      </w:r>
      <w:r w:rsidRPr="001D280F">
        <w:t>ASE</w:t>
      </w:r>
      <w:r w:rsidR="00655261">
        <w:t>)</w:t>
      </w:r>
      <w:r w:rsidRPr="001D280F">
        <w:t xml:space="preserve"> grading.</w:t>
      </w:r>
    </w:p>
    <w:p w14:paraId="16299DD4" w14:textId="77777777" w:rsidR="001D280F" w:rsidRPr="001D280F" w:rsidRDefault="001D280F" w:rsidP="001D280F">
      <w:pPr>
        <w:pStyle w:val="Tablenotes"/>
        <w:spacing w:after="360"/>
      </w:pPr>
      <w:r w:rsidRPr="001D280F">
        <w:t>b Symptomatic = NYHA functional class II or greater.</w:t>
      </w:r>
    </w:p>
    <w:p w14:paraId="55987F2B" w14:textId="092AE501" w:rsidR="001D280F" w:rsidRPr="001D280F" w:rsidRDefault="001D280F" w:rsidP="001D280F">
      <w:pPr>
        <w:pStyle w:val="Tablenotes"/>
        <w:spacing w:after="360"/>
      </w:pPr>
      <w:r w:rsidRPr="001D280F">
        <w:t>c OMT refers to stable oral diuretic therapy</w:t>
      </w:r>
      <w:r w:rsidR="00D51C54">
        <w:t xml:space="preserve"> at a minimum</w:t>
      </w:r>
      <w:r w:rsidRPr="001D280F">
        <w:t>.</w:t>
      </w:r>
    </w:p>
    <w:p w14:paraId="56537474" w14:textId="77777777" w:rsidR="001D280F" w:rsidRPr="001D280F" w:rsidRDefault="001D280F" w:rsidP="001D280F">
      <w:pPr>
        <w:pStyle w:val="Tablenotes"/>
        <w:spacing w:after="360"/>
      </w:pPr>
      <w:r w:rsidRPr="001D280F">
        <w:t>d Patients are considered for surgery by a multidisciplinary heart team, combining surgical risk assessment, frailty, major organ dysfunction and procedure-specific impediments.</w:t>
      </w:r>
    </w:p>
    <w:p w14:paraId="1A0630F4" w14:textId="70C3CA32" w:rsidR="00C30898" w:rsidRPr="00C30898" w:rsidRDefault="001D280F" w:rsidP="001D280F">
      <w:pPr>
        <w:pStyle w:val="Tablenotes"/>
        <w:spacing w:after="360"/>
      </w:pPr>
      <w:r w:rsidRPr="001D280F">
        <w:t xml:space="preserve">e Patients are considered for TTVI by a multidisciplinary heart team based on a detailed assessment of comorbidities and expected benefits. </w:t>
      </w:r>
      <w:r w:rsidR="000B30C1">
        <w:t>The decision between replacement or repair is dependent on clinical and technical factors.</w:t>
      </w:r>
    </w:p>
    <w:p w14:paraId="4424C1F9" w14:textId="77777777" w:rsidR="0058257E" w:rsidRPr="004C5E49" w:rsidRDefault="0058257E" w:rsidP="00A93CE0">
      <w:pPr>
        <w:keepNext/>
        <w:spacing w:after="120"/>
      </w:pPr>
      <w:r w:rsidRPr="004C5E49">
        <w:t xml:space="preserve">The differences in healthcare resources used </w:t>
      </w:r>
      <w:r w:rsidRPr="004C5E49">
        <w:rPr>
          <w:i/>
          <w:iCs/>
        </w:rPr>
        <w:t>after</w:t>
      </w:r>
      <w:r w:rsidRPr="004C5E49">
        <w:t xml:space="preserve"> the proposed versus current treatment options are:</w:t>
      </w:r>
    </w:p>
    <w:p w14:paraId="1E69F48B" w14:textId="4D7A9B33" w:rsidR="00502C26" w:rsidRDefault="00502C26" w:rsidP="00791F0C">
      <w:pPr>
        <w:pStyle w:val="ListParagraph"/>
        <w:keepNext/>
        <w:numPr>
          <w:ilvl w:val="0"/>
          <w:numId w:val="16"/>
        </w:numPr>
        <w:ind w:left="714" w:hanging="357"/>
      </w:pPr>
      <w:r>
        <w:t>m</w:t>
      </w:r>
      <w:r w:rsidR="0058257E" w:rsidRPr="004C5E49">
        <w:t>onitoring and follow</w:t>
      </w:r>
      <w:r w:rsidR="00734084">
        <w:t xml:space="preserve"> </w:t>
      </w:r>
      <w:r>
        <w:t>u</w:t>
      </w:r>
      <w:r w:rsidR="0058257E" w:rsidRPr="004C5E49">
        <w:t>p</w:t>
      </w:r>
    </w:p>
    <w:p w14:paraId="5132474C" w14:textId="7CF029ED" w:rsidR="0058257E" w:rsidRPr="004C5E49" w:rsidRDefault="0058257E" w:rsidP="006B51A8">
      <w:pPr>
        <w:pStyle w:val="ListParagraph"/>
        <w:numPr>
          <w:ilvl w:val="1"/>
          <w:numId w:val="16"/>
        </w:numPr>
        <w:ind w:left="993" w:hanging="284"/>
      </w:pPr>
      <w:r w:rsidRPr="004C5E49">
        <w:t>TTVR demands structured, frequent follow</w:t>
      </w:r>
      <w:r w:rsidR="00297678">
        <w:t xml:space="preserve"> </w:t>
      </w:r>
      <w:r w:rsidRPr="004C5E49">
        <w:t>ups with regular imaging to assess valve function, whereas OMT requires periodic follow</w:t>
      </w:r>
      <w:r w:rsidR="00297678">
        <w:t xml:space="preserve"> </w:t>
      </w:r>
      <w:r w:rsidRPr="004C5E49">
        <w:t>ups focused on fluid status and symptom management</w:t>
      </w:r>
    </w:p>
    <w:p w14:paraId="298A58BB" w14:textId="77DAC2AA" w:rsidR="00502C26" w:rsidRDefault="00502C26" w:rsidP="00791F0C">
      <w:pPr>
        <w:pStyle w:val="ListParagraph"/>
        <w:keepNext/>
        <w:numPr>
          <w:ilvl w:val="0"/>
          <w:numId w:val="16"/>
        </w:numPr>
        <w:ind w:left="714" w:hanging="357"/>
      </w:pPr>
      <w:r>
        <w:t>a</w:t>
      </w:r>
      <w:r w:rsidR="0058257E" w:rsidRPr="004C5E49">
        <w:t>nticoagulation</w:t>
      </w:r>
    </w:p>
    <w:p w14:paraId="10E60049" w14:textId="47090805" w:rsidR="0058257E" w:rsidRPr="004C5E49" w:rsidRDefault="0058257E" w:rsidP="006B51A8">
      <w:pPr>
        <w:pStyle w:val="ListParagraph"/>
        <w:numPr>
          <w:ilvl w:val="1"/>
          <w:numId w:val="16"/>
        </w:numPr>
        <w:ind w:left="993" w:hanging="284"/>
      </w:pPr>
      <w:r w:rsidRPr="004C5E49">
        <w:t>TTVR patients need long-term anticoagulation, increasing medication management and monitoring needs, unlike OMT</w:t>
      </w:r>
      <w:r w:rsidR="0057248C">
        <w:t xml:space="preserve"> </w:t>
      </w:r>
      <w:r w:rsidRPr="004C5E49">
        <w:t>where anticoagulation is not routine</w:t>
      </w:r>
    </w:p>
    <w:p w14:paraId="35C4A106" w14:textId="77777777" w:rsidR="00502C26" w:rsidRDefault="00502C26" w:rsidP="00791F0C">
      <w:pPr>
        <w:pStyle w:val="ListParagraph"/>
        <w:keepNext/>
        <w:numPr>
          <w:ilvl w:val="0"/>
          <w:numId w:val="16"/>
        </w:numPr>
        <w:ind w:left="714" w:hanging="357"/>
      </w:pPr>
      <w:r>
        <w:t>e</w:t>
      </w:r>
      <w:r w:rsidR="0058257E" w:rsidRPr="004C5E49">
        <w:t xml:space="preserve">lectrocardiographic </w:t>
      </w:r>
      <w:r>
        <w:t>m</w:t>
      </w:r>
      <w:r w:rsidR="0058257E" w:rsidRPr="004C5E49">
        <w:t>onitoring</w:t>
      </w:r>
    </w:p>
    <w:p w14:paraId="62A5A38B" w14:textId="06BC157E" w:rsidR="0058257E" w:rsidRPr="004C5E49" w:rsidRDefault="00502C26" w:rsidP="006B51A8">
      <w:pPr>
        <w:pStyle w:val="ListParagraph"/>
        <w:numPr>
          <w:ilvl w:val="1"/>
          <w:numId w:val="16"/>
        </w:numPr>
        <w:ind w:left="993" w:hanging="284"/>
      </w:pPr>
      <w:r>
        <w:t>c</w:t>
      </w:r>
      <w:r w:rsidR="0058257E" w:rsidRPr="004C5E49">
        <w:t>ontinuous ECG monitoring post-TTVR is common to detect conduction issues, while OMT generally doesn’t require continuous ECG</w:t>
      </w:r>
    </w:p>
    <w:p w14:paraId="7C04184A" w14:textId="78592A35" w:rsidR="0058257E" w:rsidRPr="004C5E49" w:rsidRDefault="00EC0B52" w:rsidP="0066064B">
      <w:pPr>
        <w:pStyle w:val="ListParagraph"/>
        <w:keepNext/>
        <w:numPr>
          <w:ilvl w:val="0"/>
          <w:numId w:val="16"/>
        </w:numPr>
        <w:spacing w:after="120"/>
        <w:ind w:left="714" w:hanging="357"/>
      </w:pPr>
      <w:r>
        <w:lastRenderedPageBreak/>
        <w:t>o</w:t>
      </w:r>
      <w:r w:rsidR="0058257E" w:rsidRPr="004C5E49">
        <w:t>ngoing monitoring of weight, blood pressure, symptoms, renal function and electrolytes would occur after both the proposed and comparator technologies.</w:t>
      </w:r>
    </w:p>
    <w:p w14:paraId="2BDE22B9" w14:textId="77777777" w:rsidR="00D73332" w:rsidRDefault="00D73332" w:rsidP="0066064B">
      <w:pPr>
        <w:pStyle w:val="Heading2"/>
        <w:spacing w:before="240"/>
      </w:pPr>
      <w:r w:rsidRPr="00490FBB">
        <w:t>Proposed economic evaluation</w:t>
      </w:r>
    </w:p>
    <w:p w14:paraId="04DC97C3" w14:textId="6FC70A90" w:rsidR="00772D80" w:rsidRDefault="00772D80" w:rsidP="00772D80">
      <w:r w:rsidRPr="00772D80">
        <w:t>Based on the applica</w:t>
      </w:r>
      <w:r>
        <w:t>tion</w:t>
      </w:r>
      <w:r w:rsidRPr="00772D80">
        <w:t xml:space="preserve">’s clinical claims of </w:t>
      </w:r>
      <w:r w:rsidRPr="00772D80">
        <w:rPr>
          <w:b/>
          <w:bCs/>
        </w:rPr>
        <w:t>superior efficacy</w:t>
      </w:r>
      <w:r>
        <w:t xml:space="preserve"> </w:t>
      </w:r>
      <w:r w:rsidR="009C7FBE">
        <w:t>(</w:t>
      </w:r>
      <w:r w:rsidR="00903491">
        <w:t xml:space="preserve">in terms of health status) </w:t>
      </w:r>
      <w:r>
        <w:t>and</w:t>
      </w:r>
      <w:r w:rsidRPr="00772D80">
        <w:t xml:space="preserve"> </w:t>
      </w:r>
      <w:r w:rsidRPr="00772D80">
        <w:rPr>
          <w:b/>
          <w:bCs/>
        </w:rPr>
        <w:t>non-inferior safety</w:t>
      </w:r>
      <w:r w:rsidR="000669E3" w:rsidRPr="0046598C">
        <w:t xml:space="preserve"> </w:t>
      </w:r>
      <w:r w:rsidR="0046598C" w:rsidRPr="0046598C">
        <w:t>(in terms of long-term adverse events)</w:t>
      </w:r>
      <w:r w:rsidRPr="0046598C">
        <w:t>,</w:t>
      </w:r>
      <w:r w:rsidR="001A2B6C" w:rsidRPr="0046598C">
        <w:t xml:space="preserve"> </w:t>
      </w:r>
      <w:r w:rsidRPr="0046598C">
        <w:t>a cost</w:t>
      </w:r>
      <w:r w:rsidRPr="00772D80">
        <w:t>-utility analysis</w:t>
      </w:r>
      <w:r w:rsidR="00F9278E">
        <w:t xml:space="preserve"> (CUA)</w:t>
      </w:r>
      <w:r w:rsidRPr="00772D80">
        <w:t xml:space="preserve"> is appropriate</w:t>
      </w:r>
      <w:r w:rsidR="00417316">
        <w:t xml:space="preserve"> (</w:t>
      </w:r>
      <w:r w:rsidR="00417316">
        <w:fldChar w:fldCharType="begin"/>
      </w:r>
      <w:r w:rsidR="00417316">
        <w:instrText xml:space="preserve"> REF _Ref54260209 \h </w:instrText>
      </w:r>
      <w:r w:rsidR="00417316">
        <w:fldChar w:fldCharType="separate"/>
      </w:r>
      <w:r w:rsidR="00481F36" w:rsidRPr="00AD26D1">
        <w:t>Table </w:t>
      </w:r>
      <w:r w:rsidR="00481F36">
        <w:rPr>
          <w:noProof/>
        </w:rPr>
        <w:t>6</w:t>
      </w:r>
      <w:r w:rsidR="00417316">
        <w:fldChar w:fldCharType="end"/>
      </w:r>
      <w:r w:rsidR="00417316">
        <w:t>).</w:t>
      </w:r>
    </w:p>
    <w:p w14:paraId="01CFF662" w14:textId="1B7BD539" w:rsidR="00AD085E" w:rsidRDefault="005458CD" w:rsidP="00A4449B">
      <w:pPr>
        <w:spacing w:after="120"/>
      </w:pPr>
      <w:r>
        <w:t>The key evidence cited in</w:t>
      </w:r>
      <w:r w:rsidR="000174C9">
        <w:t xml:space="preserve"> the</w:t>
      </w:r>
      <w:r>
        <w:t xml:space="preserve"> application </w:t>
      </w:r>
      <w:r w:rsidR="000174C9">
        <w:t xml:space="preserve">to support the clinical claims is the TRISCEND II </w:t>
      </w:r>
      <w:r w:rsidR="00FC40FC">
        <w:t>Pivotal Trial</w:t>
      </w:r>
      <w:r w:rsidR="00C2512A">
        <w:t xml:space="preserve">. </w:t>
      </w:r>
      <w:r w:rsidR="00704EDE">
        <w:t xml:space="preserve">Eligible patients were randomised 2:1 into two groups: EVOQUE system plus OMT </w:t>
      </w:r>
      <w:r w:rsidR="0032191B">
        <w:t xml:space="preserve">(N=267) </w:t>
      </w:r>
      <w:r w:rsidR="00704EDE">
        <w:t>v</w:t>
      </w:r>
      <w:r w:rsidR="00C012A8">
        <w:t>ersus</w:t>
      </w:r>
      <w:r w:rsidR="00704EDE">
        <w:t xml:space="preserve"> OMT alone</w:t>
      </w:r>
      <w:r w:rsidR="0032191B">
        <w:t xml:space="preserve"> (N=</w:t>
      </w:r>
      <w:r w:rsidR="00C2512A">
        <w:t>133)</w:t>
      </w:r>
      <w:r w:rsidR="00704EDE">
        <w:t>. The trial was designed to have two primary analysis phases: health status evaluation of 150 patients at 6 months (</w:t>
      </w:r>
      <w:r w:rsidR="00C012A8">
        <w:t>‘</w:t>
      </w:r>
      <w:r w:rsidR="00704EDE">
        <w:t>Breakthrough Pathway Cohort</w:t>
      </w:r>
      <w:r w:rsidR="00C012A8">
        <w:t>’</w:t>
      </w:r>
      <w:r w:rsidR="00704EDE">
        <w:t>) and an assessment of morbidity/mortality on the full 400 enrolled patients at 1 year (</w:t>
      </w:r>
      <w:r w:rsidR="00C012A8">
        <w:t>‘</w:t>
      </w:r>
      <w:r w:rsidR="00704EDE">
        <w:t>Full Cohort</w:t>
      </w:r>
      <w:r w:rsidR="00C012A8">
        <w:t>’</w:t>
      </w:r>
      <w:r w:rsidR="00704EDE">
        <w:t>).</w:t>
      </w:r>
      <w:r w:rsidR="00050572">
        <w:t xml:space="preserve"> Long-term follow</w:t>
      </w:r>
      <w:r w:rsidR="00E56D33">
        <w:t>-</w:t>
      </w:r>
      <w:r w:rsidR="00B261FE">
        <w:t xml:space="preserve">up data </w:t>
      </w:r>
      <w:r w:rsidR="00D52AD9">
        <w:t xml:space="preserve">beyond 2 years </w:t>
      </w:r>
      <w:r w:rsidR="00B261FE">
        <w:t>may not be available.</w:t>
      </w:r>
      <w:r w:rsidR="00704EDE">
        <w:t xml:space="preserve"> </w:t>
      </w:r>
    </w:p>
    <w:p w14:paraId="6DAB2DBD" w14:textId="39BFA474" w:rsidR="000939E0" w:rsidRPr="00AD26D1" w:rsidRDefault="000939E0" w:rsidP="00A4449B">
      <w:pPr>
        <w:pStyle w:val="Caption"/>
        <w:spacing w:before="240"/>
        <w:rPr>
          <w:lang w:val="en-AU"/>
        </w:rPr>
      </w:pPr>
      <w:bookmarkStart w:id="12" w:name="_Ref54260209"/>
      <w:bookmarkStart w:id="13" w:name="_Toc423450289"/>
      <w:r w:rsidRPr="00AD26D1">
        <w:rPr>
          <w:lang w:val="en-AU"/>
        </w:rPr>
        <w:t>Table</w:t>
      </w:r>
      <w:r w:rsidR="00DE762F" w:rsidRPr="00AD26D1">
        <w:rPr>
          <w:lang w:val="en-AU"/>
        </w:rPr>
        <w:t> </w:t>
      </w:r>
      <w:r w:rsidRPr="00AD26D1">
        <w:rPr>
          <w:lang w:val="en-AU"/>
        </w:rPr>
        <w:fldChar w:fldCharType="begin"/>
      </w:r>
      <w:r w:rsidRPr="00AD26D1">
        <w:rPr>
          <w:lang w:val="en-AU"/>
        </w:rPr>
        <w:instrText xml:space="preserve"> SEQ Table \* ARABIC </w:instrText>
      </w:r>
      <w:r w:rsidRPr="00AD26D1">
        <w:rPr>
          <w:lang w:val="en-AU"/>
        </w:rPr>
        <w:fldChar w:fldCharType="separate"/>
      </w:r>
      <w:r w:rsidR="00481F36">
        <w:rPr>
          <w:noProof/>
          <w:lang w:val="en-AU"/>
        </w:rPr>
        <w:t>6</w:t>
      </w:r>
      <w:r w:rsidRPr="00AD26D1">
        <w:rPr>
          <w:lang w:val="en-AU"/>
        </w:rPr>
        <w:fldChar w:fldCharType="end"/>
      </w:r>
      <w:bookmarkEnd w:id="12"/>
      <w:r w:rsidR="001A5D2F" w:rsidRPr="00AD26D1">
        <w:rPr>
          <w:lang w:val="en-AU"/>
        </w:rPr>
        <w:tab/>
        <w:t>Classification of</w:t>
      </w:r>
      <w:r w:rsidRPr="00AD26D1">
        <w:rPr>
          <w:lang w:val="en-AU"/>
        </w:rPr>
        <w:t xml:space="preserve"> comparative effectiveness and safety of the proposed intervention</w:t>
      </w:r>
      <w:r w:rsidR="001A5D2F" w:rsidRPr="00AD26D1">
        <w:rPr>
          <w:lang w:val="en-AU"/>
        </w:rPr>
        <w:t>,</w:t>
      </w:r>
      <w:r w:rsidRPr="00AD26D1">
        <w:rPr>
          <w:lang w:val="en-AU"/>
        </w:rPr>
        <w:t xml:space="preserve"> compared with its main comparator</w:t>
      </w:r>
      <w:r w:rsidR="001A5D2F" w:rsidRPr="00AD26D1">
        <w:rPr>
          <w:lang w:val="en-AU"/>
        </w:rPr>
        <w:t>,</w:t>
      </w:r>
      <w:r w:rsidRPr="00AD26D1">
        <w:rPr>
          <w:lang w:val="en-AU"/>
        </w:rPr>
        <w:t xml:space="preserve"> and guide to the suitable type of economic evaluation</w:t>
      </w:r>
      <w:bookmarkEnd w:id="13"/>
    </w:p>
    <w:tbl>
      <w:tblPr>
        <w:tblW w:w="5000" w:type="pct"/>
        <w:tblCellMar>
          <w:left w:w="115" w:type="dxa"/>
          <w:right w:w="115" w:type="dxa"/>
        </w:tblCellMar>
        <w:tblLook w:val="01E0" w:firstRow="1" w:lastRow="1" w:firstColumn="1" w:lastColumn="1" w:noHBand="0" w:noVBand="0"/>
        <w:tblCaption w:val="Classification of the comparative effectiveness and safety of the proposed therapeutic medical service compared with its main comparator and guide to the suitable type of economic evaluation"/>
        <w:tblDescription w:val="The table presents a matrix of comparative safety (inferior, uncertain, noninferior, superior) against comparative effectiveness (inferior, uncertain, noninferior, superior). Noninferior comparative safety and superior comparative effectiveness has been selected resulting in a cost-effectiveness analysis or cost-utility analysis. "/>
      </w:tblPr>
      <w:tblGrid>
        <w:gridCol w:w="1842"/>
        <w:gridCol w:w="1842"/>
        <w:gridCol w:w="90"/>
        <w:gridCol w:w="1933"/>
        <w:gridCol w:w="245"/>
        <w:gridCol w:w="1686"/>
        <w:gridCol w:w="157"/>
        <w:gridCol w:w="1776"/>
      </w:tblGrid>
      <w:tr w:rsidR="00686EED" w:rsidRPr="00490FBB" w14:paraId="5238F44C" w14:textId="77777777" w:rsidTr="001210EE">
        <w:trPr>
          <w:tblHeader/>
        </w:trPr>
        <w:tc>
          <w:tcPr>
            <w:tcW w:w="962" w:type="pct"/>
            <w:vMerge w:val="restart"/>
            <w:tcBorders>
              <w:top w:val="single" w:sz="4" w:space="0" w:color="auto"/>
              <w:left w:val="single" w:sz="4" w:space="0" w:color="auto"/>
              <w:bottom w:val="single" w:sz="4" w:space="0" w:color="auto"/>
              <w:right w:val="single" w:sz="4" w:space="0" w:color="auto"/>
            </w:tcBorders>
          </w:tcPr>
          <w:p w14:paraId="5B06A6EA" w14:textId="730AFFCD" w:rsidR="00686EED" w:rsidRPr="00490FBB" w:rsidRDefault="00686EED" w:rsidP="00C40CC4">
            <w:pPr>
              <w:pStyle w:val="TableHeading"/>
            </w:pPr>
            <w:bookmarkStart w:id="14" w:name="Title_Table2" w:colFirst="0" w:colLast="0"/>
            <w:r w:rsidRPr="00490FBB">
              <w:t>Comparative safety</w:t>
            </w:r>
            <w:r w:rsidRPr="00371D5D">
              <w:rPr>
                <w:color w:val="767171" w:themeColor="background2" w:themeShade="80"/>
              </w:rPr>
              <w:t>-</w:t>
            </w:r>
          </w:p>
        </w:tc>
        <w:tc>
          <w:tcPr>
            <w:tcW w:w="962" w:type="pct"/>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1185" w:type="pct"/>
            <w:gridSpan w:val="3"/>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963" w:type="pct"/>
            <w:gridSpan w:val="2"/>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929" w:type="pct"/>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14"/>
      <w:tr w:rsidR="00686EED" w:rsidRPr="00490FBB" w14:paraId="78A8F3F1" w14:textId="77777777" w:rsidTr="001210EE">
        <w:trPr>
          <w:tblHeader/>
        </w:trPr>
        <w:tc>
          <w:tcPr>
            <w:tcW w:w="962" w:type="pct"/>
            <w:vMerge/>
            <w:tcBorders>
              <w:left w:val="single" w:sz="4" w:space="0" w:color="auto"/>
              <w:bottom w:val="single" w:sz="4" w:space="0" w:color="auto"/>
            </w:tcBorders>
          </w:tcPr>
          <w:p w14:paraId="6E00D947" w14:textId="57BEC7DE" w:rsidR="00686EED" w:rsidRPr="00490FBB" w:rsidRDefault="00686EED" w:rsidP="00C40CC4">
            <w:pPr>
              <w:pStyle w:val="TableHeading"/>
            </w:pPr>
          </w:p>
        </w:tc>
        <w:tc>
          <w:tcPr>
            <w:tcW w:w="1009" w:type="pct"/>
            <w:gridSpan w:val="2"/>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1010" w:type="pct"/>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rPr>
                <w:vertAlign w:val="superscript"/>
              </w:rPr>
            </w:pPr>
            <w:r w:rsidRPr="00490FBB">
              <w:t>Uncertain</w:t>
            </w:r>
            <w:r w:rsidRPr="00490FBB">
              <w:rPr>
                <w:vertAlign w:val="superscript"/>
              </w:rPr>
              <w:t>a</w:t>
            </w:r>
          </w:p>
        </w:tc>
        <w:tc>
          <w:tcPr>
            <w:tcW w:w="1009" w:type="pct"/>
            <w:gridSpan w:val="2"/>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rPr>
                <w:vertAlign w:val="superscript"/>
              </w:rPr>
            </w:pPr>
            <w:r w:rsidRPr="00490FBB">
              <w:t>Noninferior</w:t>
            </w:r>
            <w:r w:rsidRPr="00490FBB">
              <w:rPr>
                <w:vertAlign w:val="superscript"/>
              </w:rPr>
              <w:t>b</w:t>
            </w:r>
          </w:p>
        </w:tc>
        <w:tc>
          <w:tcPr>
            <w:tcW w:w="1010" w:type="pct"/>
            <w:gridSpan w:val="2"/>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1210EE">
        <w:tc>
          <w:tcPr>
            <w:tcW w:w="962" w:type="pct"/>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009" w:type="pct"/>
            <w:gridSpan w:val="2"/>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1010" w:type="pct"/>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009" w:type="pct"/>
            <w:gridSpan w:val="2"/>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010" w:type="pct"/>
            <w:gridSpan w:val="2"/>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E92729">
        <w:tc>
          <w:tcPr>
            <w:tcW w:w="962" w:type="pct"/>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rPr>
                <w:vertAlign w:val="superscript"/>
              </w:rPr>
            </w:pPr>
            <w:r w:rsidRPr="00490FBB">
              <w:t>Uncertain</w:t>
            </w:r>
            <w:r w:rsidRPr="00490FBB">
              <w:rPr>
                <w:vertAlign w:val="superscript"/>
              </w:rPr>
              <w:t>a</w:t>
            </w:r>
          </w:p>
        </w:tc>
        <w:tc>
          <w:tcPr>
            <w:tcW w:w="1009" w:type="pct"/>
            <w:gridSpan w:val="2"/>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1010" w:type="pct"/>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009" w:type="pct"/>
            <w:gridSpan w:val="2"/>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010" w:type="pct"/>
            <w:gridSpan w:val="2"/>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D16060">
        <w:tc>
          <w:tcPr>
            <w:tcW w:w="962" w:type="pct"/>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rPr>
                <w:vertAlign w:val="superscript"/>
              </w:rPr>
            </w:pPr>
            <w:r w:rsidRPr="00490FBB">
              <w:t>Noninferior</w:t>
            </w:r>
            <w:r w:rsidRPr="00490FBB">
              <w:rPr>
                <w:vertAlign w:val="superscript"/>
              </w:rPr>
              <w:t>b</w:t>
            </w:r>
          </w:p>
        </w:tc>
        <w:tc>
          <w:tcPr>
            <w:tcW w:w="1009" w:type="pct"/>
            <w:gridSpan w:val="2"/>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1010" w:type="pct"/>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0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101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9F7AB5" w14:textId="77777777" w:rsidR="000939E0" w:rsidRPr="002C679A" w:rsidRDefault="000939E0" w:rsidP="00C40CC4">
            <w:pPr>
              <w:pStyle w:val="Tabletext"/>
              <w:keepNext/>
            </w:pPr>
            <w:r w:rsidRPr="002C679A">
              <w:t>CEA/CUA</w:t>
            </w:r>
          </w:p>
        </w:tc>
      </w:tr>
      <w:tr w:rsidR="000939E0" w:rsidRPr="00490FBB" w14:paraId="41AB5715" w14:textId="77777777" w:rsidTr="00E92729">
        <w:tc>
          <w:tcPr>
            <w:tcW w:w="962" w:type="pct"/>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009" w:type="pct"/>
            <w:gridSpan w:val="2"/>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1010" w:type="pct"/>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0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0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490FBB" w:rsidRDefault="000939E0" w:rsidP="00C40CC4">
            <w:pPr>
              <w:pStyle w:val="Tabletext"/>
              <w:keepNext/>
            </w:pPr>
            <w:r w:rsidRPr="00490FBB">
              <w:t>CEA/CUA</w:t>
            </w:r>
          </w:p>
        </w:tc>
      </w:tr>
    </w:tbl>
    <w:p w14:paraId="6538A3FB" w14:textId="5AD6EA37" w:rsidR="000939E0" w:rsidRPr="00B97792" w:rsidRDefault="000939E0" w:rsidP="00B97792">
      <w:pPr>
        <w:pStyle w:val="Tablenotes"/>
        <w:spacing w:after="0"/>
      </w:pPr>
      <w:r w:rsidRPr="00B97792">
        <w:t>CEA=cost-effectiveness analysis; CMA=cost-minimisation analysis; CUA=cost-utility analysis</w:t>
      </w:r>
      <w:r w:rsidR="00F027D9">
        <w:t>.</w:t>
      </w:r>
    </w:p>
    <w:p w14:paraId="48F7CED7" w14:textId="61C48C1A" w:rsidR="000939E0" w:rsidRPr="00B97792" w:rsidRDefault="000939E0" w:rsidP="00B97792">
      <w:pPr>
        <w:pStyle w:val="Tablenotes"/>
        <w:spacing w:after="0"/>
      </w:pPr>
      <w:r w:rsidRPr="00B97792">
        <w:t>? = reflect uncertainties and any identified health trade-offs in the economic evaluation, as a minimum in a cost-consequences analysis</w:t>
      </w:r>
      <w:r w:rsidR="000D130F">
        <w:t>.</w:t>
      </w:r>
      <w:r w:rsidRPr="00B97792">
        <w:t xml:space="preserve"> </w:t>
      </w:r>
    </w:p>
    <w:p w14:paraId="65C6F534" w14:textId="07A88307" w:rsidR="000939E0" w:rsidRPr="00B97792" w:rsidRDefault="000939E0" w:rsidP="00B97792">
      <w:pPr>
        <w:pStyle w:val="Tablenotes"/>
        <w:spacing w:after="0"/>
      </w:pPr>
      <w:r w:rsidRPr="00B97792">
        <w:t>a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r w:rsidR="00756CCF" w:rsidRPr="00B97792">
        <w:t>.</w:t>
      </w:r>
    </w:p>
    <w:p w14:paraId="1CB9C9B3" w14:textId="66B75837" w:rsidR="000939E0" w:rsidRDefault="000939E0" w:rsidP="00A4449B">
      <w:pPr>
        <w:pStyle w:val="Tablenotes"/>
        <w:spacing w:after="240"/>
        <w:rPr>
          <w:szCs w:val="18"/>
        </w:rPr>
      </w:pPr>
      <w:r w:rsidRPr="00A631A1">
        <w:rPr>
          <w:szCs w:val="18"/>
        </w:rPr>
        <w:t>b</w:t>
      </w:r>
      <w:r w:rsidRPr="00490FBB">
        <w:rPr>
          <w:szCs w:val="18"/>
        </w:rPr>
        <w:t> An adequate assessment of ‘noninferiority’ is the preferred basis for demonstrating equivalence</w:t>
      </w:r>
      <w:r w:rsidR="00756CCF">
        <w:rPr>
          <w:szCs w:val="18"/>
        </w:rPr>
        <w:t>.</w:t>
      </w:r>
    </w:p>
    <w:p w14:paraId="037ACD84" w14:textId="604142CB" w:rsidR="00B97792" w:rsidRDefault="00B97792" w:rsidP="00B97792">
      <w:r>
        <w:t xml:space="preserve">TTVR </w:t>
      </w:r>
      <w:r w:rsidRPr="007F2EF8">
        <w:t xml:space="preserve">is expected to be more costly than OMT </w:t>
      </w:r>
      <w:r>
        <w:t xml:space="preserve">alone </w:t>
      </w:r>
      <w:r w:rsidRPr="007F2EF8">
        <w:t xml:space="preserve">because </w:t>
      </w:r>
      <w:r>
        <w:t xml:space="preserve">of the additional costs for the </w:t>
      </w:r>
      <w:r w:rsidR="00266F31">
        <w:t xml:space="preserve">medical </w:t>
      </w:r>
      <w:r w:rsidRPr="007F2EF8">
        <w:t>procedure</w:t>
      </w:r>
      <w:r w:rsidR="008A2858">
        <w:t xml:space="preserve">, </w:t>
      </w:r>
      <w:r>
        <w:t xml:space="preserve">skilled surgical staff, </w:t>
      </w:r>
      <w:r w:rsidRPr="007F2EF8">
        <w:t>specialised equipment</w:t>
      </w:r>
      <w:r w:rsidR="00B86602">
        <w:t xml:space="preserve">, </w:t>
      </w:r>
      <w:r w:rsidRPr="007F2EF8">
        <w:t>operating room time</w:t>
      </w:r>
      <w:r w:rsidR="00594DB6">
        <w:t xml:space="preserve">, </w:t>
      </w:r>
      <w:r w:rsidR="008A2858">
        <w:t>and long-term</w:t>
      </w:r>
      <w:r w:rsidR="00594DB6">
        <w:t xml:space="preserve"> monitoring and anticoagulation</w:t>
      </w:r>
      <w:r w:rsidRPr="007F2EF8">
        <w:t xml:space="preserve">. OMT </w:t>
      </w:r>
      <w:r>
        <w:t xml:space="preserve">alone </w:t>
      </w:r>
      <w:r w:rsidRPr="007F2EF8">
        <w:t>incurs no costs from procedure-related complications, hospital stays, or recovery periods</w:t>
      </w:r>
      <w:r w:rsidR="002937E2">
        <w:t xml:space="preserve"> and rehabilitation</w:t>
      </w:r>
      <w:r w:rsidRPr="007F2EF8">
        <w:t>, making it inherently less expensive.</w:t>
      </w:r>
    </w:p>
    <w:p w14:paraId="36CF5AFB" w14:textId="4DD805C5" w:rsidR="002C1D9D" w:rsidRPr="006141B3" w:rsidRDefault="002C1D9D" w:rsidP="00A4449B">
      <w:pPr>
        <w:spacing w:after="120"/>
      </w:pPr>
      <w:r>
        <w:t>The application stated that the overall cost per patient of providing TTVR using the EVOQUE system is ap</w:t>
      </w:r>
      <w:r w:rsidRPr="000E7E89">
        <w:t>proximately $</w:t>
      </w:r>
      <w:r w:rsidR="66F288AB" w:rsidRPr="006141B3">
        <w:t>REDACT</w:t>
      </w:r>
      <w:r w:rsidR="00C54FA7">
        <w:t>:</w:t>
      </w:r>
    </w:p>
    <w:p w14:paraId="4BE22DD1" w14:textId="4880DDE1" w:rsidR="002C1D9D" w:rsidRPr="006141B3" w:rsidRDefault="002C1D9D" w:rsidP="00A4449B">
      <w:pPr>
        <w:pStyle w:val="ListParagraph"/>
        <w:numPr>
          <w:ilvl w:val="0"/>
          <w:numId w:val="17"/>
        </w:numPr>
        <w:spacing w:line="240" w:lineRule="auto"/>
        <w:ind w:left="714" w:hanging="357"/>
      </w:pPr>
      <w:r w:rsidRPr="000E7E89">
        <w:t>device cost (Edwards EVOQUE valve, delivery system, dilator kit and loading system) $</w:t>
      </w:r>
      <w:r w:rsidR="37D31606" w:rsidRPr="006141B3">
        <w:t>REDACT</w:t>
      </w:r>
    </w:p>
    <w:p w14:paraId="3F049493" w14:textId="1C795979" w:rsidR="002C1D9D" w:rsidRPr="006141B3" w:rsidRDefault="002C1D9D" w:rsidP="00A4449B">
      <w:pPr>
        <w:pStyle w:val="ListParagraph"/>
        <w:numPr>
          <w:ilvl w:val="0"/>
          <w:numId w:val="17"/>
        </w:numPr>
        <w:spacing w:line="240" w:lineRule="auto"/>
        <w:ind w:left="714" w:hanging="357"/>
      </w:pPr>
      <w:r w:rsidRPr="000E7E89">
        <w:t>proposed MBS fee $1,631.65 – $1,800</w:t>
      </w:r>
    </w:p>
    <w:p w14:paraId="6A9D7CF3" w14:textId="77CE3DB2" w:rsidR="002C1D9D" w:rsidRDefault="002C1D9D" w:rsidP="00A4449B">
      <w:pPr>
        <w:pStyle w:val="ListParagraph"/>
        <w:numPr>
          <w:ilvl w:val="0"/>
          <w:numId w:val="17"/>
        </w:numPr>
        <w:spacing w:line="240" w:lineRule="auto"/>
        <w:ind w:left="714" w:hanging="357"/>
      </w:pPr>
      <w:r>
        <w:t xml:space="preserve">other costs, including hospitalisation </w:t>
      </w:r>
      <w:r w:rsidRPr="00A40827">
        <w:t>$61,569</w:t>
      </w:r>
      <w:r w:rsidR="00AD3FD4" w:rsidRPr="00A40827">
        <w:t>.</w:t>
      </w:r>
      <w:r w:rsidRPr="00A40827">
        <w:rPr>
          <w:rStyle w:val="FootnoteReference"/>
        </w:rPr>
        <w:footnoteReference w:id="7"/>
      </w:r>
    </w:p>
    <w:p w14:paraId="3AFB0D8E" w14:textId="28EB3375" w:rsidR="00B20602" w:rsidRDefault="00B20602" w:rsidP="00154176">
      <w:pPr>
        <w:autoSpaceDE w:val="0"/>
        <w:autoSpaceDN w:val="0"/>
        <w:adjustRightInd w:val="0"/>
        <w:rPr>
          <w:rFonts w:asciiTheme="minorHAnsi" w:hAnsiTheme="minorHAnsi" w:cstheme="minorHAnsi"/>
          <w:i/>
          <w:iCs/>
        </w:rPr>
      </w:pPr>
      <w:r>
        <w:rPr>
          <w:rFonts w:asciiTheme="minorHAnsi" w:hAnsiTheme="minorHAnsi" w:cstheme="minorHAnsi"/>
          <w:i/>
          <w:iCs/>
        </w:rPr>
        <w:lastRenderedPageBreak/>
        <w:t>PASC agreed that a CUA is appropriate for the clinical claims of superior efficacy and non-inferior safety. However, PASC noted the clinical evidence presented was</w:t>
      </w:r>
      <w:r w:rsidR="0042179A">
        <w:rPr>
          <w:rFonts w:asciiTheme="minorHAnsi" w:hAnsiTheme="minorHAnsi" w:cstheme="minorHAnsi"/>
          <w:i/>
          <w:iCs/>
        </w:rPr>
        <w:t xml:space="preserve"> </w:t>
      </w:r>
      <w:r>
        <w:rPr>
          <w:rFonts w:asciiTheme="minorHAnsi" w:hAnsiTheme="minorHAnsi" w:cstheme="minorHAnsi"/>
          <w:i/>
          <w:iCs/>
        </w:rPr>
        <w:t xml:space="preserve">restricted to a single trial with a relatively high incidence of adverse events compared to other heart valve trials. PASC discussed whether TTVR safety could be considered inferior to OMT, noting the high incidence of early death (3.5%), severe bleeding (10%) and requirement for pacing (15%) in TRISCEND II. PASC noted advice from </w:t>
      </w:r>
      <w:r w:rsidR="004B6ED5">
        <w:rPr>
          <w:rFonts w:asciiTheme="minorHAnsi" w:hAnsiTheme="minorHAnsi" w:cstheme="minorHAnsi"/>
          <w:i/>
          <w:iCs/>
        </w:rPr>
        <w:t xml:space="preserve">the </w:t>
      </w:r>
      <w:r>
        <w:rPr>
          <w:rFonts w:asciiTheme="minorHAnsi" w:hAnsiTheme="minorHAnsi" w:cstheme="minorHAnsi"/>
          <w:i/>
          <w:iCs/>
        </w:rPr>
        <w:t>applicant’s clinical experts that the results of TRISCEND II reflect early experience with the device and there have been significant learnings in terms of management of bleeding complications.</w:t>
      </w:r>
    </w:p>
    <w:p w14:paraId="4C43C67E" w14:textId="7402612B" w:rsidR="00B20602" w:rsidRDefault="00B20602" w:rsidP="00154176">
      <w:pPr>
        <w:autoSpaceDE w:val="0"/>
        <w:autoSpaceDN w:val="0"/>
        <w:adjustRightInd w:val="0"/>
        <w:rPr>
          <w:rFonts w:asciiTheme="minorHAnsi" w:hAnsiTheme="minorHAnsi" w:cstheme="minorHAnsi"/>
          <w:i/>
          <w:iCs/>
        </w:rPr>
      </w:pPr>
      <w:r>
        <w:rPr>
          <w:rFonts w:asciiTheme="minorHAnsi" w:hAnsiTheme="minorHAnsi" w:cstheme="minorHAnsi"/>
          <w:i/>
          <w:iCs/>
        </w:rPr>
        <w:t>PASC suggested inclusion of post-market registry data would be useful to support the safety of the TTVR procedure and demonstrate the reduction in complication rates that is expected in real-world settings. PASC were advised by the applicant’s clinical experts of the TVT registry in the USA, mandated by the FDA, that monitors real-world outcomes related to transcatheter valve therapies, and a newly established independent, investigator-driven registry in Australia, sponsored by Queensland Health, that will collect TTVI outcomes.</w:t>
      </w:r>
    </w:p>
    <w:p w14:paraId="363D84F5" w14:textId="54A49CF4" w:rsidR="00B20602" w:rsidRPr="00B97792" w:rsidRDefault="00B20602" w:rsidP="00154176">
      <w:pPr>
        <w:autoSpaceDE w:val="0"/>
        <w:autoSpaceDN w:val="0"/>
        <w:adjustRightInd w:val="0"/>
      </w:pPr>
      <w:r>
        <w:rPr>
          <w:rFonts w:asciiTheme="minorHAnsi" w:hAnsiTheme="minorHAnsi" w:cstheme="minorHAnsi"/>
          <w:i/>
          <w:iCs/>
        </w:rPr>
        <w:t>PASC considered that it may be challenging to demonstrate cost-effectiveness based on the results from the TRISCEND II Pivotal Trial and the relatively high cost of the device, which is more than twice the cost of the TAVI valve.</w:t>
      </w:r>
    </w:p>
    <w:p w14:paraId="047E4738" w14:textId="1D501EE9" w:rsidR="00D73332" w:rsidRDefault="00D73332" w:rsidP="00DE762F">
      <w:pPr>
        <w:pStyle w:val="Heading2"/>
      </w:pPr>
      <w:r w:rsidRPr="00DE762F">
        <w:t>Propos</w:t>
      </w:r>
      <w:r w:rsidR="000D1FCF" w:rsidRPr="00DE762F">
        <w:t>al for public funding</w:t>
      </w:r>
    </w:p>
    <w:p w14:paraId="0ADAAB87" w14:textId="3BDB7C4B" w:rsidR="00994447" w:rsidRDefault="00741A64" w:rsidP="001F6B1F">
      <w:r>
        <w:t>The application propose</w:t>
      </w:r>
      <w:r w:rsidR="00CC4512">
        <w:t xml:space="preserve">d the creation of a new MBS item for </w:t>
      </w:r>
      <w:r w:rsidR="001703DF">
        <w:t xml:space="preserve">isolated </w:t>
      </w:r>
      <w:r w:rsidR="00CC4512">
        <w:t>TTVR</w:t>
      </w:r>
      <w:r w:rsidR="00710FC3">
        <w:t xml:space="preserve"> </w:t>
      </w:r>
      <w:r w:rsidR="009F4ADE">
        <w:t>performed using</w:t>
      </w:r>
      <w:r w:rsidR="008C6EAF">
        <w:t xml:space="preserve"> the </w:t>
      </w:r>
      <w:r w:rsidR="0017287C">
        <w:t>EVOQUE tricuspid valve replacement system</w:t>
      </w:r>
      <w:r w:rsidR="00B81AD4">
        <w:t xml:space="preserve"> (</w:t>
      </w:r>
      <w:r w:rsidR="009A075C">
        <w:t>Table 7</w:t>
      </w:r>
      <w:r w:rsidR="00B81AD4">
        <w:t>)</w:t>
      </w:r>
      <w:r w:rsidR="00245606">
        <w:t xml:space="preserve">. The </w:t>
      </w:r>
      <w:r w:rsidR="00A53847">
        <w:t xml:space="preserve">rationale in the application </w:t>
      </w:r>
      <w:r w:rsidR="00245606">
        <w:t xml:space="preserve">for </w:t>
      </w:r>
      <w:r w:rsidR="00B33F24">
        <w:t xml:space="preserve">specifying the EVOQUE system is that no other TTVR devices are </w:t>
      </w:r>
      <w:r w:rsidR="005F76FC">
        <w:t xml:space="preserve">currently </w:t>
      </w:r>
      <w:r w:rsidR="00B33F24">
        <w:t>included in the ARTG</w:t>
      </w:r>
      <w:r w:rsidR="00D42D1F">
        <w:t>,</w:t>
      </w:r>
      <w:r w:rsidR="00B33F24">
        <w:t xml:space="preserve"> and </w:t>
      </w:r>
      <w:r w:rsidR="005F76FC">
        <w:t>EVOQUE is currently the only device with RCT evidence.</w:t>
      </w:r>
    </w:p>
    <w:p w14:paraId="6E9C93BE" w14:textId="6CA9F20D" w:rsidR="005640E9" w:rsidRDefault="005640E9" w:rsidP="00154176">
      <w:pPr>
        <w:autoSpaceDE w:val="0"/>
        <w:autoSpaceDN w:val="0"/>
        <w:adjustRightInd w:val="0"/>
      </w:pPr>
      <w:r w:rsidRPr="73B3A0AB">
        <w:rPr>
          <w:rFonts w:asciiTheme="minorHAnsi" w:hAnsiTheme="minorHAnsi" w:cstheme="minorBidi"/>
          <w:i/>
        </w:rPr>
        <w:t>PASC noted that consistent with current departmental policy</w:t>
      </w:r>
      <w:r>
        <w:rPr>
          <w:rFonts w:asciiTheme="minorHAnsi" w:hAnsiTheme="minorHAnsi" w:cstheme="minorBidi"/>
          <w:i/>
        </w:rPr>
        <w:t>,</w:t>
      </w:r>
      <w:r w:rsidRPr="73B3A0AB">
        <w:rPr>
          <w:rFonts w:asciiTheme="minorHAnsi" w:hAnsiTheme="minorHAnsi" w:cstheme="minorBidi"/>
          <w:i/>
        </w:rPr>
        <w:t xml:space="preserve"> device-agnostic</w:t>
      </w:r>
      <w:r>
        <w:rPr>
          <w:rFonts w:asciiTheme="minorHAnsi" w:hAnsiTheme="minorHAnsi" w:cstheme="minorBidi"/>
          <w:i/>
        </w:rPr>
        <w:t xml:space="preserve"> items were preferred</w:t>
      </w:r>
      <w:r w:rsidRPr="73B3A0AB">
        <w:rPr>
          <w:rFonts w:asciiTheme="minorHAnsi" w:hAnsiTheme="minorHAnsi" w:cstheme="minorBidi"/>
          <w:i/>
        </w:rPr>
        <w:t xml:space="preserve"> in terms of future proofing any ensuing MBS listing.</w:t>
      </w:r>
      <w:r>
        <w:rPr>
          <w:rFonts w:asciiTheme="minorHAnsi" w:hAnsiTheme="minorHAnsi" w:cstheme="minorBidi"/>
          <w:i/>
        </w:rPr>
        <w:t xml:space="preserve"> However, </w:t>
      </w:r>
      <w:r w:rsidRPr="00A975AD">
        <w:rPr>
          <w:rFonts w:asciiTheme="minorHAnsi" w:hAnsiTheme="minorHAnsi" w:cstheme="minorHAnsi"/>
          <w:i/>
          <w:iCs/>
        </w:rPr>
        <w:t>PASC advised</w:t>
      </w:r>
      <w:r>
        <w:rPr>
          <w:rFonts w:asciiTheme="minorHAnsi" w:hAnsiTheme="minorHAnsi" w:cstheme="minorHAnsi"/>
          <w:i/>
          <w:iCs/>
        </w:rPr>
        <w:t xml:space="preserve"> the applicant</w:t>
      </w:r>
      <w:r w:rsidRPr="00A975AD">
        <w:rPr>
          <w:rFonts w:asciiTheme="minorHAnsi" w:hAnsiTheme="minorHAnsi" w:cstheme="minorHAnsi"/>
          <w:i/>
          <w:iCs/>
        </w:rPr>
        <w:t xml:space="preserve"> that the ADAR </w:t>
      </w:r>
      <w:r>
        <w:rPr>
          <w:rFonts w:asciiTheme="minorHAnsi" w:hAnsiTheme="minorHAnsi" w:cstheme="minorHAnsi"/>
          <w:i/>
          <w:iCs/>
        </w:rPr>
        <w:t xml:space="preserve">would need to provide justification and evidence to support the case for a device-specific </w:t>
      </w:r>
      <w:r w:rsidR="00F763E5">
        <w:rPr>
          <w:rFonts w:asciiTheme="minorHAnsi" w:hAnsiTheme="minorHAnsi" w:cstheme="minorHAnsi"/>
          <w:i/>
          <w:iCs/>
        </w:rPr>
        <w:t>MBS</w:t>
      </w:r>
      <w:r>
        <w:rPr>
          <w:rFonts w:asciiTheme="minorHAnsi" w:hAnsiTheme="minorHAnsi" w:cstheme="minorHAnsi"/>
          <w:i/>
          <w:iCs/>
        </w:rPr>
        <w:t xml:space="preserve"> listing for MSAC consideration.</w:t>
      </w:r>
    </w:p>
    <w:p w14:paraId="59F76108" w14:textId="640EF54F" w:rsidR="009C406E" w:rsidRDefault="009C406E" w:rsidP="009C406E">
      <w:r>
        <w:t xml:space="preserve">The </w:t>
      </w:r>
      <w:r w:rsidR="008B2841">
        <w:t xml:space="preserve">proposed </w:t>
      </w:r>
      <w:r>
        <w:t>MBS item descriptor specifie</w:t>
      </w:r>
      <w:r w:rsidR="006279A9">
        <w:t>s</w:t>
      </w:r>
      <w:r>
        <w:t xml:space="preserve"> that the service </w:t>
      </w:r>
      <w:r w:rsidR="006279A9">
        <w:t>i</w:t>
      </w:r>
      <w:r>
        <w:t>s to be performed via a transfemoral venous approach. In response to a query about this from the department, the applicant’s clinical expert advised that the EVOQUE valve is designed to be implanted using transfemoral access</w:t>
      </w:r>
      <w:r w:rsidR="00E109EF">
        <w:t>,</w:t>
      </w:r>
      <w:r>
        <w:t xml:space="preserve"> but the MBS item descriptor need not specify this approach.</w:t>
      </w:r>
      <w:bookmarkStart w:id="15" w:name="_Ref192239327"/>
      <w:r>
        <w:rPr>
          <w:rStyle w:val="FootnoteReference"/>
        </w:rPr>
        <w:footnoteReference w:id="8"/>
      </w:r>
      <w:bookmarkEnd w:id="15"/>
      <w:r w:rsidR="00105123">
        <w:t xml:space="preserve"> </w:t>
      </w:r>
      <w:r w:rsidR="00890663">
        <w:t xml:space="preserve">Although the transfemoral approach is </w:t>
      </w:r>
      <w:r w:rsidR="00BE19F5">
        <w:t>common across several</w:t>
      </w:r>
      <w:r w:rsidR="00890663">
        <w:t xml:space="preserve"> </w:t>
      </w:r>
      <w:r w:rsidR="00191363">
        <w:t>TTVR devices in development</w:t>
      </w:r>
      <w:r w:rsidR="00890663">
        <w:t xml:space="preserve">, some </w:t>
      </w:r>
      <w:r w:rsidR="00BE19F5">
        <w:t xml:space="preserve">rely on </w:t>
      </w:r>
      <w:r w:rsidR="00191363">
        <w:t xml:space="preserve">transatrial </w:t>
      </w:r>
      <w:r w:rsidR="008D2AC4">
        <w:t>access</w:t>
      </w:r>
      <w:r w:rsidR="00F8607B">
        <w:t xml:space="preserve"> (</w:t>
      </w:r>
      <w:r w:rsidR="00802F4F">
        <w:t>see</w:t>
      </w:r>
      <w:r w:rsidR="0083057C">
        <w:t xml:space="preserve"> </w:t>
      </w:r>
      <w:r w:rsidR="0083057C">
        <w:fldChar w:fldCharType="begin"/>
      </w:r>
      <w:r w:rsidR="0083057C">
        <w:instrText xml:space="preserve"> REF _Ref197029266 \h </w:instrText>
      </w:r>
      <w:r w:rsidR="0083057C">
        <w:fldChar w:fldCharType="separate"/>
      </w:r>
      <w:r w:rsidR="00481F36" w:rsidRPr="00AD26D1">
        <w:t xml:space="preserve">Table </w:t>
      </w:r>
      <w:r w:rsidR="00481F36">
        <w:rPr>
          <w:noProof/>
        </w:rPr>
        <w:t>2</w:t>
      </w:r>
      <w:r w:rsidR="0083057C">
        <w:fldChar w:fldCharType="end"/>
      </w:r>
      <w:r w:rsidR="00F8607B">
        <w:t>)</w:t>
      </w:r>
      <w:r w:rsidR="00B86BF2">
        <w:t>.</w:t>
      </w:r>
    </w:p>
    <w:p w14:paraId="6FA68C3C" w14:textId="55F6BF27" w:rsidR="002F5E65" w:rsidRDefault="002F5E65" w:rsidP="001F6B1F">
      <w:r w:rsidRPr="002F4AD2">
        <w:t>Notably, the proposed descriptor specifies replacement of the tricuspid valve</w:t>
      </w:r>
      <w:r w:rsidR="00455CD0" w:rsidRPr="002F4AD2">
        <w:t xml:space="preserve">; </w:t>
      </w:r>
      <w:r w:rsidR="008B2841" w:rsidRPr="002F4AD2">
        <w:t>it</w:t>
      </w:r>
      <w:r w:rsidRPr="002F4AD2">
        <w:t xml:space="preserve"> </w:t>
      </w:r>
      <w:r w:rsidR="00455CD0" w:rsidRPr="002F4AD2">
        <w:t>does</w:t>
      </w:r>
      <w:r w:rsidRPr="002F4AD2">
        <w:t xml:space="preserve"> not include </w:t>
      </w:r>
      <w:r w:rsidR="00A24E72" w:rsidRPr="002F4AD2">
        <w:t xml:space="preserve">TTV </w:t>
      </w:r>
      <w:r w:rsidRPr="002F4AD2">
        <w:t xml:space="preserve">repair. </w:t>
      </w:r>
      <w:r w:rsidR="00802441" w:rsidRPr="002F4AD2">
        <w:t xml:space="preserve">The application </w:t>
      </w:r>
      <w:r w:rsidR="002F4AD2" w:rsidRPr="002F4AD2">
        <w:t>explained</w:t>
      </w:r>
      <w:r w:rsidR="00802441" w:rsidRPr="002F4AD2">
        <w:t xml:space="preserve"> that </w:t>
      </w:r>
      <w:r w:rsidR="00346803" w:rsidRPr="002F4AD2">
        <w:t xml:space="preserve">TTVR and TTV repair should not be considered interchangeable. </w:t>
      </w:r>
      <w:r w:rsidR="00222AD1" w:rsidRPr="002F4AD2">
        <w:t xml:space="preserve">Clinical and technical factors are taken </w:t>
      </w:r>
      <w:r w:rsidR="00222AD1" w:rsidRPr="00595FE3">
        <w:t xml:space="preserve">into consideration by the heart team when </w:t>
      </w:r>
      <w:r w:rsidR="008930F9" w:rsidRPr="00595FE3">
        <w:t>choosing the most appropriate TTVI for a particular patient. Fur</w:t>
      </w:r>
      <w:r w:rsidR="002F4AD2" w:rsidRPr="00595FE3">
        <w:t>t</w:t>
      </w:r>
      <w:r w:rsidR="008930F9" w:rsidRPr="00595FE3">
        <w:t>hermore,</w:t>
      </w:r>
      <w:r w:rsidR="00346803" w:rsidRPr="00595FE3">
        <w:t xml:space="preserve"> </w:t>
      </w:r>
      <w:r w:rsidR="00802441" w:rsidRPr="00595FE3">
        <w:t>p</w:t>
      </w:r>
      <w:r w:rsidRPr="00595FE3">
        <w:t xml:space="preserve">revious studies evaluating </w:t>
      </w:r>
      <w:r w:rsidR="00AB218E" w:rsidRPr="00595FE3">
        <w:t>TTV</w:t>
      </w:r>
      <w:r w:rsidRPr="00595FE3">
        <w:t xml:space="preserve"> repair technologies have shown these devices to be safe and effective, however they frequently leave clinically significant levels of residual regurgitation, which is associated with worse long-term outcomes (Hahn</w:t>
      </w:r>
      <w:r w:rsidR="00802441" w:rsidRPr="00595FE3">
        <w:t xml:space="preserve"> </w:t>
      </w:r>
      <w:r w:rsidRPr="00595FE3">
        <w:t>et al. 202</w:t>
      </w:r>
      <w:r w:rsidR="00B94D52" w:rsidRPr="00595FE3">
        <w:t>5</w:t>
      </w:r>
      <w:r w:rsidRPr="00595FE3">
        <w:t>).</w:t>
      </w:r>
      <w:r w:rsidR="003B3649" w:rsidRPr="002F4AD2">
        <w:t xml:space="preserve"> </w:t>
      </w:r>
      <w:r w:rsidR="000F3F5E" w:rsidRPr="000F3F5E">
        <w:lastRenderedPageBreak/>
        <w:t>While TTV repair devices are commercially available in Australia, there are currently no MBS items for the procedure.</w:t>
      </w:r>
    </w:p>
    <w:p w14:paraId="579590F6" w14:textId="05A2EEF9" w:rsidR="003B7B0F" w:rsidRDefault="00731E62" w:rsidP="001F6B1F">
      <w:r>
        <w:t>Similar to the MBS item</w:t>
      </w:r>
      <w:r w:rsidR="002D4EDA">
        <w:t>s</w:t>
      </w:r>
      <w:r>
        <w:t xml:space="preserve"> for </w:t>
      </w:r>
      <w:r w:rsidR="009542D3">
        <w:t>TMVr (MBS item</w:t>
      </w:r>
      <w:r w:rsidR="002D4EDA">
        <w:t>s</w:t>
      </w:r>
      <w:r w:rsidR="009542D3">
        <w:t xml:space="preserve"> </w:t>
      </w:r>
      <w:r w:rsidR="00D42A84">
        <w:t>38461</w:t>
      </w:r>
      <w:r w:rsidR="002D4EDA">
        <w:t xml:space="preserve"> and 38463</w:t>
      </w:r>
      <w:r w:rsidR="00D42A84">
        <w:t>)</w:t>
      </w:r>
      <w:r>
        <w:t xml:space="preserve">, the </w:t>
      </w:r>
      <w:r w:rsidR="00E2340B">
        <w:t xml:space="preserve">proposed </w:t>
      </w:r>
      <w:r w:rsidR="002C7F83">
        <w:t>descriptor for</w:t>
      </w:r>
      <w:r>
        <w:t xml:space="preserve"> the new</w:t>
      </w:r>
      <w:r w:rsidR="00E2340B">
        <w:t xml:space="preserve"> TTVR</w:t>
      </w:r>
      <w:r>
        <w:t xml:space="preserve"> item</w:t>
      </w:r>
      <w:r w:rsidR="00710FC3">
        <w:t xml:space="preserve"> includes intraoperative diagnostic imaging</w:t>
      </w:r>
      <w:r w:rsidR="009A30B1">
        <w:t xml:space="preserve"> </w:t>
      </w:r>
      <w:r w:rsidR="00C504E2">
        <w:t xml:space="preserve">to cover </w:t>
      </w:r>
      <w:r w:rsidR="003C0256">
        <w:t>fluoroscopy and T</w:t>
      </w:r>
      <w:r w:rsidR="00766D43">
        <w:t>O</w:t>
      </w:r>
      <w:r w:rsidR="003C0256">
        <w:t xml:space="preserve">E </w:t>
      </w:r>
      <w:r w:rsidR="00147021">
        <w:t xml:space="preserve">used </w:t>
      </w:r>
      <w:r w:rsidR="003C0256">
        <w:t>throughout the procedure</w:t>
      </w:r>
      <w:r w:rsidR="00147021">
        <w:t xml:space="preserve"> to guide implantation</w:t>
      </w:r>
      <w:r w:rsidR="003C0256">
        <w:t>, as well as</w:t>
      </w:r>
      <w:r w:rsidR="00463D76">
        <w:t xml:space="preserve"> </w:t>
      </w:r>
      <w:r w:rsidR="003C0256">
        <w:t>T</w:t>
      </w:r>
      <w:r w:rsidR="00766D43">
        <w:t>O</w:t>
      </w:r>
      <w:r w:rsidR="003C0256">
        <w:t xml:space="preserve">E </w:t>
      </w:r>
      <w:r w:rsidR="00147021">
        <w:t>to confirm p</w:t>
      </w:r>
      <w:r w:rsidR="00C504E2" w:rsidRPr="006C7F2C">
        <w:t xml:space="preserve">roper positioning and functioning of the </w:t>
      </w:r>
      <w:r w:rsidR="00C504E2">
        <w:t xml:space="preserve">artificial </w:t>
      </w:r>
      <w:r w:rsidR="00C504E2" w:rsidRPr="006C7F2C">
        <w:t>valve</w:t>
      </w:r>
      <w:r w:rsidR="00147021">
        <w:t>.</w:t>
      </w:r>
    </w:p>
    <w:p w14:paraId="2FD28E19" w14:textId="5F74B419" w:rsidR="003A155C" w:rsidRDefault="0061587E" w:rsidP="00595882">
      <w:r>
        <w:t xml:space="preserve">The population proposed in the item descriptor is </w:t>
      </w:r>
      <w:r w:rsidR="00812947">
        <w:t xml:space="preserve">broadly </w:t>
      </w:r>
      <w:r>
        <w:t>consistent with the population from the TRISCEND II Pivotal Trial</w:t>
      </w:r>
      <w:r w:rsidR="009F5F91">
        <w:t>.</w:t>
      </w:r>
      <w:r>
        <w:t xml:space="preserve"> </w:t>
      </w:r>
      <w:r w:rsidR="003923BE">
        <w:t>The definition of OMT is not defined in the descriptor</w:t>
      </w:r>
      <w:r w:rsidR="00547E22">
        <w:t xml:space="preserve">, but </w:t>
      </w:r>
      <w:r w:rsidR="00802178">
        <w:t xml:space="preserve">according to best practice it </w:t>
      </w:r>
      <w:r w:rsidR="00547E22">
        <w:t xml:space="preserve">would </w:t>
      </w:r>
      <w:r w:rsidR="00802178">
        <w:t xml:space="preserve">likely </w:t>
      </w:r>
      <w:r w:rsidR="00547E22">
        <w:t xml:space="preserve">include </w:t>
      </w:r>
      <w:r w:rsidR="003923BE">
        <w:t>stable oral diuretic medications</w:t>
      </w:r>
      <w:r w:rsidR="00802178">
        <w:t xml:space="preserve"> </w:t>
      </w:r>
      <w:r w:rsidR="009C2251">
        <w:t xml:space="preserve">at a minimum </w:t>
      </w:r>
      <w:r w:rsidR="00802178">
        <w:t>(</w:t>
      </w:r>
      <w:r w:rsidR="003923BE">
        <w:t>unless the patient had a documented history of intolerance</w:t>
      </w:r>
      <w:r w:rsidR="00802178">
        <w:t>)</w:t>
      </w:r>
      <w:r w:rsidR="003923BE">
        <w:t xml:space="preserve">. </w:t>
      </w:r>
      <w:r w:rsidR="00D81548">
        <w:t>T</w:t>
      </w:r>
      <w:r w:rsidR="001E0902" w:rsidRPr="001E0902">
        <w:t xml:space="preserve">he proposed </w:t>
      </w:r>
      <w:r w:rsidR="00B75DA9">
        <w:t>descriptor</w:t>
      </w:r>
      <w:r w:rsidR="001E0902" w:rsidRPr="001E0902">
        <w:t xml:space="preserve"> does not specify </w:t>
      </w:r>
      <w:r w:rsidR="00F47893">
        <w:t>notable</w:t>
      </w:r>
      <w:r w:rsidR="001E0902">
        <w:t xml:space="preserve"> </w:t>
      </w:r>
      <w:r w:rsidR="009F5F91">
        <w:t xml:space="preserve">trial </w:t>
      </w:r>
      <w:r w:rsidR="001E0902" w:rsidRPr="001E0902">
        <w:t>exclusion criteria</w:t>
      </w:r>
      <w:r w:rsidR="00595882">
        <w:t xml:space="preserve"> (</w:t>
      </w:r>
      <w:r w:rsidR="00F22970">
        <w:t xml:space="preserve">such as </w:t>
      </w:r>
      <w:r w:rsidR="000770F5">
        <w:t xml:space="preserve">age &lt;18 years; </w:t>
      </w:r>
      <w:r w:rsidR="00595882" w:rsidRPr="00E41DDF">
        <w:t xml:space="preserve">anatomy precluding proper </w:t>
      </w:r>
      <w:r w:rsidR="00B90FB2">
        <w:t xml:space="preserve">device </w:t>
      </w:r>
      <w:r w:rsidR="008663C7">
        <w:t>implantation</w:t>
      </w:r>
      <w:r w:rsidR="00595882">
        <w:t xml:space="preserve">; </w:t>
      </w:r>
      <w:r w:rsidR="00595882" w:rsidRPr="00E41DDF">
        <w:t xml:space="preserve">evidence of severe </w:t>
      </w:r>
      <w:r w:rsidR="00EC2487">
        <w:t>RV</w:t>
      </w:r>
      <w:r w:rsidR="00595882" w:rsidRPr="00E41DDF">
        <w:t xml:space="preserve"> dysfunction</w:t>
      </w:r>
      <w:r w:rsidR="00595882">
        <w:t xml:space="preserve">; </w:t>
      </w:r>
      <w:r w:rsidR="00595882" w:rsidRPr="00E41DDF">
        <w:t>severe renal insufficiency</w:t>
      </w:r>
      <w:r w:rsidR="00595882">
        <w:t xml:space="preserve">; </w:t>
      </w:r>
      <w:r w:rsidR="00595882" w:rsidRPr="00E41DDF">
        <w:t>severe pulmonary hypertension</w:t>
      </w:r>
      <w:r w:rsidR="00595882">
        <w:t xml:space="preserve">; </w:t>
      </w:r>
      <w:r w:rsidR="00595882" w:rsidRPr="00E41DDF">
        <w:t>severe aortic, mitral or pulmonic valve stenosis or regurgitation</w:t>
      </w:r>
      <w:r w:rsidR="00595882">
        <w:t>)</w:t>
      </w:r>
      <w:r w:rsidR="00D06FDB">
        <w:t>. H</w:t>
      </w:r>
      <w:r w:rsidR="00D81548">
        <w:t>owever,</w:t>
      </w:r>
      <w:r w:rsidR="001E0902" w:rsidRPr="001E0902">
        <w:t xml:space="preserve"> </w:t>
      </w:r>
      <w:r w:rsidR="00813958">
        <w:t xml:space="preserve">the application </w:t>
      </w:r>
      <w:r w:rsidR="00D06FDB">
        <w:t>noted</w:t>
      </w:r>
      <w:r w:rsidR="00813958">
        <w:t xml:space="preserve"> that</w:t>
      </w:r>
      <w:r w:rsidR="001E0902" w:rsidRPr="001E0902">
        <w:t xml:space="preserve"> </w:t>
      </w:r>
      <w:r w:rsidR="001D4E59">
        <w:t>the</w:t>
      </w:r>
      <w:r w:rsidR="00FD47BB">
        <w:t>se factors would be taken into consideration by the</w:t>
      </w:r>
      <w:r w:rsidR="001D4E59">
        <w:t xml:space="preserve"> </w:t>
      </w:r>
      <w:r w:rsidR="001E0902" w:rsidRPr="001E0902">
        <w:t xml:space="preserve">multidisciplinary </w:t>
      </w:r>
      <w:r w:rsidR="00813958">
        <w:t>h</w:t>
      </w:r>
      <w:r w:rsidR="001E0902" w:rsidRPr="001E0902">
        <w:t xml:space="preserve">eart </w:t>
      </w:r>
      <w:r w:rsidR="00813958">
        <w:t>t</w:t>
      </w:r>
      <w:r w:rsidR="001E0902" w:rsidRPr="001E0902">
        <w:t xml:space="preserve">eam </w:t>
      </w:r>
      <w:r w:rsidR="00B07695">
        <w:t xml:space="preserve">who are required </w:t>
      </w:r>
      <w:r w:rsidR="0083108C">
        <w:t xml:space="preserve">to </w:t>
      </w:r>
      <w:r w:rsidR="00615FAA" w:rsidRPr="00D70FDC">
        <w:t xml:space="preserve">determine </w:t>
      </w:r>
      <w:r w:rsidR="00FD47BB">
        <w:t>suitability</w:t>
      </w:r>
      <w:r w:rsidR="00615FAA" w:rsidRPr="00D70FDC">
        <w:t xml:space="preserve"> for </w:t>
      </w:r>
      <w:r w:rsidR="00FD47BB">
        <w:t>TTVR</w:t>
      </w:r>
      <w:r w:rsidR="001E0902" w:rsidRPr="001E0902">
        <w:t>.</w:t>
      </w:r>
    </w:p>
    <w:p w14:paraId="6242EB6B" w14:textId="09E046C5" w:rsidR="007C7874" w:rsidRDefault="000F1018" w:rsidP="00595882">
      <w:r w:rsidRPr="0066687D">
        <w:t xml:space="preserve">The application </w:t>
      </w:r>
      <w:r w:rsidR="0008676D" w:rsidRPr="0066687D">
        <w:t>advise</w:t>
      </w:r>
      <w:r w:rsidR="0072537C" w:rsidRPr="0066687D">
        <w:t>d</w:t>
      </w:r>
      <w:r w:rsidR="0008676D" w:rsidRPr="0066687D">
        <w:t xml:space="preserve"> that the </w:t>
      </w:r>
      <w:r w:rsidRPr="0066687D">
        <w:t xml:space="preserve">multidisciplinary heart team </w:t>
      </w:r>
      <w:r w:rsidR="0008676D" w:rsidRPr="0066687D">
        <w:t xml:space="preserve">should </w:t>
      </w:r>
      <w:r w:rsidRPr="0066687D">
        <w:t>includ</w:t>
      </w:r>
      <w:r w:rsidR="0008676D" w:rsidRPr="0066687D">
        <w:t>e</w:t>
      </w:r>
      <w:r w:rsidRPr="0066687D">
        <w:t xml:space="preserve"> at least an interventional cardiologist or cardiothoracic surgeon, an imaging cardiologist who is trained on T</w:t>
      </w:r>
      <w:r w:rsidR="00766D43">
        <w:t>O</w:t>
      </w:r>
      <w:r w:rsidRPr="0066687D">
        <w:t xml:space="preserve">E imaging, and an anaesthesiologist. </w:t>
      </w:r>
      <w:r w:rsidR="008A295A" w:rsidRPr="0066687D">
        <w:t xml:space="preserve">The assessment group noted that new MBS items </w:t>
      </w:r>
      <w:r w:rsidR="003B09FB">
        <w:t>would</w:t>
      </w:r>
      <w:r w:rsidR="008A295A" w:rsidRPr="0066687D">
        <w:t xml:space="preserve"> be required </w:t>
      </w:r>
      <w:r w:rsidR="006D1EF9" w:rsidRPr="0066687D">
        <w:t xml:space="preserve">for attendance at a TTVR suitability case conference, </w:t>
      </w:r>
      <w:r w:rsidR="006D70CF" w:rsidRPr="0066687D">
        <w:t>akin</w:t>
      </w:r>
      <w:r w:rsidR="006D1EF9" w:rsidRPr="0066687D">
        <w:t xml:space="preserve"> to </w:t>
      </w:r>
      <w:r w:rsidR="006D70CF" w:rsidRPr="0066687D">
        <w:t xml:space="preserve">MBS </w:t>
      </w:r>
      <w:r w:rsidR="006D1EF9" w:rsidRPr="0066687D">
        <w:t xml:space="preserve">items </w:t>
      </w:r>
      <w:r w:rsidR="00AB5300">
        <w:t>608</w:t>
      </w:r>
      <w:r w:rsidR="002A43B3">
        <w:t xml:space="preserve">0, 6081, </w:t>
      </w:r>
      <w:r w:rsidR="00C92DB8" w:rsidRPr="0066687D">
        <w:t>6082 and 6084 for TMVr</w:t>
      </w:r>
      <w:r w:rsidR="00645629" w:rsidRPr="0066687D">
        <w:t xml:space="preserve"> </w:t>
      </w:r>
      <w:r w:rsidR="00AB5300">
        <w:t xml:space="preserve">and TAVI </w:t>
      </w:r>
      <w:r w:rsidR="00645629" w:rsidRPr="0066687D">
        <w:t>case conference</w:t>
      </w:r>
      <w:r w:rsidR="003B09FB">
        <w:t>s</w:t>
      </w:r>
      <w:r w:rsidR="00C92DB8" w:rsidRPr="0066687D">
        <w:t>.</w:t>
      </w:r>
    </w:p>
    <w:p w14:paraId="665C3B9F" w14:textId="5D368ECF" w:rsidR="004658C9" w:rsidRDefault="004658C9" w:rsidP="00582E1D">
      <w:pPr>
        <w:autoSpaceDE w:val="0"/>
        <w:autoSpaceDN w:val="0"/>
        <w:adjustRightInd w:val="0"/>
      </w:pPr>
      <w:r w:rsidRPr="7A6AEF40">
        <w:rPr>
          <w:rFonts w:asciiTheme="minorHAnsi" w:hAnsiTheme="minorHAnsi" w:cstheme="minorBidi"/>
          <w:i/>
          <w:iCs/>
        </w:rPr>
        <w:t xml:space="preserve">PASC </w:t>
      </w:r>
      <w:r>
        <w:rPr>
          <w:rFonts w:asciiTheme="minorHAnsi" w:hAnsiTheme="minorHAnsi" w:cstheme="minorBidi"/>
          <w:i/>
          <w:iCs/>
        </w:rPr>
        <w:t>considered</w:t>
      </w:r>
      <w:r w:rsidRPr="7A6AEF40">
        <w:rPr>
          <w:rFonts w:asciiTheme="minorHAnsi" w:hAnsiTheme="minorHAnsi" w:cstheme="minorBidi"/>
          <w:i/>
          <w:iCs/>
        </w:rPr>
        <w:t xml:space="preserve"> </w:t>
      </w:r>
      <w:r>
        <w:rPr>
          <w:rFonts w:asciiTheme="minorHAnsi" w:hAnsiTheme="minorHAnsi" w:cstheme="minorBidi"/>
          <w:i/>
          <w:iCs/>
        </w:rPr>
        <w:t xml:space="preserve">the </w:t>
      </w:r>
      <w:r w:rsidRPr="7A6AEF40">
        <w:rPr>
          <w:rFonts w:asciiTheme="minorHAnsi" w:hAnsiTheme="minorHAnsi" w:cstheme="minorBidi"/>
          <w:i/>
          <w:iCs/>
        </w:rPr>
        <w:t>composition of the multidisciplinary heart team</w:t>
      </w:r>
      <w:r>
        <w:rPr>
          <w:rFonts w:asciiTheme="minorHAnsi" w:hAnsiTheme="minorHAnsi" w:cstheme="minorBidi"/>
          <w:i/>
          <w:iCs/>
        </w:rPr>
        <w:t>,</w:t>
      </w:r>
      <w:r w:rsidRPr="7A6AEF40">
        <w:rPr>
          <w:rFonts w:asciiTheme="minorHAnsi" w:hAnsiTheme="minorHAnsi" w:cstheme="minorBidi"/>
          <w:i/>
          <w:iCs/>
        </w:rPr>
        <w:t xml:space="preserve"> </w:t>
      </w:r>
      <w:r>
        <w:rPr>
          <w:rFonts w:asciiTheme="minorHAnsi" w:hAnsiTheme="minorHAnsi" w:cstheme="minorBidi"/>
          <w:i/>
          <w:iCs/>
        </w:rPr>
        <w:t>including</w:t>
      </w:r>
      <w:r w:rsidRPr="7A6AEF40">
        <w:rPr>
          <w:rFonts w:asciiTheme="minorHAnsi" w:hAnsiTheme="minorHAnsi" w:cstheme="minorBidi"/>
          <w:i/>
          <w:iCs/>
        </w:rPr>
        <w:t xml:space="preserve"> whether the interventional cardiologist or cardiothoracic surgeon who performs the procedure (and therefore financially benefits) should be involved in determining patient suitability for TTVR.</w:t>
      </w:r>
      <w:r>
        <w:rPr>
          <w:rFonts w:asciiTheme="minorHAnsi" w:hAnsiTheme="minorHAnsi" w:cstheme="minorBidi"/>
          <w:i/>
          <w:iCs/>
        </w:rPr>
        <w:t xml:space="preserve"> PASC agreed with advice from the department that the team composition should follow the same as for TAVI/TMVr.</w:t>
      </w:r>
    </w:p>
    <w:p w14:paraId="67D42813" w14:textId="015AD8C7" w:rsidR="009D3297" w:rsidRDefault="009D3297" w:rsidP="00595882">
      <w:r w:rsidRPr="008F5285">
        <w:t>The proposed item descriptor requires that interventional cardiologist</w:t>
      </w:r>
      <w:r>
        <w:t>s</w:t>
      </w:r>
      <w:r w:rsidRPr="008F5285">
        <w:t xml:space="preserve"> </w:t>
      </w:r>
      <w:r>
        <w:t>and</w:t>
      </w:r>
      <w:r w:rsidRPr="008F5285">
        <w:t xml:space="preserve"> cardiothoracic surgeon</w:t>
      </w:r>
      <w:r>
        <w:t>s</w:t>
      </w:r>
      <w:r w:rsidRPr="008F5285">
        <w:t xml:space="preserve"> </w:t>
      </w:r>
      <w:r>
        <w:t xml:space="preserve">who </w:t>
      </w:r>
      <w:r w:rsidRPr="008F5285">
        <w:t>perfor</w:t>
      </w:r>
      <w:r>
        <w:t>m</w:t>
      </w:r>
      <w:r w:rsidRPr="008F5285">
        <w:t xml:space="preserve"> TTVR are trained and certified by the TTVR </w:t>
      </w:r>
      <w:r w:rsidR="009C6BF4">
        <w:t>a</w:t>
      </w:r>
      <w:r w:rsidRPr="008F5285">
        <w:t xml:space="preserve">ccreditation </w:t>
      </w:r>
      <w:r w:rsidR="009C6BF4">
        <w:t>c</w:t>
      </w:r>
      <w:r w:rsidRPr="008F5285">
        <w:t>ommittee</w:t>
      </w:r>
      <w:r>
        <w:t xml:space="preserve">, which also provides accreditation for </w:t>
      </w:r>
      <w:r w:rsidRPr="008F5285">
        <w:t>hospital</w:t>
      </w:r>
      <w:r>
        <w:t>s</w:t>
      </w:r>
      <w:r w:rsidRPr="008F5285">
        <w:t xml:space="preserve"> </w:t>
      </w:r>
      <w:r>
        <w:t xml:space="preserve">that perform </w:t>
      </w:r>
      <w:r w:rsidR="001971CB">
        <w:t>the procedure</w:t>
      </w:r>
      <w:r w:rsidRPr="008F5285">
        <w:t>. Services relating to TAVI and TMVr have similar requirements</w:t>
      </w:r>
      <w:r>
        <w:t xml:space="preserve">, with formal recognition provided by specialised TAVI and TMVr </w:t>
      </w:r>
      <w:r w:rsidR="009C6BF4">
        <w:t>a</w:t>
      </w:r>
      <w:r>
        <w:t xml:space="preserve">ccreditation </w:t>
      </w:r>
      <w:r w:rsidR="009C6BF4">
        <w:t>c</w:t>
      </w:r>
      <w:r>
        <w:t>ommittees appointed by Cardiac Accreditation Services Ltd. These co</w:t>
      </w:r>
      <w:r w:rsidRPr="00BD7C38">
        <w:t>mmittee</w:t>
      </w:r>
      <w:r>
        <w:t>s</w:t>
      </w:r>
      <w:r w:rsidRPr="00BD7C38">
        <w:t xml:space="preserve"> comprise cardiologists and cardiothoracic surgeons </w:t>
      </w:r>
      <w:r>
        <w:t xml:space="preserve">nominated by </w:t>
      </w:r>
      <w:r w:rsidRPr="00BD7C38">
        <w:t>the Cardiac Society of Australia and New Zealand (CSANZ) and the Australian and New Zealand Society of Cardiac and Thoracic Surgeons (ANZSCTS).</w:t>
      </w:r>
      <w:r w:rsidR="00DD21C4">
        <w:t xml:space="preserve"> </w:t>
      </w:r>
      <w:r w:rsidR="00C263BF">
        <w:t xml:space="preserve">The applicant </w:t>
      </w:r>
      <w:r w:rsidR="00DD21C4">
        <w:t xml:space="preserve">has indicated a willingness to </w:t>
      </w:r>
      <w:r w:rsidR="003B2273">
        <w:t xml:space="preserve">work alongside </w:t>
      </w:r>
      <w:r w:rsidR="00A906FF">
        <w:t>key opinion leaders</w:t>
      </w:r>
      <w:r w:rsidR="000146DE">
        <w:t>,</w:t>
      </w:r>
      <w:r w:rsidR="00A906FF">
        <w:t xml:space="preserve"> including the relevant </w:t>
      </w:r>
      <w:r w:rsidR="00083C62">
        <w:t>societies</w:t>
      </w:r>
      <w:r w:rsidR="000146DE">
        <w:t>,</w:t>
      </w:r>
      <w:r w:rsidR="00083C62">
        <w:t xml:space="preserve"> </w:t>
      </w:r>
      <w:r w:rsidR="00DE553A">
        <w:t>in consultation with government</w:t>
      </w:r>
      <w:r w:rsidR="000407B8">
        <w:t xml:space="preserve"> and </w:t>
      </w:r>
      <w:r w:rsidR="00DE553A">
        <w:t>consumers</w:t>
      </w:r>
      <w:r w:rsidR="000F0D9F">
        <w:t>,</w:t>
      </w:r>
      <w:r w:rsidR="00DE553A">
        <w:t xml:space="preserve"> </w:t>
      </w:r>
      <w:r w:rsidR="003B5FF7">
        <w:t xml:space="preserve">to </w:t>
      </w:r>
      <w:r w:rsidR="00B03746">
        <w:t>ensure that</w:t>
      </w:r>
      <w:r w:rsidR="00BC29F5">
        <w:t xml:space="preserve"> </w:t>
      </w:r>
      <w:r w:rsidR="000F0D9F">
        <w:t xml:space="preserve">robust </w:t>
      </w:r>
      <w:r w:rsidR="00A701AE">
        <w:t xml:space="preserve">accreditation </w:t>
      </w:r>
      <w:r w:rsidR="002F7424">
        <w:t>measures</w:t>
      </w:r>
      <w:r w:rsidR="000407B8">
        <w:t xml:space="preserve"> and processes</w:t>
      </w:r>
      <w:r w:rsidR="002E07A9">
        <w:t xml:space="preserve"> </w:t>
      </w:r>
      <w:r w:rsidR="0014360A">
        <w:t xml:space="preserve">are </w:t>
      </w:r>
      <w:r w:rsidR="002E07A9">
        <w:t>put in place</w:t>
      </w:r>
      <w:r w:rsidR="0014360A">
        <w:t xml:space="preserve"> </w:t>
      </w:r>
      <w:r w:rsidR="00B03746">
        <w:t xml:space="preserve">before implantation </w:t>
      </w:r>
      <w:r w:rsidR="0022324C">
        <w:t xml:space="preserve">with the EVOQUE system </w:t>
      </w:r>
      <w:r w:rsidR="00B03746">
        <w:t>begins</w:t>
      </w:r>
      <w:r w:rsidR="00BC29F5">
        <w:t>.</w:t>
      </w:r>
      <w:r w:rsidR="00643C05" w:rsidRPr="00643C05">
        <w:rPr>
          <w:vertAlign w:val="superscript"/>
        </w:rPr>
        <w:fldChar w:fldCharType="begin"/>
      </w:r>
      <w:r w:rsidR="00643C05" w:rsidRPr="00643C05">
        <w:rPr>
          <w:vertAlign w:val="superscript"/>
        </w:rPr>
        <w:instrText xml:space="preserve"> NOTEREF _Ref192239327 \h </w:instrText>
      </w:r>
      <w:r w:rsidR="00643C05">
        <w:rPr>
          <w:vertAlign w:val="superscript"/>
        </w:rPr>
        <w:instrText xml:space="preserve"> \* MERGEFORMAT </w:instrText>
      </w:r>
      <w:r w:rsidR="00643C05" w:rsidRPr="00643C05">
        <w:rPr>
          <w:vertAlign w:val="superscript"/>
        </w:rPr>
      </w:r>
      <w:r w:rsidR="00643C05" w:rsidRPr="00643C05">
        <w:rPr>
          <w:vertAlign w:val="superscript"/>
        </w:rPr>
        <w:fldChar w:fldCharType="separate"/>
      </w:r>
      <w:r w:rsidR="00481F36">
        <w:rPr>
          <w:vertAlign w:val="superscript"/>
        </w:rPr>
        <w:t>7</w:t>
      </w:r>
      <w:r w:rsidR="00643C05" w:rsidRPr="00643C05">
        <w:rPr>
          <w:vertAlign w:val="superscript"/>
        </w:rPr>
        <w:fldChar w:fldCharType="end"/>
      </w:r>
    </w:p>
    <w:p w14:paraId="2AFCC6F4" w14:textId="14452BD8" w:rsidR="00CB5207" w:rsidRDefault="0090311B" w:rsidP="001F6B1F">
      <w:r w:rsidRPr="00C74F0D">
        <w:t>T</w:t>
      </w:r>
      <w:r w:rsidR="005460BF" w:rsidRPr="00C74F0D">
        <w:t xml:space="preserve">he </w:t>
      </w:r>
      <w:r w:rsidR="005F036F" w:rsidRPr="00C74F0D">
        <w:t>MBS</w:t>
      </w:r>
      <w:r w:rsidR="00ED4125" w:rsidRPr="00C74F0D">
        <w:t xml:space="preserve"> </w:t>
      </w:r>
      <w:r w:rsidR="00035E5A" w:rsidRPr="00C74F0D">
        <w:t xml:space="preserve">item </w:t>
      </w:r>
      <w:r w:rsidR="005460BF" w:rsidRPr="00C74F0D">
        <w:t xml:space="preserve">descriptor </w:t>
      </w:r>
      <w:r w:rsidR="005F036F" w:rsidRPr="00C74F0D">
        <w:t xml:space="preserve">proposed in the application </w:t>
      </w:r>
      <w:r w:rsidR="005460BF" w:rsidRPr="00C74F0D">
        <w:t>does not restrict the service to standalone</w:t>
      </w:r>
      <w:r w:rsidR="00C74F0D">
        <w:t>/ independent</w:t>
      </w:r>
      <w:r w:rsidR="005460BF" w:rsidRPr="00C74F0D">
        <w:t xml:space="preserve"> TTVR procedures</w:t>
      </w:r>
      <w:r w:rsidR="00ED4125" w:rsidRPr="00C74F0D">
        <w:t>.</w:t>
      </w:r>
      <w:r w:rsidRPr="00C74F0D">
        <w:t xml:space="preserve"> </w:t>
      </w:r>
      <w:r w:rsidR="00ED4125" w:rsidRPr="00C74F0D">
        <w:t>H</w:t>
      </w:r>
      <w:r w:rsidRPr="00C74F0D">
        <w:t xml:space="preserve">owever, </w:t>
      </w:r>
      <w:r w:rsidR="00337E17" w:rsidRPr="00C74F0D">
        <w:t>the</w:t>
      </w:r>
      <w:r w:rsidR="00E17374" w:rsidRPr="00C74F0D">
        <w:t xml:space="preserve"> </w:t>
      </w:r>
      <w:r w:rsidR="008037D7" w:rsidRPr="00C74F0D">
        <w:t xml:space="preserve">applicant confirmed that </w:t>
      </w:r>
      <w:r w:rsidR="00DD3893" w:rsidRPr="00C74F0D">
        <w:t xml:space="preserve">TTVR is </w:t>
      </w:r>
      <w:r w:rsidRPr="00C74F0D">
        <w:t xml:space="preserve">intended to be </w:t>
      </w:r>
      <w:r w:rsidR="00DD3893" w:rsidRPr="00C74F0D">
        <w:t xml:space="preserve">performed for isolated </w:t>
      </w:r>
      <w:r w:rsidR="00F725B3" w:rsidRPr="00C74F0D">
        <w:t>TR</w:t>
      </w:r>
      <w:r w:rsidRPr="00C74F0D">
        <w:t>, not in conjunction with other</w:t>
      </w:r>
      <w:r w:rsidR="003C7EF0" w:rsidRPr="00C74F0D">
        <w:t xml:space="preserve"> minimally invasive or </w:t>
      </w:r>
      <w:r w:rsidR="00DB06B5" w:rsidRPr="00C74F0D">
        <w:t xml:space="preserve">transvenous interventions </w:t>
      </w:r>
      <w:r w:rsidR="00571887" w:rsidRPr="00C74F0D">
        <w:t>such as TMVr</w:t>
      </w:r>
      <w:r w:rsidR="005460BF" w:rsidRPr="00C74F0D">
        <w:t>.</w:t>
      </w:r>
    </w:p>
    <w:p w14:paraId="3740E6CD" w14:textId="6E3C23FB" w:rsidR="00CB5207" w:rsidRDefault="00CB5207" w:rsidP="00CB5207">
      <w:r w:rsidRPr="00D70FDC">
        <w:t>Th</w:t>
      </w:r>
      <w:r>
        <w:t>e</w:t>
      </w:r>
      <w:r w:rsidRPr="00D70FDC">
        <w:t xml:space="preserve"> </w:t>
      </w:r>
      <w:r>
        <w:t>service</w:t>
      </w:r>
      <w:r w:rsidRPr="00D70FDC">
        <w:t xml:space="preserve"> is intended to be performed only once per lifetime</w:t>
      </w:r>
      <w:r>
        <w:t>, hence criterion (d) in the proposed item descriptor</w:t>
      </w:r>
      <w:r w:rsidR="002111D2">
        <w:t xml:space="preserve"> (</w:t>
      </w:r>
      <w:r w:rsidR="005F5AF4">
        <w:t xml:space="preserve">see </w:t>
      </w:r>
      <w:r w:rsidR="009A075C">
        <w:t>Table 7</w:t>
      </w:r>
      <w:r w:rsidR="002111D2">
        <w:t>)</w:t>
      </w:r>
      <w:r w:rsidR="005F5AF4">
        <w:t xml:space="preserve">, which </w:t>
      </w:r>
      <w:r w:rsidR="00E67085">
        <w:t xml:space="preserve">restricts </w:t>
      </w:r>
      <w:r w:rsidR="00C95D89">
        <w:t>the service to patients who have not previously undergone TTVR</w:t>
      </w:r>
      <w:r w:rsidRPr="00D70FDC">
        <w:t>.</w:t>
      </w:r>
      <w:r w:rsidR="004C29E1">
        <w:t xml:space="preserve"> </w:t>
      </w:r>
      <w:r w:rsidR="004B165C">
        <w:t xml:space="preserve">The </w:t>
      </w:r>
      <w:r w:rsidR="00C81BF3">
        <w:t xml:space="preserve">exclusion criteria in the </w:t>
      </w:r>
      <w:r w:rsidR="004B165C">
        <w:t xml:space="preserve">TRISCEND II Pivotal Trial </w:t>
      </w:r>
      <w:r w:rsidR="00C81BF3">
        <w:t>w</w:t>
      </w:r>
      <w:r w:rsidR="001E7F20">
        <w:t>ere</w:t>
      </w:r>
      <w:r w:rsidR="00C81BF3">
        <w:t xml:space="preserve"> broader</w:t>
      </w:r>
      <w:r w:rsidR="003E0F6D">
        <w:t xml:space="preserve"> than this</w:t>
      </w:r>
      <w:r w:rsidR="00C81BF3">
        <w:t xml:space="preserve">, extending to </w:t>
      </w:r>
      <w:r w:rsidR="004B165C">
        <w:t xml:space="preserve">patients </w:t>
      </w:r>
      <w:r w:rsidR="00ED46B8">
        <w:t xml:space="preserve">with </w:t>
      </w:r>
      <w:r w:rsidR="00ED46B8">
        <w:lastRenderedPageBreak/>
        <w:t xml:space="preserve">any </w:t>
      </w:r>
      <w:r w:rsidR="00ED46B8" w:rsidRPr="00ED46B8">
        <w:t>prior history of tricuspid surgery or intervention</w:t>
      </w:r>
      <w:r w:rsidR="00ED46B8">
        <w:t xml:space="preserve">. </w:t>
      </w:r>
      <w:r w:rsidR="0032587E">
        <w:t xml:space="preserve">The </w:t>
      </w:r>
      <w:r w:rsidR="003C2076">
        <w:t xml:space="preserve">applicant </w:t>
      </w:r>
      <w:r w:rsidR="003655FD">
        <w:t xml:space="preserve">clarified </w:t>
      </w:r>
      <w:r w:rsidR="003C2076">
        <w:t xml:space="preserve">there is </w:t>
      </w:r>
      <w:r w:rsidR="003655FD">
        <w:t xml:space="preserve">now </w:t>
      </w:r>
      <w:r w:rsidR="003C2076">
        <w:t>real-world experience</w:t>
      </w:r>
      <w:r w:rsidR="007A0D9D">
        <w:t>, albeit limited,</w:t>
      </w:r>
      <w:r w:rsidR="003C2076">
        <w:t xml:space="preserve"> </w:t>
      </w:r>
      <w:r w:rsidR="0000106B">
        <w:t>for</w:t>
      </w:r>
      <w:r w:rsidR="00504BCC">
        <w:t xml:space="preserve"> the </w:t>
      </w:r>
      <w:r w:rsidR="0000106B">
        <w:t xml:space="preserve">use of the </w:t>
      </w:r>
      <w:r w:rsidR="00504BCC">
        <w:t>EVOQUE system in patients</w:t>
      </w:r>
      <w:r w:rsidR="00E84FD7">
        <w:t xml:space="preserve"> </w:t>
      </w:r>
      <w:r w:rsidR="00594204">
        <w:t>who have undergone pre</w:t>
      </w:r>
      <w:r w:rsidR="008147EF">
        <w:t xml:space="preserve">vious tricuspid valve repair </w:t>
      </w:r>
      <w:r w:rsidR="00EB1431">
        <w:t xml:space="preserve">at the time of open-heart </w:t>
      </w:r>
      <w:r w:rsidR="008147EF">
        <w:t>surgery</w:t>
      </w:r>
      <w:r w:rsidR="008242AF">
        <w:t xml:space="preserve">. The </w:t>
      </w:r>
      <w:r w:rsidR="0032587E">
        <w:t xml:space="preserve">applicant’s clinical expert advised </w:t>
      </w:r>
      <w:r w:rsidR="00AD50ED">
        <w:t xml:space="preserve">that </w:t>
      </w:r>
      <w:r w:rsidR="006C46E2">
        <w:t>further evidence</w:t>
      </w:r>
      <w:r w:rsidR="00AD50ED">
        <w:t xml:space="preserve"> may emerge </w:t>
      </w:r>
      <w:r w:rsidR="00DF4C46">
        <w:t>for the safety and effectiveness of</w:t>
      </w:r>
      <w:r w:rsidR="00AD50ED">
        <w:t xml:space="preserve"> the EVOQUE system in </w:t>
      </w:r>
      <w:r w:rsidR="006C46E2">
        <w:t xml:space="preserve">this </w:t>
      </w:r>
      <w:r w:rsidR="00F3079C">
        <w:t>niche</w:t>
      </w:r>
      <w:r w:rsidR="00132A42">
        <w:t xml:space="preserve"> </w:t>
      </w:r>
      <w:r w:rsidR="006C46E2">
        <w:t>patient population</w:t>
      </w:r>
      <w:r w:rsidR="005C0F52">
        <w:t xml:space="preserve">, particularly in cases of failed </w:t>
      </w:r>
      <w:r w:rsidR="006618A7">
        <w:t>mitral valve repair,</w:t>
      </w:r>
      <w:r w:rsidR="006C46E2">
        <w:t xml:space="preserve"> and </w:t>
      </w:r>
      <w:r w:rsidR="00946510">
        <w:t xml:space="preserve">it may be </w:t>
      </w:r>
      <w:r w:rsidR="000071F8">
        <w:t xml:space="preserve">prudent </w:t>
      </w:r>
      <w:r w:rsidR="00405AD0">
        <w:t xml:space="preserve">not to exclude </w:t>
      </w:r>
      <w:r w:rsidR="005E5AEC">
        <w:t>these patients</w:t>
      </w:r>
      <w:r w:rsidR="00A83342">
        <w:t xml:space="preserve"> from access to TTVR</w:t>
      </w:r>
      <w:r w:rsidR="005E5AEC">
        <w:t>.</w:t>
      </w:r>
      <w:r w:rsidR="00EB1431" w:rsidRPr="00EB1431">
        <w:rPr>
          <w:vertAlign w:val="superscript"/>
        </w:rPr>
        <w:fldChar w:fldCharType="begin"/>
      </w:r>
      <w:r w:rsidR="00EB1431" w:rsidRPr="00EB1431">
        <w:rPr>
          <w:vertAlign w:val="superscript"/>
        </w:rPr>
        <w:instrText xml:space="preserve"> NOTEREF _Ref192239327 \h </w:instrText>
      </w:r>
      <w:r w:rsidR="00EB1431">
        <w:rPr>
          <w:vertAlign w:val="superscript"/>
        </w:rPr>
        <w:instrText xml:space="preserve"> \* MERGEFORMAT </w:instrText>
      </w:r>
      <w:r w:rsidR="00EB1431" w:rsidRPr="00EB1431">
        <w:rPr>
          <w:vertAlign w:val="superscript"/>
        </w:rPr>
      </w:r>
      <w:r w:rsidR="00EB1431" w:rsidRPr="00EB1431">
        <w:rPr>
          <w:vertAlign w:val="superscript"/>
        </w:rPr>
        <w:fldChar w:fldCharType="separate"/>
      </w:r>
      <w:r w:rsidR="00481F36">
        <w:rPr>
          <w:vertAlign w:val="superscript"/>
        </w:rPr>
        <w:t>7</w:t>
      </w:r>
      <w:r w:rsidR="00EB1431" w:rsidRPr="00EB1431">
        <w:rPr>
          <w:vertAlign w:val="superscript"/>
        </w:rPr>
        <w:fldChar w:fldCharType="end"/>
      </w:r>
    </w:p>
    <w:p w14:paraId="1770771D" w14:textId="26DE3241" w:rsidR="0084491A" w:rsidRPr="0084491A" w:rsidRDefault="007F6CC7" w:rsidP="008D56E4">
      <w:r w:rsidRPr="0084491A">
        <w:t xml:space="preserve">The </w:t>
      </w:r>
      <w:r w:rsidR="00250B57">
        <w:t xml:space="preserve">durability of the EVOQUE valve </w:t>
      </w:r>
      <w:r w:rsidR="00777247">
        <w:t xml:space="preserve">has been demonstrated </w:t>
      </w:r>
      <w:r w:rsidR="0091170B">
        <w:t>through</w:t>
      </w:r>
      <w:r w:rsidR="00421B97">
        <w:t xml:space="preserve"> bench</w:t>
      </w:r>
      <w:r w:rsidR="00A96289">
        <w:t xml:space="preserve"> </w:t>
      </w:r>
      <w:r w:rsidR="00421B97">
        <w:t xml:space="preserve">testing, 2-year follow up in clinical trials, and inference </w:t>
      </w:r>
      <w:r w:rsidR="00250B57">
        <w:t xml:space="preserve">from </w:t>
      </w:r>
      <w:r w:rsidR="00BA2EA0">
        <w:t xml:space="preserve">longer-term </w:t>
      </w:r>
      <w:r w:rsidR="00C74389">
        <w:t xml:space="preserve">(5-year) </w:t>
      </w:r>
      <w:r w:rsidR="005A23D1">
        <w:t xml:space="preserve">experience </w:t>
      </w:r>
      <w:r w:rsidR="007F3650">
        <w:t>with</w:t>
      </w:r>
      <w:r w:rsidR="005A23D1">
        <w:t xml:space="preserve"> </w:t>
      </w:r>
      <w:r w:rsidR="00AA1F5D">
        <w:t>comparable</w:t>
      </w:r>
      <w:r w:rsidR="005A23D1">
        <w:t xml:space="preserve"> </w:t>
      </w:r>
      <w:r w:rsidR="00B24684">
        <w:t xml:space="preserve">transcatheter </w:t>
      </w:r>
      <w:r w:rsidR="00CF07DF">
        <w:t>bioprosthetic</w:t>
      </w:r>
      <w:r w:rsidR="0039727D">
        <w:t xml:space="preserve"> </w:t>
      </w:r>
      <w:r w:rsidR="00BA2EA0">
        <w:t>valve</w:t>
      </w:r>
      <w:r w:rsidR="00CF07DF">
        <w:t>s</w:t>
      </w:r>
      <w:r w:rsidR="00BA2EA0">
        <w:t xml:space="preserve"> </w:t>
      </w:r>
      <w:r w:rsidR="00C053CD">
        <w:t xml:space="preserve">implanted </w:t>
      </w:r>
      <w:r w:rsidR="00223E61">
        <w:t xml:space="preserve">on the </w:t>
      </w:r>
      <w:r w:rsidR="00C053CD">
        <w:t>left and right side</w:t>
      </w:r>
      <w:r w:rsidR="007F3650">
        <w:t xml:space="preserve">. </w:t>
      </w:r>
      <w:r w:rsidR="00E35CDC">
        <w:t>T</w:t>
      </w:r>
      <w:r w:rsidR="007D4BC0">
        <w:t>here</w:t>
      </w:r>
      <w:r w:rsidR="006B02B7">
        <w:t xml:space="preserve"> are no </w:t>
      </w:r>
      <w:r w:rsidR="005E5447">
        <w:t xml:space="preserve">existing </w:t>
      </w:r>
      <w:r w:rsidR="006B02B7">
        <w:t xml:space="preserve">MBS items for </w:t>
      </w:r>
      <w:r w:rsidR="00CB55A6">
        <w:t xml:space="preserve">transcatheter repair or replacement of a </w:t>
      </w:r>
      <w:r w:rsidR="00332B94">
        <w:t xml:space="preserve">dysfunctional </w:t>
      </w:r>
      <w:r w:rsidR="00290E40">
        <w:t>prosthetic tricuspid valve</w:t>
      </w:r>
      <w:r w:rsidR="005E5447">
        <w:t>.</w:t>
      </w:r>
      <w:r w:rsidR="00E35CDC">
        <w:t xml:space="preserve"> </w:t>
      </w:r>
      <w:r w:rsidR="005E5447">
        <w:t>A</w:t>
      </w:r>
      <w:r w:rsidR="00E35CDC">
        <w:t xml:space="preserve">lthough </w:t>
      </w:r>
      <w:r w:rsidR="00E222D4">
        <w:t xml:space="preserve">there are reports of </w:t>
      </w:r>
      <w:r w:rsidR="00EF72DE">
        <w:t xml:space="preserve">transcatheter </w:t>
      </w:r>
      <w:r w:rsidR="0018010D">
        <w:t>devices</w:t>
      </w:r>
      <w:r w:rsidR="003A0BCD">
        <w:t xml:space="preserve"> </w:t>
      </w:r>
      <w:r w:rsidR="00E222D4">
        <w:t>being</w:t>
      </w:r>
      <w:r w:rsidR="0018010D">
        <w:t xml:space="preserve"> used for </w:t>
      </w:r>
      <w:r w:rsidR="00EF72DE">
        <w:t>repair</w:t>
      </w:r>
      <w:r w:rsidR="00EE6C66">
        <w:t xml:space="preserve"> </w:t>
      </w:r>
      <w:r w:rsidR="00EF6039">
        <w:t>or</w:t>
      </w:r>
      <w:r w:rsidR="00F11BA4">
        <w:t xml:space="preserve"> </w:t>
      </w:r>
      <w:r w:rsidR="00EF72DE">
        <w:t xml:space="preserve">valve-in-valve </w:t>
      </w:r>
      <w:r w:rsidR="00706B05">
        <w:t>replacement</w:t>
      </w:r>
      <w:r w:rsidR="0018010D">
        <w:t xml:space="preserve"> </w:t>
      </w:r>
      <w:r w:rsidR="008402D4">
        <w:t xml:space="preserve">of </w:t>
      </w:r>
      <w:r w:rsidR="00725956">
        <w:t xml:space="preserve">dysfunctional </w:t>
      </w:r>
      <w:r w:rsidR="008402D4">
        <w:t>bioprosthetic tricuspid valve</w:t>
      </w:r>
      <w:r w:rsidR="00EF6039">
        <w:t>s</w:t>
      </w:r>
      <w:r w:rsidR="006C5894">
        <w:t xml:space="preserve">, use of </w:t>
      </w:r>
      <w:r w:rsidR="00E30AE8">
        <w:t>such</w:t>
      </w:r>
      <w:r w:rsidR="006C5894">
        <w:t xml:space="preserve"> devices for this purpose would </w:t>
      </w:r>
      <w:r w:rsidR="00706B05">
        <w:t xml:space="preserve">currently </w:t>
      </w:r>
      <w:r w:rsidR="006C5894">
        <w:t>be off-label</w:t>
      </w:r>
      <w:r w:rsidR="003A0BCD">
        <w:t xml:space="preserve"> in A</w:t>
      </w:r>
      <w:r w:rsidR="00706B05">
        <w:t>us</w:t>
      </w:r>
      <w:r w:rsidR="003A0BCD">
        <w:t>tralia</w:t>
      </w:r>
      <w:r w:rsidR="006C5894">
        <w:t>.</w:t>
      </w:r>
    </w:p>
    <w:p w14:paraId="64AD6C59" w14:textId="77777777" w:rsidR="00044C65" w:rsidRDefault="00044C65" w:rsidP="00044C65">
      <w:pPr>
        <w:autoSpaceDE w:val="0"/>
        <w:autoSpaceDN w:val="0"/>
        <w:adjustRightInd w:val="0"/>
        <w:rPr>
          <w:rFonts w:asciiTheme="minorHAnsi" w:hAnsiTheme="minorHAnsi" w:cstheme="minorHAnsi"/>
          <w:i/>
          <w:iCs/>
        </w:rPr>
      </w:pPr>
      <w:r>
        <w:rPr>
          <w:rFonts w:asciiTheme="minorHAnsi" w:hAnsiTheme="minorHAnsi" w:cstheme="minorHAnsi"/>
          <w:i/>
          <w:iCs/>
        </w:rPr>
        <w:t>PASC agreed that the limit of one TTVR procedure per lifetime is reasonable. PASC noted</w:t>
      </w:r>
      <w:r w:rsidRPr="00F01296">
        <w:rPr>
          <w:rFonts w:asciiTheme="minorHAnsi" w:hAnsiTheme="minorHAnsi" w:cstheme="minorHAnsi"/>
          <w:i/>
          <w:iCs/>
        </w:rPr>
        <w:t xml:space="preserve"> that </w:t>
      </w:r>
      <w:r>
        <w:rPr>
          <w:rFonts w:asciiTheme="minorHAnsi" w:hAnsiTheme="minorHAnsi" w:cstheme="minorHAnsi"/>
          <w:i/>
          <w:iCs/>
        </w:rPr>
        <w:t xml:space="preserve">the </w:t>
      </w:r>
      <w:r w:rsidRPr="00F01296">
        <w:rPr>
          <w:rFonts w:asciiTheme="minorHAnsi" w:hAnsiTheme="minorHAnsi" w:cstheme="minorHAnsi"/>
          <w:i/>
          <w:iCs/>
        </w:rPr>
        <w:t>patient</w:t>
      </w:r>
      <w:r>
        <w:rPr>
          <w:rFonts w:asciiTheme="minorHAnsi" w:hAnsiTheme="minorHAnsi" w:cstheme="minorHAnsi"/>
          <w:i/>
          <w:iCs/>
        </w:rPr>
        <w:t xml:space="preserve"> population is elderly and unlikely to </w:t>
      </w:r>
      <w:r w:rsidRPr="00F01296">
        <w:rPr>
          <w:rFonts w:asciiTheme="minorHAnsi" w:hAnsiTheme="minorHAnsi" w:cstheme="minorHAnsi"/>
          <w:i/>
          <w:iCs/>
        </w:rPr>
        <w:t xml:space="preserve">outlive the </w:t>
      </w:r>
      <w:r>
        <w:rPr>
          <w:rFonts w:asciiTheme="minorHAnsi" w:hAnsiTheme="minorHAnsi" w:cstheme="minorHAnsi"/>
          <w:i/>
          <w:iCs/>
        </w:rPr>
        <w:t xml:space="preserve">bioprosthetic </w:t>
      </w:r>
      <w:r w:rsidRPr="00F01296">
        <w:rPr>
          <w:rFonts w:asciiTheme="minorHAnsi" w:hAnsiTheme="minorHAnsi" w:cstheme="minorHAnsi"/>
          <w:i/>
          <w:iCs/>
        </w:rPr>
        <w:t>valve</w:t>
      </w:r>
      <w:r>
        <w:rPr>
          <w:rFonts w:asciiTheme="minorHAnsi" w:hAnsiTheme="minorHAnsi" w:cstheme="minorHAnsi"/>
          <w:i/>
          <w:iCs/>
        </w:rPr>
        <w:t xml:space="preserve">; </w:t>
      </w:r>
      <w:r w:rsidRPr="00F01296">
        <w:rPr>
          <w:rFonts w:asciiTheme="minorHAnsi" w:hAnsiTheme="minorHAnsi" w:cstheme="minorHAnsi"/>
          <w:i/>
          <w:iCs/>
        </w:rPr>
        <w:t>however</w:t>
      </w:r>
      <w:r>
        <w:rPr>
          <w:rFonts w:asciiTheme="minorHAnsi" w:hAnsiTheme="minorHAnsi" w:cstheme="minorHAnsi"/>
          <w:i/>
          <w:iCs/>
        </w:rPr>
        <w:t>,</w:t>
      </w:r>
      <w:r w:rsidRPr="00F01296">
        <w:rPr>
          <w:rFonts w:asciiTheme="minorHAnsi" w:hAnsiTheme="minorHAnsi" w:cstheme="minorHAnsi"/>
          <w:i/>
          <w:iCs/>
        </w:rPr>
        <w:t xml:space="preserve"> a valve-in-valve intervention </w:t>
      </w:r>
      <w:r>
        <w:rPr>
          <w:rFonts w:asciiTheme="minorHAnsi" w:hAnsiTheme="minorHAnsi" w:cstheme="minorHAnsi"/>
          <w:i/>
          <w:iCs/>
        </w:rPr>
        <w:t>might</w:t>
      </w:r>
      <w:r w:rsidRPr="00F01296">
        <w:rPr>
          <w:rFonts w:asciiTheme="minorHAnsi" w:hAnsiTheme="minorHAnsi" w:cstheme="minorHAnsi"/>
          <w:i/>
          <w:iCs/>
        </w:rPr>
        <w:t xml:space="preserve"> be possible</w:t>
      </w:r>
      <w:r>
        <w:rPr>
          <w:rFonts w:asciiTheme="minorHAnsi" w:hAnsiTheme="minorHAnsi" w:cstheme="minorHAnsi"/>
          <w:i/>
          <w:iCs/>
        </w:rPr>
        <w:t xml:space="preserve"> in the future</w:t>
      </w:r>
      <w:r w:rsidRPr="00F01296">
        <w:rPr>
          <w:rFonts w:asciiTheme="minorHAnsi" w:hAnsiTheme="minorHAnsi" w:cstheme="minorHAnsi"/>
          <w:i/>
          <w:iCs/>
        </w:rPr>
        <w:t>.</w:t>
      </w:r>
    </w:p>
    <w:p w14:paraId="04949618" w14:textId="046DD8B6" w:rsidR="00044C65" w:rsidRPr="00A4449B" w:rsidRDefault="00044C65" w:rsidP="00A4449B">
      <w:pPr>
        <w:autoSpaceDE w:val="0"/>
        <w:autoSpaceDN w:val="0"/>
        <w:adjustRightInd w:val="0"/>
        <w:rPr>
          <w:rFonts w:asciiTheme="minorHAnsi" w:hAnsiTheme="minorHAnsi" w:cstheme="minorHAnsi"/>
          <w:i/>
          <w:iCs/>
        </w:rPr>
      </w:pPr>
      <w:r>
        <w:rPr>
          <w:rFonts w:asciiTheme="minorHAnsi" w:hAnsiTheme="minorHAnsi" w:cstheme="minorHAnsi"/>
          <w:i/>
          <w:iCs/>
        </w:rPr>
        <w:t>PASC noted a small risk of early dislodgement of the bioprosthetic valve, which would require surgical removal, but were advised that overt dislodgement is rare and was not seen in the clinical trial.</w:t>
      </w:r>
    </w:p>
    <w:p w14:paraId="30CA9E41" w14:textId="1AF294D4" w:rsidR="00F725B3" w:rsidRPr="00AD26D1" w:rsidRDefault="009A075C" w:rsidP="001426A7">
      <w:pPr>
        <w:pStyle w:val="Caption"/>
        <w:rPr>
          <w:lang w:val="en-AU"/>
        </w:rPr>
      </w:pPr>
      <w:bookmarkStart w:id="16" w:name="_Ref192242008"/>
      <w:r>
        <w:rPr>
          <w:lang w:val="en-AU"/>
        </w:rPr>
        <w:t>Table 7</w:t>
      </w:r>
      <w:bookmarkEnd w:id="16"/>
      <w:r w:rsidR="00770A78" w:rsidRPr="00AD26D1">
        <w:rPr>
          <w:lang w:val="en-AU"/>
        </w:rPr>
        <w:tab/>
      </w:r>
      <w:r w:rsidR="00B81AD4" w:rsidRPr="00AD26D1">
        <w:rPr>
          <w:lang w:val="en-AU"/>
        </w:rPr>
        <w:t xml:space="preserve">New MBS item descriptor proposed </w:t>
      </w:r>
      <w:r w:rsidR="00ED39C7">
        <w:rPr>
          <w:lang w:val="en-AU"/>
        </w:rPr>
        <w:t xml:space="preserve">by the </w:t>
      </w:r>
      <w:r w:rsidR="00044C65">
        <w:rPr>
          <w:lang w:val="en-AU"/>
        </w:rPr>
        <w:t>application</w:t>
      </w:r>
    </w:p>
    <w:tbl>
      <w:tblPr>
        <w:tblStyle w:val="TableGrid"/>
        <w:tblW w:w="5000" w:type="pct"/>
        <w:tblInd w:w="0" w:type="dxa"/>
        <w:tblLook w:val="04A0" w:firstRow="1" w:lastRow="0" w:firstColumn="1" w:lastColumn="0" w:noHBand="0" w:noVBand="1"/>
        <w:tblCaption w:val="New MBS item descriptor proposed in the application"/>
        <w:tblDescription w:val="The box shows that the proposed item is in Category 3. The patient population is specified. The proposed fee is $1,631.65 to $1,800.&#10;"/>
      </w:tblPr>
      <w:tblGrid>
        <w:gridCol w:w="9571"/>
      </w:tblGrid>
      <w:tr w:rsidR="002F3E40" w:rsidRPr="00D2670B" w14:paraId="4034848D" w14:textId="77777777" w:rsidTr="39D7B982">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171FF631" w14:textId="25EB52A6" w:rsidR="002F3E40" w:rsidRPr="00DE762F" w:rsidRDefault="002F3E40" w:rsidP="00D2670B">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sidR="009911E3">
              <w:t>3</w:t>
            </w:r>
            <w:r w:rsidRPr="00D2670B">
              <w:t xml:space="preserve"> – </w:t>
            </w:r>
            <w:r w:rsidR="009911E3">
              <w:t>THERAPEUTIC PROCEDURE</w:t>
            </w:r>
            <w:r w:rsidR="000661DA">
              <w:t>S</w:t>
            </w:r>
          </w:p>
        </w:tc>
      </w:tr>
      <w:tr w:rsidR="002F3E40" w:rsidRPr="005771DC" w14:paraId="028C0CFB" w14:textId="77777777" w:rsidTr="39D7B982">
        <w:trPr>
          <w:cantSplit/>
          <w:tblHeader/>
        </w:trPr>
        <w:tc>
          <w:tcPr>
            <w:tcW w:w="5000" w:type="pct"/>
            <w:tcBorders>
              <w:top w:val="single" w:sz="4" w:space="0" w:color="auto"/>
              <w:left w:val="single" w:sz="4" w:space="0" w:color="auto"/>
              <w:bottom w:val="single" w:sz="4" w:space="0" w:color="auto"/>
              <w:right w:val="single" w:sz="4" w:space="0" w:color="auto"/>
            </w:tcBorders>
          </w:tcPr>
          <w:p w14:paraId="39CDEB64" w14:textId="3EE352E1" w:rsidR="002F3E40" w:rsidRPr="00DE762F" w:rsidRDefault="000D1FCF" w:rsidP="00D2670B">
            <w:pPr>
              <w:spacing w:before="120" w:after="120" w:line="240" w:lineRule="auto"/>
              <w:rPr>
                <w:rFonts w:ascii="Arial Narrow" w:hAnsi="Arial Narrow"/>
                <w:sz w:val="20"/>
                <w:szCs w:val="20"/>
              </w:rPr>
            </w:pPr>
            <w:r w:rsidRPr="00DE762F">
              <w:rPr>
                <w:rFonts w:ascii="Arial Narrow" w:hAnsi="Arial Narrow"/>
                <w:sz w:val="20"/>
                <w:szCs w:val="20"/>
              </w:rPr>
              <w:t>MBS item XXXX</w:t>
            </w:r>
            <w:r w:rsidR="000D0F33">
              <w:rPr>
                <w:rFonts w:ascii="Arial Narrow" w:hAnsi="Arial Narrow"/>
                <w:sz w:val="20"/>
                <w:szCs w:val="20"/>
              </w:rPr>
              <w:t>X</w:t>
            </w:r>
          </w:p>
          <w:p w14:paraId="7CEA8643" w14:textId="493A2159" w:rsidR="002756A0" w:rsidRPr="00EA7524" w:rsidRDefault="002756A0" w:rsidP="002756A0">
            <w:pPr>
              <w:spacing w:before="120" w:after="120" w:line="240" w:lineRule="auto"/>
              <w:rPr>
                <w:rFonts w:ascii="Arial Narrow" w:hAnsi="Arial Narrow"/>
                <w:sz w:val="20"/>
                <w:szCs w:val="20"/>
              </w:rPr>
            </w:pPr>
            <w:r w:rsidRPr="002756A0">
              <w:rPr>
                <w:rFonts w:ascii="Arial Narrow" w:hAnsi="Arial Narrow"/>
                <w:sz w:val="20"/>
                <w:szCs w:val="20"/>
              </w:rPr>
              <w:t xml:space="preserve">Transcatheter </w:t>
            </w:r>
            <w:r w:rsidRPr="00EA7524">
              <w:rPr>
                <w:rFonts w:ascii="Arial Narrow" w:hAnsi="Arial Narrow"/>
                <w:sz w:val="20"/>
                <w:szCs w:val="20"/>
              </w:rPr>
              <w:t xml:space="preserve">tricuspid valve replacement using the EVOQUE tricuspid valve replacement system, including intraoperative diagnostic imaging if: </w:t>
            </w:r>
          </w:p>
          <w:p w14:paraId="100DA9D5" w14:textId="72DF21EF" w:rsidR="002756A0" w:rsidRPr="00EA7524" w:rsidRDefault="002756A0" w:rsidP="002756A0">
            <w:pPr>
              <w:spacing w:before="120" w:after="120" w:line="240" w:lineRule="auto"/>
              <w:rPr>
                <w:rFonts w:ascii="Arial Narrow" w:hAnsi="Arial Narrow"/>
                <w:sz w:val="20"/>
                <w:szCs w:val="20"/>
              </w:rPr>
            </w:pPr>
            <w:r w:rsidRPr="00EA7524">
              <w:rPr>
                <w:rFonts w:ascii="Arial Narrow" w:hAnsi="Arial Narrow"/>
                <w:sz w:val="20"/>
                <w:szCs w:val="20"/>
              </w:rPr>
              <w:t xml:space="preserve">(a) The patient has each of the following risk factors: </w:t>
            </w:r>
          </w:p>
          <w:p w14:paraId="7739007B" w14:textId="0ADCDD11" w:rsidR="002756A0" w:rsidRPr="00EA7524" w:rsidRDefault="002756A0" w:rsidP="002756A0">
            <w:pPr>
              <w:spacing w:before="120" w:after="120" w:line="240" w:lineRule="auto"/>
              <w:ind w:left="306"/>
              <w:rPr>
                <w:rFonts w:ascii="Arial Narrow" w:hAnsi="Arial Narrow"/>
                <w:sz w:val="20"/>
                <w:szCs w:val="20"/>
              </w:rPr>
            </w:pPr>
            <w:r w:rsidRPr="00EA7524">
              <w:rPr>
                <w:rFonts w:ascii="Arial Narrow" w:hAnsi="Arial Narrow"/>
                <w:sz w:val="20"/>
                <w:szCs w:val="20"/>
              </w:rPr>
              <w:t xml:space="preserve">(i) </w:t>
            </w:r>
            <w:r w:rsidR="00164116" w:rsidRPr="00EA7524">
              <w:rPr>
                <w:rFonts w:ascii="Arial Narrow" w:hAnsi="Arial Narrow"/>
                <w:sz w:val="20"/>
                <w:szCs w:val="20"/>
              </w:rPr>
              <w:t>s</w:t>
            </w:r>
            <w:r w:rsidRPr="00EA7524">
              <w:rPr>
                <w:rFonts w:ascii="Arial Narrow" w:hAnsi="Arial Narrow"/>
                <w:sz w:val="20"/>
                <w:szCs w:val="20"/>
              </w:rPr>
              <w:t>ymptomatic, severe, or greater TR that has not responded adequately to</w:t>
            </w:r>
            <w:r w:rsidR="004C401D" w:rsidRPr="00EA7524">
              <w:rPr>
                <w:rFonts w:ascii="Arial Narrow" w:hAnsi="Arial Narrow"/>
                <w:sz w:val="20"/>
                <w:szCs w:val="20"/>
              </w:rPr>
              <w:t xml:space="preserve"> </w:t>
            </w:r>
            <w:r w:rsidRPr="00EA7524">
              <w:rPr>
                <w:rFonts w:ascii="Arial Narrow" w:hAnsi="Arial Narrow"/>
                <w:sz w:val="20"/>
                <w:szCs w:val="20"/>
              </w:rPr>
              <w:t>OMT, defined as grade 3+;</w:t>
            </w:r>
          </w:p>
          <w:p w14:paraId="4E75A5D1" w14:textId="3FE200A5" w:rsidR="002756A0" w:rsidRPr="00EA7524" w:rsidRDefault="002756A0" w:rsidP="002756A0">
            <w:pPr>
              <w:spacing w:before="120" w:after="120" w:line="240" w:lineRule="auto"/>
              <w:ind w:left="306"/>
              <w:rPr>
                <w:rFonts w:ascii="Arial Narrow" w:hAnsi="Arial Narrow"/>
                <w:sz w:val="20"/>
                <w:szCs w:val="20"/>
              </w:rPr>
            </w:pPr>
            <w:r w:rsidRPr="00EA7524">
              <w:rPr>
                <w:rFonts w:ascii="Arial Narrow" w:hAnsi="Arial Narrow"/>
                <w:sz w:val="20"/>
                <w:szCs w:val="20"/>
              </w:rPr>
              <w:t>(ii) left ventricular ejection fraction of 25% or more.</w:t>
            </w:r>
          </w:p>
          <w:p w14:paraId="12672DA0" w14:textId="77777777" w:rsidR="002756A0" w:rsidRPr="00EA7524" w:rsidRDefault="002756A0" w:rsidP="002756A0">
            <w:pPr>
              <w:spacing w:before="120" w:after="120" w:line="240" w:lineRule="auto"/>
              <w:rPr>
                <w:rFonts w:ascii="Arial Narrow" w:hAnsi="Arial Narrow"/>
                <w:sz w:val="20"/>
                <w:szCs w:val="20"/>
              </w:rPr>
            </w:pPr>
            <w:r w:rsidRPr="00EA7524">
              <w:rPr>
                <w:rFonts w:ascii="Arial Narrow" w:hAnsi="Arial Narrow"/>
                <w:sz w:val="20"/>
                <w:szCs w:val="20"/>
              </w:rPr>
              <w:t>(b) The patient is deemed suitable for TTVR by a qualified multidisciplinary heart team, following a detailed assessment of comorbidities and expected benefits.</w:t>
            </w:r>
          </w:p>
          <w:p w14:paraId="1F25E82A" w14:textId="77777777" w:rsidR="002756A0" w:rsidRPr="00EA7524" w:rsidRDefault="002756A0" w:rsidP="002756A0">
            <w:pPr>
              <w:spacing w:before="120" w:after="120" w:line="240" w:lineRule="auto"/>
              <w:rPr>
                <w:rFonts w:ascii="Arial Narrow" w:hAnsi="Arial Narrow"/>
                <w:sz w:val="20"/>
                <w:szCs w:val="20"/>
              </w:rPr>
            </w:pPr>
            <w:r w:rsidRPr="00EA7524">
              <w:rPr>
                <w:rFonts w:ascii="Arial Narrow" w:hAnsi="Arial Narrow"/>
                <w:sz w:val="20"/>
                <w:szCs w:val="20"/>
              </w:rPr>
              <w:t>(c) The Service is performed:</w:t>
            </w:r>
          </w:p>
          <w:p w14:paraId="0C48690E" w14:textId="77777777" w:rsidR="002756A0" w:rsidRPr="00EA7524" w:rsidRDefault="002756A0" w:rsidP="005161D4">
            <w:pPr>
              <w:spacing w:before="120" w:after="120" w:line="240" w:lineRule="auto"/>
              <w:ind w:left="306"/>
              <w:rPr>
                <w:rFonts w:ascii="Arial Narrow" w:hAnsi="Arial Narrow"/>
                <w:sz w:val="20"/>
                <w:szCs w:val="20"/>
              </w:rPr>
            </w:pPr>
            <w:r w:rsidRPr="00EA7524">
              <w:rPr>
                <w:rFonts w:ascii="Arial Narrow" w:hAnsi="Arial Narrow"/>
                <w:sz w:val="20"/>
                <w:szCs w:val="20"/>
              </w:rPr>
              <w:t>(i) by an accredited interventional cardiologist or cardiothoracic surgeon trained and certified by the TTVR Accreditation Committee.</w:t>
            </w:r>
          </w:p>
          <w:p w14:paraId="0F8EB345" w14:textId="50F2F0BD" w:rsidR="000D1FCF" w:rsidRPr="00EA7524" w:rsidRDefault="002756A0" w:rsidP="005161D4">
            <w:pPr>
              <w:spacing w:before="120" w:after="120" w:line="240" w:lineRule="auto"/>
              <w:ind w:left="306"/>
              <w:rPr>
                <w:rFonts w:ascii="Arial Narrow" w:hAnsi="Arial Narrow"/>
                <w:sz w:val="20"/>
                <w:szCs w:val="20"/>
              </w:rPr>
            </w:pPr>
            <w:r w:rsidRPr="00EA7524">
              <w:rPr>
                <w:rFonts w:ascii="Arial Narrow" w:hAnsi="Arial Narrow"/>
                <w:sz w:val="20"/>
                <w:szCs w:val="20"/>
              </w:rPr>
              <w:t>(ii) via transfemoral venous approach.</w:t>
            </w:r>
          </w:p>
          <w:p w14:paraId="10778BE0" w14:textId="42F78EA9" w:rsidR="005161D4" w:rsidRPr="00EA7524" w:rsidRDefault="005161D4" w:rsidP="005161D4">
            <w:pPr>
              <w:spacing w:before="120" w:after="120" w:line="240" w:lineRule="auto"/>
              <w:ind w:left="306"/>
              <w:rPr>
                <w:rFonts w:ascii="Arial Narrow" w:hAnsi="Arial Narrow"/>
                <w:sz w:val="20"/>
                <w:szCs w:val="20"/>
              </w:rPr>
            </w:pPr>
            <w:r w:rsidRPr="00EA7524">
              <w:rPr>
                <w:rFonts w:ascii="Arial Narrow" w:hAnsi="Arial Narrow"/>
                <w:sz w:val="20"/>
                <w:szCs w:val="20"/>
              </w:rPr>
              <w:t>(iii) in a hospital accredited by the TTVR Accreditation Committee to ensure appropriate facilities, personnel, and postoperative care.</w:t>
            </w:r>
          </w:p>
          <w:p w14:paraId="553DDAC7" w14:textId="77777777" w:rsidR="005161D4" w:rsidRPr="005161D4" w:rsidRDefault="005161D4" w:rsidP="005161D4">
            <w:pPr>
              <w:spacing w:before="120" w:after="120" w:line="240" w:lineRule="auto"/>
              <w:rPr>
                <w:rFonts w:ascii="Arial Narrow" w:hAnsi="Arial Narrow"/>
                <w:sz w:val="20"/>
                <w:szCs w:val="20"/>
              </w:rPr>
            </w:pPr>
            <w:r w:rsidRPr="00EA7524">
              <w:rPr>
                <w:rFonts w:ascii="Arial Narrow" w:hAnsi="Arial Narrow"/>
                <w:sz w:val="20"/>
                <w:szCs w:val="20"/>
              </w:rPr>
              <w:t>(d) a service to which this item applies, or any other item covering TTVR, must not have been provided</w:t>
            </w:r>
            <w:r w:rsidRPr="005161D4">
              <w:rPr>
                <w:rFonts w:ascii="Arial Narrow" w:hAnsi="Arial Narrow"/>
                <w:sz w:val="20"/>
                <w:szCs w:val="20"/>
              </w:rPr>
              <w:t xml:space="preserve"> to the patient before.</w:t>
            </w:r>
          </w:p>
          <w:p w14:paraId="5379CBCB" w14:textId="40FEEC4B" w:rsidR="002F3E40" w:rsidRPr="00DE762F" w:rsidRDefault="005161D4" w:rsidP="005161D4">
            <w:pPr>
              <w:spacing w:before="120" w:after="120" w:line="240" w:lineRule="auto"/>
              <w:rPr>
                <w:rFonts w:ascii="Arial Narrow" w:hAnsi="Arial Narrow"/>
                <w:sz w:val="20"/>
                <w:szCs w:val="20"/>
              </w:rPr>
            </w:pPr>
            <w:r w:rsidRPr="005161D4">
              <w:rPr>
                <w:rFonts w:ascii="Arial Narrow" w:hAnsi="Arial Narrow"/>
                <w:sz w:val="20"/>
                <w:szCs w:val="20"/>
              </w:rPr>
              <w:t>(H) (Anaes.) (Assist.)</w:t>
            </w:r>
          </w:p>
        </w:tc>
      </w:tr>
      <w:tr w:rsidR="00D2670B" w:rsidRPr="005771DC" w14:paraId="4130676A" w14:textId="77777777" w:rsidTr="39D7B982">
        <w:trPr>
          <w:cantSplit/>
          <w:tblHeader/>
        </w:trPr>
        <w:tc>
          <w:tcPr>
            <w:tcW w:w="5000" w:type="pct"/>
            <w:tcBorders>
              <w:top w:val="single" w:sz="4" w:space="0" w:color="auto"/>
              <w:left w:val="single" w:sz="4" w:space="0" w:color="auto"/>
              <w:bottom w:val="single" w:sz="4" w:space="0" w:color="auto"/>
              <w:right w:val="single" w:sz="4" w:space="0" w:color="auto"/>
            </w:tcBorders>
            <w:vAlign w:val="center"/>
          </w:tcPr>
          <w:p w14:paraId="56A2DE20" w14:textId="0CDE9DCA" w:rsidR="00D2670B" w:rsidRPr="00DE762F" w:rsidRDefault="43A4DDD6" w:rsidP="39D7B982">
            <w:pPr>
              <w:spacing w:before="40" w:after="40" w:line="240" w:lineRule="auto"/>
              <w:rPr>
                <w:rFonts w:ascii="Arial Narrow" w:eastAsia="Arial Narrow" w:hAnsi="Arial Narrow" w:cs="Arial Narrow"/>
                <w:strike/>
                <w:color w:val="D13438"/>
                <w:sz w:val="20"/>
                <w:szCs w:val="20"/>
              </w:rPr>
            </w:pPr>
            <w:r w:rsidRPr="39D7B982">
              <w:rPr>
                <w:rFonts w:ascii="Arial Narrow" w:hAnsi="Arial Narrow"/>
                <w:sz w:val="20"/>
                <w:szCs w:val="20"/>
              </w:rPr>
              <w:t xml:space="preserve">Fee: </w:t>
            </w:r>
            <w:r w:rsidR="6F703BED" w:rsidRPr="39D7B982">
              <w:rPr>
                <w:rFonts w:ascii="Arial Narrow" w:eastAsia="Arial Narrow" w:hAnsi="Arial Narrow" w:cs="Arial Narrow"/>
                <w:color w:val="000000" w:themeColor="text1"/>
                <w:sz w:val="20"/>
                <w:szCs w:val="20"/>
              </w:rPr>
              <w:t>$</w:t>
            </w:r>
            <w:r w:rsidR="6F703BED" w:rsidRPr="000E7E89">
              <w:rPr>
                <w:rFonts w:ascii="Arial Narrow" w:eastAsia="Arial Narrow" w:hAnsi="Arial Narrow" w:cs="Arial Narrow"/>
                <w:color w:val="000000" w:themeColor="text1"/>
                <w:sz w:val="20"/>
                <w:szCs w:val="20"/>
              </w:rPr>
              <w:t>1,631.65 Benefit: 75% = $1,223.75</w:t>
            </w:r>
          </w:p>
        </w:tc>
      </w:tr>
    </w:tbl>
    <w:p w14:paraId="65B0E7D8" w14:textId="684C0CBA" w:rsidR="000D63E3" w:rsidRDefault="000D63E3" w:rsidP="00E31F76">
      <w:pPr>
        <w:pStyle w:val="Tablenotes"/>
        <w:spacing w:after="240"/>
      </w:pPr>
    </w:p>
    <w:p w14:paraId="2AE007E0" w14:textId="5C9C1D6A" w:rsidR="00971FA3" w:rsidRDefault="00971FA3" w:rsidP="00971FA3">
      <w:r>
        <w:lastRenderedPageBreak/>
        <w:t xml:space="preserve">The application stated that the </w:t>
      </w:r>
      <w:r w:rsidRPr="008B1AC0">
        <w:t xml:space="preserve">proposed fee </w:t>
      </w:r>
      <w:r>
        <w:t>(</w:t>
      </w:r>
      <w:r w:rsidRPr="000E7E89">
        <w:t>$1,631.65 to $1,800</w:t>
      </w:r>
      <w:r>
        <w:t xml:space="preserve">) </w:t>
      </w:r>
      <w:r w:rsidRPr="008B1AC0">
        <w:t xml:space="preserve">is </w:t>
      </w:r>
      <w:r>
        <w:t>comparable to</w:t>
      </w:r>
      <w:r w:rsidRPr="008B1AC0">
        <w:t xml:space="preserve"> the existing fee for </w:t>
      </w:r>
      <w:r>
        <w:t>TMVr ($</w:t>
      </w:r>
      <w:r w:rsidRPr="000E7E89">
        <w:t>1,631.65</w:t>
      </w:r>
      <w:r>
        <w:t xml:space="preserve"> in February 2025)</w:t>
      </w:r>
      <w:r>
        <w:rPr>
          <w:rStyle w:val="FootnoteReference"/>
        </w:rPr>
        <w:footnoteReference w:id="9"/>
      </w:r>
      <w:r>
        <w:t xml:space="preserve"> on the basis that</w:t>
      </w:r>
      <w:r w:rsidRPr="008B1AC0">
        <w:t xml:space="preserve"> the </w:t>
      </w:r>
      <w:r>
        <w:t xml:space="preserve">TTVR </w:t>
      </w:r>
      <w:r w:rsidRPr="008B1AC0">
        <w:t>procedure will require a similar level of time, skill and training to provide.</w:t>
      </w:r>
      <w:r>
        <w:t xml:space="preserve"> Although not mentioned in the application, a 75% benefit would be </w:t>
      </w:r>
      <w:r w:rsidR="00D941C1">
        <w:t>appropriate</w:t>
      </w:r>
      <w:r>
        <w:t xml:space="preserve"> given the procedure is for hospital inpatients only.</w:t>
      </w:r>
    </w:p>
    <w:p w14:paraId="4F827AAA" w14:textId="5BCA7F4D" w:rsidR="007E1244" w:rsidRDefault="007E1244" w:rsidP="00971FA3">
      <w:r>
        <w:rPr>
          <w:rFonts w:asciiTheme="minorHAnsi" w:hAnsiTheme="minorHAnsi" w:cstheme="minorHAnsi"/>
          <w:i/>
          <w:iCs/>
        </w:rPr>
        <w:t>PASC considered that the proposed fee should be commensurate with that for TMVr.</w:t>
      </w:r>
    </w:p>
    <w:p w14:paraId="2F509592" w14:textId="75FF4C27" w:rsidR="001D7DBD" w:rsidRDefault="001D7DBD" w:rsidP="001D7DBD">
      <w:r w:rsidRPr="00594747">
        <w:t xml:space="preserve">The assessment group proposed an alternative MBS item descriptor </w:t>
      </w:r>
      <w:r w:rsidR="00F04F8A" w:rsidRPr="00594747">
        <w:t>(</w:t>
      </w:r>
      <w:r w:rsidR="00722377">
        <w:t>Table 8</w:t>
      </w:r>
      <w:r w:rsidR="00F04F8A" w:rsidRPr="00594747">
        <w:t>)</w:t>
      </w:r>
      <w:r w:rsidR="00594747">
        <w:t xml:space="preserve"> </w:t>
      </w:r>
      <w:r w:rsidR="002E3365">
        <w:t xml:space="preserve">that </w:t>
      </w:r>
      <w:r w:rsidR="00594747">
        <w:t>c</w:t>
      </w:r>
      <w:r>
        <w:t>aptures advice from the applicant’s clinical expert</w:t>
      </w:r>
      <w:r w:rsidRPr="0042520A">
        <w:rPr>
          <w:vertAlign w:val="superscript"/>
        </w:rPr>
        <w:fldChar w:fldCharType="begin"/>
      </w:r>
      <w:r w:rsidRPr="0042520A">
        <w:rPr>
          <w:vertAlign w:val="superscript"/>
        </w:rPr>
        <w:instrText xml:space="preserve"> NOTEREF _Ref192239327 \h </w:instrText>
      </w:r>
      <w:r>
        <w:rPr>
          <w:vertAlign w:val="superscript"/>
        </w:rPr>
        <w:instrText xml:space="preserve"> \* MERGEFORMAT </w:instrText>
      </w:r>
      <w:r w:rsidRPr="0042520A">
        <w:rPr>
          <w:vertAlign w:val="superscript"/>
        </w:rPr>
      </w:r>
      <w:r w:rsidRPr="0042520A">
        <w:rPr>
          <w:vertAlign w:val="superscript"/>
        </w:rPr>
        <w:fldChar w:fldCharType="separate"/>
      </w:r>
      <w:r w:rsidR="00481F36">
        <w:rPr>
          <w:vertAlign w:val="superscript"/>
        </w:rPr>
        <w:t>7</w:t>
      </w:r>
      <w:r w:rsidRPr="0042520A">
        <w:rPr>
          <w:vertAlign w:val="superscript"/>
        </w:rPr>
        <w:fldChar w:fldCharType="end"/>
      </w:r>
      <w:r>
        <w:t xml:space="preserve"> and specifies appropriate measures to determine </w:t>
      </w:r>
      <w:r w:rsidR="004439A6">
        <w:t xml:space="preserve">patients who are </w:t>
      </w:r>
      <w:r>
        <w:t xml:space="preserve">eligible </w:t>
      </w:r>
      <w:r w:rsidR="004439A6">
        <w:t>for the service</w:t>
      </w:r>
      <w:r>
        <w:t>.</w:t>
      </w:r>
    </w:p>
    <w:p w14:paraId="296ADD67" w14:textId="051F799D" w:rsidR="004A1E7F" w:rsidRDefault="00BD0DA1" w:rsidP="001D7DBD">
      <w:r>
        <w:t>In addition, t</w:t>
      </w:r>
      <w:r w:rsidRPr="00594747">
        <w:t xml:space="preserve">he assessment group proposed </w:t>
      </w:r>
      <w:r>
        <w:t xml:space="preserve">2 new MBS items for </w:t>
      </w:r>
      <w:r w:rsidR="00FF3054">
        <w:t xml:space="preserve">attendance at </w:t>
      </w:r>
      <w:r>
        <w:t>TTVR case conferences</w:t>
      </w:r>
      <w:r w:rsidR="0072259C">
        <w:t xml:space="preserve"> (</w:t>
      </w:r>
      <w:r w:rsidR="00722377">
        <w:t>Table 9</w:t>
      </w:r>
      <w:r w:rsidR="0072259C">
        <w:t>)</w:t>
      </w:r>
      <w:r w:rsidR="00FF3054">
        <w:t>,</w:t>
      </w:r>
      <w:r>
        <w:t xml:space="preserve"> based on </w:t>
      </w:r>
      <w:r w:rsidRPr="0066687D">
        <w:t>MBS items 6082 and 6084</w:t>
      </w:r>
      <w:r>
        <w:t xml:space="preserve"> </w:t>
      </w:r>
      <w:r w:rsidR="00FF3054">
        <w:t xml:space="preserve">for </w:t>
      </w:r>
      <w:r w:rsidR="00143A7F">
        <w:t xml:space="preserve">attendance at </w:t>
      </w:r>
      <w:r w:rsidR="00FF3054">
        <w:t>TMVr</w:t>
      </w:r>
      <w:r w:rsidR="0072259C">
        <w:t xml:space="preserve"> cas</w:t>
      </w:r>
      <w:r w:rsidR="00143A7F">
        <w:t>e conferences</w:t>
      </w:r>
      <w:r>
        <w:t>.</w:t>
      </w:r>
    </w:p>
    <w:p w14:paraId="46807E4B" w14:textId="6ABBF137" w:rsidR="00806875" w:rsidRPr="00AD26D1" w:rsidRDefault="00722377" w:rsidP="00806875">
      <w:pPr>
        <w:pStyle w:val="Caption"/>
        <w:rPr>
          <w:lang w:val="en-AU"/>
        </w:rPr>
      </w:pPr>
      <w:r>
        <w:rPr>
          <w:lang w:val="en-AU"/>
        </w:rPr>
        <w:t>Table 8</w:t>
      </w:r>
      <w:r w:rsidR="00806875" w:rsidRPr="00AD26D1">
        <w:rPr>
          <w:lang w:val="en-AU"/>
        </w:rPr>
        <w:tab/>
        <w:t xml:space="preserve">New MBS item descriptor </w:t>
      </w:r>
      <w:r w:rsidR="00971FA3" w:rsidRPr="00AD26D1">
        <w:rPr>
          <w:lang w:val="en-AU"/>
        </w:rPr>
        <w:t>for TTVR</w:t>
      </w:r>
      <w:r w:rsidR="00213864">
        <w:rPr>
          <w:lang w:val="en-AU"/>
        </w:rPr>
        <w:t xml:space="preserve"> supported by PASC</w:t>
      </w:r>
    </w:p>
    <w:tbl>
      <w:tblPr>
        <w:tblStyle w:val="TableGrid"/>
        <w:tblW w:w="5000" w:type="pct"/>
        <w:tblInd w:w="0" w:type="dxa"/>
        <w:tblLook w:val="04A0" w:firstRow="1" w:lastRow="0" w:firstColumn="1" w:lastColumn="0" w:noHBand="0" w:noVBand="1"/>
        <w:tblCaption w:val="New MBS item descriptor proposed by the assessment group for TTVR"/>
        <w:tblDescription w:val="The box shows that the proposed item is in Category 3. The eligible population is consistent with the proposed population. The proposed fee is $1,631.65 to $1,800."/>
      </w:tblPr>
      <w:tblGrid>
        <w:gridCol w:w="9571"/>
      </w:tblGrid>
      <w:tr w:rsidR="00687C35" w:rsidRPr="00D2670B" w14:paraId="782A8986" w14:textId="77777777" w:rsidTr="39D7B982">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31FAA8CD" w14:textId="77777777" w:rsidR="00687C35" w:rsidRPr="00DE762F" w:rsidRDefault="00687C35">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t>3</w:t>
            </w:r>
            <w:r w:rsidRPr="00D2670B">
              <w:t xml:space="preserve"> – </w:t>
            </w:r>
            <w:r>
              <w:t>THERAPEUTIC PROCEDURES</w:t>
            </w:r>
          </w:p>
        </w:tc>
      </w:tr>
      <w:tr w:rsidR="00687C35" w:rsidRPr="005771DC" w14:paraId="407D7DC3" w14:textId="77777777" w:rsidTr="39D7B982">
        <w:trPr>
          <w:cantSplit/>
          <w:tblHeader/>
        </w:trPr>
        <w:tc>
          <w:tcPr>
            <w:tcW w:w="5000" w:type="pct"/>
            <w:tcBorders>
              <w:top w:val="single" w:sz="4" w:space="0" w:color="auto"/>
              <w:left w:val="single" w:sz="4" w:space="0" w:color="auto"/>
              <w:bottom w:val="dotted" w:sz="4" w:space="0" w:color="auto"/>
              <w:right w:val="single" w:sz="4" w:space="0" w:color="auto"/>
            </w:tcBorders>
          </w:tcPr>
          <w:p w14:paraId="12EADDB5" w14:textId="1510C1B1" w:rsidR="00687C35" w:rsidRPr="00DE762F" w:rsidRDefault="00687C35">
            <w:pPr>
              <w:spacing w:before="120" w:after="120" w:line="240" w:lineRule="auto"/>
              <w:rPr>
                <w:rFonts w:ascii="Arial Narrow" w:hAnsi="Arial Narrow"/>
                <w:sz w:val="20"/>
                <w:szCs w:val="20"/>
              </w:rPr>
            </w:pPr>
            <w:r w:rsidRPr="00DE762F">
              <w:rPr>
                <w:rFonts w:ascii="Arial Narrow" w:hAnsi="Arial Narrow"/>
                <w:sz w:val="20"/>
                <w:szCs w:val="20"/>
              </w:rPr>
              <w:t>MBS item XXXX</w:t>
            </w:r>
            <w:r w:rsidR="000D0F33">
              <w:rPr>
                <w:rFonts w:ascii="Arial Narrow" w:hAnsi="Arial Narrow"/>
                <w:sz w:val="20"/>
                <w:szCs w:val="20"/>
              </w:rPr>
              <w:t>X</w:t>
            </w:r>
          </w:p>
          <w:p w14:paraId="57481E54" w14:textId="6EEF1AF0" w:rsidR="00687C35" w:rsidRPr="002756A0" w:rsidRDefault="5E073494">
            <w:pPr>
              <w:spacing w:before="120" w:after="120" w:line="240" w:lineRule="auto"/>
              <w:rPr>
                <w:rFonts w:ascii="Arial Narrow" w:hAnsi="Arial Narrow"/>
                <w:sz w:val="20"/>
                <w:szCs w:val="20"/>
              </w:rPr>
            </w:pPr>
            <w:r w:rsidRPr="39D7B982">
              <w:rPr>
                <w:rFonts w:ascii="Arial Narrow" w:hAnsi="Arial Narrow"/>
                <w:sz w:val="20"/>
                <w:szCs w:val="20"/>
              </w:rPr>
              <w:t xml:space="preserve">Transcatheter tricuspid valve replacement (TTVR) , including intraoperative diagnostic imaging if: </w:t>
            </w:r>
          </w:p>
          <w:p w14:paraId="04C0517D" w14:textId="7FC36C54" w:rsidR="00687C35" w:rsidRPr="002756A0" w:rsidRDefault="00687C35">
            <w:pPr>
              <w:spacing w:before="120" w:after="120" w:line="240" w:lineRule="auto"/>
              <w:rPr>
                <w:rFonts w:ascii="Arial Narrow" w:hAnsi="Arial Narrow"/>
                <w:sz w:val="20"/>
                <w:szCs w:val="20"/>
              </w:rPr>
            </w:pPr>
            <w:r w:rsidRPr="002756A0">
              <w:rPr>
                <w:rFonts w:ascii="Arial Narrow" w:hAnsi="Arial Narrow"/>
                <w:sz w:val="20"/>
                <w:szCs w:val="20"/>
              </w:rPr>
              <w:t xml:space="preserve">(a) </w:t>
            </w:r>
            <w:r w:rsidR="006C781F">
              <w:rPr>
                <w:rFonts w:ascii="Arial Narrow" w:hAnsi="Arial Narrow"/>
                <w:sz w:val="20"/>
                <w:szCs w:val="20"/>
              </w:rPr>
              <w:t>t</w:t>
            </w:r>
            <w:r w:rsidRPr="002756A0">
              <w:rPr>
                <w:rFonts w:ascii="Arial Narrow" w:hAnsi="Arial Narrow"/>
                <w:sz w:val="20"/>
                <w:szCs w:val="20"/>
              </w:rPr>
              <w:t>he patient has</w:t>
            </w:r>
            <w:r w:rsidR="00D87F44">
              <w:rPr>
                <w:rFonts w:ascii="Arial Narrow" w:hAnsi="Arial Narrow"/>
                <w:sz w:val="20"/>
                <w:szCs w:val="20"/>
              </w:rPr>
              <w:t>:</w:t>
            </w:r>
          </w:p>
          <w:p w14:paraId="17D43123" w14:textId="002BEDBC" w:rsidR="00710E96" w:rsidRDefault="00687C35">
            <w:pPr>
              <w:spacing w:before="120" w:after="120" w:line="240" w:lineRule="auto"/>
              <w:ind w:left="306"/>
              <w:rPr>
                <w:rFonts w:ascii="Arial Narrow" w:hAnsi="Arial Narrow"/>
                <w:sz w:val="20"/>
                <w:szCs w:val="20"/>
              </w:rPr>
            </w:pPr>
            <w:r w:rsidRPr="002756A0">
              <w:rPr>
                <w:rFonts w:ascii="Arial Narrow" w:hAnsi="Arial Narrow"/>
                <w:sz w:val="20"/>
                <w:szCs w:val="20"/>
              </w:rPr>
              <w:t xml:space="preserve">(i) severe or </w:t>
            </w:r>
            <w:r w:rsidRPr="00D87F44">
              <w:rPr>
                <w:rFonts w:ascii="Arial Narrow" w:hAnsi="Arial Narrow"/>
                <w:sz w:val="20"/>
                <w:szCs w:val="20"/>
              </w:rPr>
              <w:t>greater</w:t>
            </w:r>
            <w:r w:rsidR="00863A98">
              <w:rPr>
                <w:rFonts w:ascii="Arial Narrow" w:hAnsi="Arial Narrow"/>
                <w:sz w:val="20"/>
                <w:szCs w:val="20"/>
              </w:rPr>
              <w:t xml:space="preserve"> </w:t>
            </w:r>
            <w:r w:rsidRPr="00D87F44">
              <w:rPr>
                <w:rFonts w:ascii="Arial Narrow" w:hAnsi="Arial Narrow"/>
                <w:sz w:val="20"/>
                <w:szCs w:val="20"/>
              </w:rPr>
              <w:t>tricuspid regurgitation</w:t>
            </w:r>
            <w:r w:rsidR="00EB6146">
              <w:rPr>
                <w:rFonts w:ascii="Arial Narrow" w:hAnsi="Arial Narrow"/>
                <w:sz w:val="20"/>
                <w:szCs w:val="20"/>
              </w:rPr>
              <w:t xml:space="preserve">, </w:t>
            </w:r>
            <w:r w:rsidR="000742E0" w:rsidRPr="00B66B98">
              <w:rPr>
                <w:rFonts w:ascii="Arial Narrow" w:hAnsi="Arial Narrow"/>
                <w:sz w:val="20"/>
                <w:szCs w:val="20"/>
              </w:rPr>
              <w:t>as determined by echocardiography</w:t>
            </w:r>
            <w:r w:rsidR="006C781F">
              <w:rPr>
                <w:rFonts w:ascii="Arial Narrow" w:hAnsi="Arial Narrow"/>
                <w:sz w:val="20"/>
                <w:szCs w:val="20"/>
              </w:rPr>
              <w:t>;</w:t>
            </w:r>
          </w:p>
          <w:p w14:paraId="6102DB23" w14:textId="304BFA59" w:rsidR="00687C35" w:rsidRPr="002756A0" w:rsidRDefault="00710E96">
            <w:pPr>
              <w:spacing w:before="120" w:after="120" w:line="240" w:lineRule="auto"/>
              <w:ind w:left="306"/>
              <w:rPr>
                <w:rFonts w:ascii="Arial Narrow" w:hAnsi="Arial Narrow"/>
                <w:sz w:val="20"/>
                <w:szCs w:val="20"/>
              </w:rPr>
            </w:pPr>
            <w:r>
              <w:rPr>
                <w:rFonts w:ascii="Arial Narrow" w:hAnsi="Arial Narrow"/>
                <w:sz w:val="20"/>
                <w:szCs w:val="20"/>
              </w:rPr>
              <w:t xml:space="preserve">(ii) </w:t>
            </w:r>
            <w:r w:rsidR="00790E66">
              <w:rPr>
                <w:rFonts w:ascii="Arial Narrow" w:hAnsi="Arial Narrow"/>
                <w:sz w:val="20"/>
                <w:szCs w:val="20"/>
              </w:rPr>
              <w:t>symptom</w:t>
            </w:r>
            <w:r w:rsidR="006D7EAC">
              <w:rPr>
                <w:rFonts w:ascii="Arial Narrow" w:hAnsi="Arial Narrow"/>
                <w:sz w:val="20"/>
                <w:szCs w:val="20"/>
              </w:rPr>
              <w:t>s</w:t>
            </w:r>
            <w:r w:rsidR="00910037">
              <w:rPr>
                <w:rFonts w:ascii="Arial Narrow" w:hAnsi="Arial Narrow"/>
                <w:sz w:val="20"/>
                <w:szCs w:val="20"/>
              </w:rPr>
              <w:t xml:space="preserve"> (</w:t>
            </w:r>
            <w:r w:rsidR="00387979">
              <w:rPr>
                <w:rFonts w:ascii="Arial Narrow" w:hAnsi="Arial Narrow"/>
                <w:sz w:val="20"/>
                <w:szCs w:val="20"/>
              </w:rPr>
              <w:t>New York Heart Association</w:t>
            </w:r>
            <w:r w:rsidR="00910037">
              <w:rPr>
                <w:rFonts w:ascii="Arial Narrow" w:hAnsi="Arial Narrow"/>
                <w:sz w:val="20"/>
                <w:szCs w:val="20"/>
              </w:rPr>
              <w:t xml:space="preserve"> functional class </w:t>
            </w:r>
            <w:r w:rsidR="00387979">
              <w:rPr>
                <w:rFonts w:ascii="Arial Narrow" w:hAnsi="Arial Narrow"/>
                <w:sz w:val="20"/>
                <w:szCs w:val="20"/>
              </w:rPr>
              <w:t>II</w:t>
            </w:r>
            <w:r w:rsidR="00910037">
              <w:rPr>
                <w:rFonts w:ascii="Arial Narrow" w:hAnsi="Arial Narrow"/>
                <w:sz w:val="20"/>
                <w:szCs w:val="20"/>
              </w:rPr>
              <w:t xml:space="preserve"> or greater)</w:t>
            </w:r>
            <w:r w:rsidR="00D87F44" w:rsidRPr="00D87F44">
              <w:rPr>
                <w:rFonts w:ascii="Arial Narrow" w:hAnsi="Arial Narrow"/>
                <w:sz w:val="20"/>
                <w:szCs w:val="20"/>
              </w:rPr>
              <w:t xml:space="preserve"> </w:t>
            </w:r>
            <w:r w:rsidR="009A4078">
              <w:rPr>
                <w:rFonts w:ascii="Arial Narrow" w:hAnsi="Arial Narrow"/>
                <w:sz w:val="20"/>
                <w:szCs w:val="20"/>
              </w:rPr>
              <w:t>despite</w:t>
            </w:r>
            <w:r w:rsidR="00687C35">
              <w:rPr>
                <w:rFonts w:ascii="Arial Narrow" w:hAnsi="Arial Narrow"/>
                <w:sz w:val="20"/>
                <w:szCs w:val="20"/>
              </w:rPr>
              <w:t xml:space="preserve"> </w:t>
            </w:r>
            <w:r w:rsidR="00687C35" w:rsidRPr="00D87F44">
              <w:rPr>
                <w:rFonts w:ascii="Arial Narrow" w:hAnsi="Arial Narrow"/>
                <w:sz w:val="20"/>
                <w:szCs w:val="20"/>
              </w:rPr>
              <w:t>optimal medical therapy</w:t>
            </w:r>
            <w:r w:rsidR="006C781F">
              <w:rPr>
                <w:rFonts w:ascii="Arial Narrow" w:hAnsi="Arial Narrow"/>
                <w:sz w:val="20"/>
                <w:szCs w:val="20"/>
              </w:rPr>
              <w:t>;</w:t>
            </w:r>
          </w:p>
          <w:p w14:paraId="6AD747B6" w14:textId="01232410" w:rsidR="00B57F24" w:rsidRPr="002756A0" w:rsidRDefault="00687C35" w:rsidP="006A1CD6">
            <w:pPr>
              <w:spacing w:before="120" w:after="120" w:line="240" w:lineRule="auto"/>
              <w:ind w:left="306"/>
              <w:rPr>
                <w:rFonts w:ascii="Arial Narrow" w:hAnsi="Arial Narrow"/>
                <w:sz w:val="20"/>
                <w:szCs w:val="20"/>
              </w:rPr>
            </w:pPr>
            <w:r w:rsidRPr="002756A0">
              <w:rPr>
                <w:rFonts w:ascii="Arial Narrow" w:hAnsi="Arial Narrow"/>
                <w:sz w:val="20"/>
                <w:szCs w:val="20"/>
              </w:rPr>
              <w:t>(ii) left ventricular ejection fraction of 25% or more</w:t>
            </w:r>
            <w:r w:rsidR="006C781F">
              <w:rPr>
                <w:rFonts w:ascii="Arial Narrow" w:hAnsi="Arial Narrow"/>
                <w:sz w:val="20"/>
                <w:szCs w:val="20"/>
              </w:rPr>
              <w:t>; and</w:t>
            </w:r>
          </w:p>
          <w:p w14:paraId="4C06A632" w14:textId="65B7CC8A" w:rsidR="00687C35" w:rsidRPr="002756A0" w:rsidRDefault="00687C35">
            <w:pPr>
              <w:spacing w:before="120" w:after="120" w:line="240" w:lineRule="auto"/>
              <w:rPr>
                <w:rFonts w:ascii="Arial Narrow" w:hAnsi="Arial Narrow"/>
                <w:sz w:val="20"/>
                <w:szCs w:val="20"/>
              </w:rPr>
            </w:pPr>
            <w:r w:rsidRPr="002756A0">
              <w:rPr>
                <w:rFonts w:ascii="Arial Narrow" w:hAnsi="Arial Narrow"/>
                <w:sz w:val="20"/>
                <w:szCs w:val="20"/>
              </w:rPr>
              <w:t xml:space="preserve">(b) </w:t>
            </w:r>
            <w:r w:rsidR="006C781F">
              <w:rPr>
                <w:rFonts w:ascii="Arial Narrow" w:hAnsi="Arial Narrow"/>
                <w:sz w:val="20"/>
                <w:szCs w:val="20"/>
              </w:rPr>
              <w:t>t</w:t>
            </w:r>
            <w:r w:rsidRPr="002756A0">
              <w:rPr>
                <w:rFonts w:ascii="Arial Narrow" w:hAnsi="Arial Narrow"/>
                <w:sz w:val="20"/>
                <w:szCs w:val="20"/>
              </w:rPr>
              <w:t xml:space="preserve">he patient is deemed suitable for </w:t>
            </w:r>
            <w:r w:rsidR="00D80DCA">
              <w:rPr>
                <w:rFonts w:ascii="Arial Narrow" w:hAnsi="Arial Narrow"/>
                <w:sz w:val="20"/>
                <w:szCs w:val="20"/>
              </w:rPr>
              <w:t xml:space="preserve">isolated </w:t>
            </w:r>
            <w:r w:rsidRPr="002756A0">
              <w:rPr>
                <w:rFonts w:ascii="Arial Narrow" w:hAnsi="Arial Narrow"/>
                <w:sz w:val="20"/>
                <w:szCs w:val="20"/>
              </w:rPr>
              <w:t>TTVR by a qualified multidisciplinary heart team, following a detailed assessment of comorbidities and expected benefits</w:t>
            </w:r>
            <w:r w:rsidR="006C781F">
              <w:rPr>
                <w:rFonts w:ascii="Arial Narrow" w:hAnsi="Arial Narrow"/>
                <w:sz w:val="20"/>
                <w:szCs w:val="20"/>
              </w:rPr>
              <w:t>; and</w:t>
            </w:r>
          </w:p>
          <w:p w14:paraId="3622BD02" w14:textId="6C650BC8" w:rsidR="00687C35" w:rsidRPr="002756A0" w:rsidRDefault="00687C35">
            <w:pPr>
              <w:spacing w:before="120" w:after="120" w:line="240" w:lineRule="auto"/>
              <w:rPr>
                <w:rFonts w:ascii="Arial Narrow" w:hAnsi="Arial Narrow"/>
                <w:sz w:val="20"/>
                <w:szCs w:val="20"/>
              </w:rPr>
            </w:pPr>
            <w:r w:rsidRPr="002756A0">
              <w:rPr>
                <w:rFonts w:ascii="Arial Narrow" w:hAnsi="Arial Narrow"/>
                <w:sz w:val="20"/>
                <w:szCs w:val="20"/>
              </w:rPr>
              <w:t xml:space="preserve">(c) </w:t>
            </w:r>
            <w:r w:rsidR="006C781F">
              <w:rPr>
                <w:rFonts w:ascii="Arial Narrow" w:hAnsi="Arial Narrow"/>
                <w:sz w:val="20"/>
                <w:szCs w:val="20"/>
              </w:rPr>
              <w:t>t</w:t>
            </w:r>
            <w:r w:rsidRPr="002756A0">
              <w:rPr>
                <w:rFonts w:ascii="Arial Narrow" w:hAnsi="Arial Narrow"/>
                <w:sz w:val="20"/>
                <w:szCs w:val="20"/>
              </w:rPr>
              <w:t xml:space="preserve">he </w:t>
            </w:r>
            <w:r w:rsidR="006F7550">
              <w:rPr>
                <w:rFonts w:ascii="Arial Narrow" w:hAnsi="Arial Narrow"/>
                <w:sz w:val="20"/>
                <w:szCs w:val="20"/>
              </w:rPr>
              <w:t>s</w:t>
            </w:r>
            <w:r w:rsidRPr="002756A0">
              <w:rPr>
                <w:rFonts w:ascii="Arial Narrow" w:hAnsi="Arial Narrow"/>
                <w:sz w:val="20"/>
                <w:szCs w:val="20"/>
              </w:rPr>
              <w:t>ervice is performed:</w:t>
            </w:r>
          </w:p>
          <w:p w14:paraId="6DB9BE54" w14:textId="6931805A" w:rsidR="00687C35" w:rsidRPr="009E0ECA" w:rsidRDefault="006A1CD6">
            <w:pPr>
              <w:spacing w:before="120" w:after="120" w:line="240" w:lineRule="auto"/>
              <w:ind w:left="306"/>
              <w:rPr>
                <w:rFonts w:ascii="Arial Narrow" w:hAnsi="Arial Narrow"/>
                <w:sz w:val="20"/>
                <w:szCs w:val="20"/>
              </w:rPr>
            </w:pPr>
            <w:r>
              <w:rPr>
                <w:rFonts w:ascii="Arial Narrow" w:hAnsi="Arial Narrow"/>
                <w:sz w:val="20"/>
                <w:szCs w:val="20"/>
              </w:rPr>
              <w:t xml:space="preserve">(i) </w:t>
            </w:r>
            <w:r w:rsidR="00687C35" w:rsidRPr="009E0ECA">
              <w:rPr>
                <w:rFonts w:ascii="Arial Narrow" w:hAnsi="Arial Narrow"/>
                <w:sz w:val="20"/>
                <w:szCs w:val="20"/>
              </w:rPr>
              <w:t xml:space="preserve">by an accredited interventional cardiologist or cardiothoracic surgeon trained and certified by the TTVR </w:t>
            </w:r>
            <w:r w:rsidR="00557B36">
              <w:rPr>
                <w:rFonts w:ascii="Arial Narrow" w:hAnsi="Arial Narrow"/>
                <w:sz w:val="20"/>
                <w:szCs w:val="20"/>
              </w:rPr>
              <w:t>a</w:t>
            </w:r>
            <w:r w:rsidR="00687C35" w:rsidRPr="009E0ECA">
              <w:rPr>
                <w:rFonts w:ascii="Arial Narrow" w:hAnsi="Arial Narrow"/>
                <w:sz w:val="20"/>
                <w:szCs w:val="20"/>
              </w:rPr>
              <w:t xml:space="preserve">ccreditation </w:t>
            </w:r>
            <w:r w:rsidR="00557B36">
              <w:rPr>
                <w:rFonts w:ascii="Arial Narrow" w:hAnsi="Arial Narrow"/>
                <w:sz w:val="20"/>
                <w:szCs w:val="20"/>
              </w:rPr>
              <w:t>c</w:t>
            </w:r>
            <w:r w:rsidR="00687C35" w:rsidRPr="009E0ECA">
              <w:rPr>
                <w:rFonts w:ascii="Arial Narrow" w:hAnsi="Arial Narrow"/>
                <w:sz w:val="20"/>
                <w:szCs w:val="20"/>
              </w:rPr>
              <w:t>ommittee</w:t>
            </w:r>
            <w:r w:rsidR="006C781F">
              <w:rPr>
                <w:rFonts w:ascii="Arial Narrow" w:hAnsi="Arial Narrow"/>
                <w:sz w:val="20"/>
                <w:szCs w:val="20"/>
              </w:rPr>
              <w:t>;</w:t>
            </w:r>
          </w:p>
          <w:p w14:paraId="49E26FDE" w14:textId="052EC87B" w:rsidR="00687C35" w:rsidRPr="009E0ECA" w:rsidRDefault="00687C35">
            <w:pPr>
              <w:spacing w:before="120" w:after="120" w:line="240" w:lineRule="auto"/>
              <w:ind w:left="306"/>
              <w:rPr>
                <w:rFonts w:ascii="Arial Narrow" w:hAnsi="Arial Narrow"/>
                <w:sz w:val="20"/>
                <w:szCs w:val="20"/>
              </w:rPr>
            </w:pPr>
            <w:r w:rsidRPr="009E0ECA">
              <w:rPr>
                <w:rFonts w:ascii="Arial Narrow" w:hAnsi="Arial Narrow"/>
                <w:sz w:val="20"/>
                <w:szCs w:val="20"/>
              </w:rPr>
              <w:t>(i</w:t>
            </w:r>
            <w:r w:rsidR="006A1CD6">
              <w:rPr>
                <w:rFonts w:ascii="Arial Narrow" w:hAnsi="Arial Narrow"/>
                <w:sz w:val="20"/>
                <w:szCs w:val="20"/>
              </w:rPr>
              <w:t>i</w:t>
            </w:r>
            <w:r w:rsidRPr="009E0ECA">
              <w:rPr>
                <w:rFonts w:ascii="Arial Narrow" w:hAnsi="Arial Narrow"/>
                <w:sz w:val="20"/>
                <w:szCs w:val="20"/>
              </w:rPr>
              <w:t xml:space="preserve">) in a hospital accredited by the TTVR </w:t>
            </w:r>
            <w:r w:rsidR="00557B36">
              <w:rPr>
                <w:rFonts w:ascii="Arial Narrow" w:hAnsi="Arial Narrow"/>
                <w:sz w:val="20"/>
                <w:szCs w:val="20"/>
              </w:rPr>
              <w:t>a</w:t>
            </w:r>
            <w:r w:rsidRPr="009E0ECA">
              <w:rPr>
                <w:rFonts w:ascii="Arial Narrow" w:hAnsi="Arial Narrow"/>
                <w:sz w:val="20"/>
                <w:szCs w:val="20"/>
              </w:rPr>
              <w:t xml:space="preserve">ccreditation </w:t>
            </w:r>
            <w:r w:rsidR="00557B36">
              <w:rPr>
                <w:rFonts w:ascii="Arial Narrow" w:hAnsi="Arial Narrow"/>
                <w:sz w:val="20"/>
                <w:szCs w:val="20"/>
              </w:rPr>
              <w:t>c</w:t>
            </w:r>
            <w:r w:rsidRPr="009E0ECA">
              <w:rPr>
                <w:rFonts w:ascii="Arial Narrow" w:hAnsi="Arial Narrow"/>
                <w:sz w:val="20"/>
                <w:szCs w:val="20"/>
              </w:rPr>
              <w:t>ommittee to ensure appropriate facilities, personnel, and postoperative care</w:t>
            </w:r>
            <w:r w:rsidR="006C781F">
              <w:rPr>
                <w:rFonts w:ascii="Arial Narrow" w:hAnsi="Arial Narrow"/>
                <w:sz w:val="20"/>
                <w:szCs w:val="20"/>
              </w:rPr>
              <w:t>; and</w:t>
            </w:r>
          </w:p>
          <w:p w14:paraId="078FC408" w14:textId="444AE369" w:rsidR="00CC78AE" w:rsidRDefault="00462A45">
            <w:pPr>
              <w:spacing w:before="120" w:after="120" w:line="240" w:lineRule="auto"/>
              <w:rPr>
                <w:rFonts w:ascii="Arial Narrow" w:hAnsi="Arial Narrow"/>
                <w:sz w:val="20"/>
                <w:szCs w:val="20"/>
              </w:rPr>
            </w:pPr>
            <w:r w:rsidRPr="00462A45">
              <w:rPr>
                <w:rFonts w:ascii="Arial Narrow" w:hAnsi="Arial Narrow"/>
                <w:sz w:val="20"/>
                <w:szCs w:val="20"/>
              </w:rPr>
              <w:t>(</w:t>
            </w:r>
            <w:r w:rsidR="009F3466">
              <w:rPr>
                <w:rFonts w:ascii="Arial Narrow" w:hAnsi="Arial Narrow"/>
                <w:sz w:val="20"/>
                <w:szCs w:val="20"/>
              </w:rPr>
              <w:t>d</w:t>
            </w:r>
            <w:r w:rsidRPr="00462A45">
              <w:rPr>
                <w:rFonts w:ascii="Arial Narrow" w:hAnsi="Arial Narrow"/>
                <w:sz w:val="20"/>
                <w:szCs w:val="20"/>
              </w:rPr>
              <w:t xml:space="preserve">) </w:t>
            </w:r>
            <w:r w:rsidR="00280C3C">
              <w:rPr>
                <w:rFonts w:ascii="Arial Narrow" w:hAnsi="Arial Narrow"/>
                <w:sz w:val="20"/>
                <w:szCs w:val="20"/>
              </w:rPr>
              <w:t xml:space="preserve">the service </w:t>
            </w:r>
            <w:r w:rsidRPr="00462A45">
              <w:rPr>
                <w:rFonts w:ascii="Arial Narrow" w:hAnsi="Arial Narrow"/>
                <w:sz w:val="20"/>
                <w:szCs w:val="20"/>
              </w:rPr>
              <w:t xml:space="preserve">is not associated with a service to which item </w:t>
            </w:r>
            <w:r w:rsidR="002D6760">
              <w:rPr>
                <w:rFonts w:ascii="Arial Narrow" w:hAnsi="Arial Narrow"/>
                <w:sz w:val="20"/>
                <w:szCs w:val="20"/>
              </w:rPr>
              <w:t>38</w:t>
            </w:r>
            <w:r w:rsidR="00CE1907">
              <w:rPr>
                <w:rFonts w:ascii="Arial Narrow" w:hAnsi="Arial Narrow"/>
                <w:sz w:val="20"/>
                <w:szCs w:val="20"/>
              </w:rPr>
              <w:t>516, 38517</w:t>
            </w:r>
            <w:r w:rsidRPr="00462A45">
              <w:rPr>
                <w:rFonts w:ascii="Arial Narrow" w:hAnsi="Arial Narrow"/>
                <w:sz w:val="20"/>
                <w:szCs w:val="20"/>
              </w:rPr>
              <w:t xml:space="preserve"> applies</w:t>
            </w:r>
          </w:p>
          <w:p w14:paraId="6C4DB2DD" w14:textId="75B6F988" w:rsidR="007E7D09" w:rsidRPr="009E0ECA" w:rsidRDefault="00850554">
            <w:pPr>
              <w:spacing w:before="120" w:after="120" w:line="240" w:lineRule="auto"/>
              <w:rPr>
                <w:rFonts w:ascii="Arial Narrow" w:hAnsi="Arial Narrow"/>
                <w:sz w:val="20"/>
                <w:szCs w:val="20"/>
              </w:rPr>
            </w:pPr>
            <w:r>
              <w:rPr>
                <w:rFonts w:ascii="Arial Narrow" w:hAnsi="Arial Narrow"/>
                <w:sz w:val="20"/>
                <w:szCs w:val="20"/>
              </w:rPr>
              <w:t xml:space="preserve">Applicable once </w:t>
            </w:r>
            <w:r w:rsidR="0040656D">
              <w:rPr>
                <w:rFonts w:ascii="Arial Narrow" w:hAnsi="Arial Narrow"/>
                <w:sz w:val="20"/>
                <w:szCs w:val="20"/>
              </w:rPr>
              <w:t xml:space="preserve">per </w:t>
            </w:r>
            <w:r>
              <w:rPr>
                <w:rFonts w:ascii="Arial Narrow" w:hAnsi="Arial Narrow"/>
                <w:sz w:val="20"/>
                <w:szCs w:val="20"/>
              </w:rPr>
              <w:t>lifetime</w:t>
            </w:r>
            <w:r w:rsidR="001C63A1">
              <w:rPr>
                <w:rFonts w:ascii="Arial Narrow" w:hAnsi="Arial Narrow"/>
                <w:sz w:val="20"/>
                <w:szCs w:val="20"/>
              </w:rPr>
              <w:t xml:space="preserve"> (H)</w:t>
            </w:r>
          </w:p>
          <w:p w14:paraId="09CF9E0F" w14:textId="455A7A56" w:rsidR="007E7D09" w:rsidRPr="00C02314" w:rsidRDefault="007E7D09" w:rsidP="001C63A1">
            <w:pPr>
              <w:spacing w:before="240" w:after="120" w:line="240" w:lineRule="auto"/>
              <w:rPr>
                <w:rFonts w:ascii="Arial Narrow" w:hAnsi="Arial Narrow"/>
                <w:sz w:val="20"/>
                <w:szCs w:val="20"/>
              </w:rPr>
            </w:pPr>
            <w:hyperlink r:id="rId20" w:tooltip="Hyperlink to the Multiple Operation Rule TN.8.2 on the MBS Online website" w:history="1">
              <w:r w:rsidRPr="00794360">
                <w:rPr>
                  <w:rStyle w:val="Hyperlink"/>
                  <w:rFonts w:ascii="Arial Narrow" w:hAnsi="Arial Narrow"/>
                  <w:sz w:val="20"/>
                  <w:szCs w:val="20"/>
                </w:rPr>
                <w:t>Multiple Operation Rule</w:t>
              </w:r>
            </w:hyperlink>
          </w:p>
          <w:p w14:paraId="55A89C35" w14:textId="7CEF4CC8" w:rsidR="00687C35" w:rsidRPr="00DE762F" w:rsidRDefault="00687C35" w:rsidP="00BE245D">
            <w:pPr>
              <w:spacing w:before="240" w:after="120" w:line="240" w:lineRule="auto"/>
              <w:rPr>
                <w:rFonts w:ascii="Arial Narrow" w:hAnsi="Arial Narrow"/>
                <w:sz w:val="20"/>
                <w:szCs w:val="20"/>
              </w:rPr>
            </w:pPr>
            <w:r w:rsidRPr="009E0ECA">
              <w:rPr>
                <w:rFonts w:ascii="Arial Narrow" w:hAnsi="Arial Narrow"/>
                <w:sz w:val="20"/>
                <w:szCs w:val="20"/>
              </w:rPr>
              <w:t>(Anaes.) (Assist.)</w:t>
            </w:r>
          </w:p>
        </w:tc>
      </w:tr>
      <w:tr w:rsidR="00687C35" w:rsidRPr="005771DC" w14:paraId="42A696FD" w14:textId="77777777" w:rsidTr="39D7B982">
        <w:trPr>
          <w:cantSplit/>
          <w:tblHeader/>
        </w:trPr>
        <w:tc>
          <w:tcPr>
            <w:tcW w:w="5000" w:type="pct"/>
            <w:tcBorders>
              <w:top w:val="dotted" w:sz="4" w:space="0" w:color="auto"/>
              <w:left w:val="single" w:sz="4" w:space="0" w:color="auto"/>
              <w:bottom w:val="single" w:sz="4" w:space="0" w:color="auto"/>
              <w:right w:val="single" w:sz="4" w:space="0" w:color="auto"/>
            </w:tcBorders>
            <w:vAlign w:val="center"/>
          </w:tcPr>
          <w:p w14:paraId="294E79E2" w14:textId="295CAD03" w:rsidR="00687C35" w:rsidRPr="00DE762F" w:rsidRDefault="00687C35">
            <w:pPr>
              <w:spacing w:before="40" w:after="40" w:line="240" w:lineRule="auto"/>
              <w:rPr>
                <w:rFonts w:ascii="Arial Narrow" w:hAnsi="Arial Narrow"/>
                <w:sz w:val="20"/>
                <w:szCs w:val="20"/>
              </w:rPr>
            </w:pPr>
            <w:r w:rsidRPr="00DE762F">
              <w:rPr>
                <w:rFonts w:ascii="Arial Narrow" w:hAnsi="Arial Narrow"/>
                <w:sz w:val="20"/>
                <w:szCs w:val="20"/>
              </w:rPr>
              <w:t>Fe</w:t>
            </w:r>
            <w:r w:rsidRPr="000E7E89">
              <w:rPr>
                <w:rFonts w:ascii="Arial Narrow" w:hAnsi="Arial Narrow"/>
                <w:sz w:val="20"/>
                <w:szCs w:val="20"/>
              </w:rPr>
              <w:t xml:space="preserve">e: $1,631.65Benefit: 75% = </w:t>
            </w:r>
            <w:r w:rsidR="003E34E9" w:rsidRPr="000E7E89">
              <w:rPr>
                <w:rFonts w:ascii="Arial Narrow" w:hAnsi="Arial Narrow"/>
                <w:sz w:val="20"/>
                <w:szCs w:val="20"/>
              </w:rPr>
              <w:t>$1,223</w:t>
            </w:r>
            <w:r w:rsidR="00007445" w:rsidRPr="000E7E89">
              <w:rPr>
                <w:rFonts w:ascii="Arial Narrow" w:hAnsi="Arial Narrow"/>
                <w:sz w:val="20"/>
                <w:szCs w:val="20"/>
              </w:rPr>
              <w:t>.75</w:t>
            </w:r>
          </w:p>
        </w:tc>
      </w:tr>
    </w:tbl>
    <w:p w14:paraId="0D402FA9" w14:textId="2D184433" w:rsidR="00687C35" w:rsidRDefault="00687C35" w:rsidP="004439A6">
      <w:pPr>
        <w:pStyle w:val="Tablenotes"/>
      </w:pPr>
    </w:p>
    <w:p w14:paraId="02CB277B" w14:textId="0288E13A" w:rsidR="00DE003E" w:rsidRPr="00AD26D1" w:rsidRDefault="00722377" w:rsidP="00DE003E">
      <w:pPr>
        <w:pStyle w:val="Caption"/>
        <w:rPr>
          <w:lang w:val="en-AU"/>
        </w:rPr>
      </w:pPr>
      <w:r>
        <w:rPr>
          <w:lang w:val="en-AU"/>
        </w:rPr>
        <w:lastRenderedPageBreak/>
        <w:t>Table 9</w:t>
      </w:r>
      <w:r w:rsidR="00DE003E" w:rsidRPr="00AD26D1">
        <w:rPr>
          <w:lang w:val="en-AU"/>
        </w:rPr>
        <w:tab/>
        <w:t>New MBS item descriptor</w:t>
      </w:r>
      <w:r w:rsidR="00971FA3" w:rsidRPr="00AD26D1">
        <w:rPr>
          <w:lang w:val="en-AU"/>
        </w:rPr>
        <w:t>s</w:t>
      </w:r>
      <w:r w:rsidR="00DE003E" w:rsidRPr="00AD26D1">
        <w:rPr>
          <w:lang w:val="en-AU"/>
        </w:rPr>
        <w:t xml:space="preserve"> </w:t>
      </w:r>
      <w:r w:rsidR="00971FA3" w:rsidRPr="00AD26D1">
        <w:rPr>
          <w:lang w:val="en-AU"/>
        </w:rPr>
        <w:t xml:space="preserve">for TTVR </w:t>
      </w:r>
      <w:r w:rsidR="001A30C0" w:rsidRPr="00AD26D1">
        <w:rPr>
          <w:lang w:val="en-AU"/>
        </w:rPr>
        <w:t>case conferences</w:t>
      </w:r>
      <w:r w:rsidR="00213864">
        <w:rPr>
          <w:lang w:val="en-AU"/>
        </w:rPr>
        <w:t xml:space="preserve"> supported by PASC</w:t>
      </w:r>
    </w:p>
    <w:tbl>
      <w:tblPr>
        <w:tblStyle w:val="TableGrid"/>
        <w:tblW w:w="5000" w:type="pct"/>
        <w:tblInd w:w="0" w:type="dxa"/>
        <w:tblLook w:val="04A0" w:firstRow="1" w:lastRow="0" w:firstColumn="1" w:lastColumn="0" w:noHBand="0" w:noVBand="1"/>
        <w:tblCaption w:val="New MBS item descriptor for case conferences proposed by the assessment group"/>
        <w:tblDescription w:val="The box shows that the proposed services belong to Category 1 - Professional Attendances. There are 2 proposed items. The proposed wording and fee for both items are similar to case conference items for TMVr."/>
      </w:tblPr>
      <w:tblGrid>
        <w:gridCol w:w="9571"/>
      </w:tblGrid>
      <w:tr w:rsidR="00DE003E" w:rsidRPr="00D2670B" w14:paraId="5A02F7D8" w14:textId="77777777">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46B6485D" w14:textId="728A3EEC" w:rsidR="00DE003E" w:rsidRPr="00DE762F" w:rsidRDefault="00DE003E">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sidR="00B065AC">
              <w:rPr>
                <w:szCs w:val="20"/>
              </w:rPr>
              <w:t>1</w:t>
            </w:r>
            <w:r w:rsidRPr="00D2670B">
              <w:t xml:space="preserve"> – </w:t>
            </w:r>
            <w:r w:rsidR="00095008">
              <w:t>PROFESSIONAL ATTENDANCES</w:t>
            </w:r>
          </w:p>
        </w:tc>
      </w:tr>
      <w:tr w:rsidR="00DE003E" w:rsidRPr="005771DC" w14:paraId="6E5A6D3E" w14:textId="77777777">
        <w:trPr>
          <w:cantSplit/>
          <w:tblHeader/>
        </w:trPr>
        <w:tc>
          <w:tcPr>
            <w:tcW w:w="5000" w:type="pct"/>
            <w:tcBorders>
              <w:top w:val="single" w:sz="4" w:space="0" w:color="auto"/>
              <w:left w:val="single" w:sz="4" w:space="0" w:color="auto"/>
              <w:bottom w:val="single" w:sz="4" w:space="0" w:color="auto"/>
              <w:right w:val="single" w:sz="4" w:space="0" w:color="auto"/>
            </w:tcBorders>
          </w:tcPr>
          <w:p w14:paraId="3EEB0511" w14:textId="0992C694" w:rsidR="00DE003E" w:rsidRPr="00DE762F" w:rsidRDefault="00DE003E">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0D0F33">
              <w:rPr>
                <w:rFonts w:ascii="Arial Narrow" w:hAnsi="Arial Narrow"/>
                <w:sz w:val="20"/>
                <w:szCs w:val="20"/>
              </w:rPr>
              <w:t>YYYY</w:t>
            </w:r>
          </w:p>
          <w:p w14:paraId="32E0FF19" w14:textId="01FD56EA" w:rsidR="00291F5A" w:rsidRPr="00291F5A" w:rsidRDefault="00291F5A" w:rsidP="00291F5A">
            <w:pPr>
              <w:spacing w:before="120" w:after="120" w:line="240" w:lineRule="auto"/>
              <w:rPr>
                <w:rFonts w:ascii="Arial Narrow" w:hAnsi="Arial Narrow"/>
                <w:sz w:val="20"/>
                <w:szCs w:val="20"/>
              </w:rPr>
            </w:pPr>
            <w:r w:rsidRPr="00291F5A">
              <w:rPr>
                <w:rFonts w:ascii="Arial Narrow" w:hAnsi="Arial Narrow"/>
                <w:sz w:val="20"/>
                <w:szCs w:val="20"/>
              </w:rPr>
              <w:t>Attendance at a T</w:t>
            </w:r>
            <w:r>
              <w:rPr>
                <w:rFonts w:ascii="Arial Narrow" w:hAnsi="Arial Narrow"/>
                <w:sz w:val="20"/>
                <w:szCs w:val="20"/>
              </w:rPr>
              <w:t>TVR</w:t>
            </w:r>
            <w:r w:rsidRPr="00291F5A">
              <w:rPr>
                <w:rFonts w:ascii="Arial Narrow" w:hAnsi="Arial Narrow"/>
                <w:sz w:val="20"/>
                <w:szCs w:val="20"/>
              </w:rPr>
              <w:t xml:space="preserve"> suitability case conference, by a cardiothoracic surgeon or an interventional cardiologist, to coordinate the conference, if:</w:t>
            </w:r>
          </w:p>
          <w:p w14:paraId="343A3ADC" w14:textId="6340E90C" w:rsidR="00291F5A" w:rsidRPr="00291F5A" w:rsidRDefault="00291F5A" w:rsidP="00291F5A">
            <w:pPr>
              <w:spacing w:before="120" w:after="120" w:line="240" w:lineRule="auto"/>
              <w:rPr>
                <w:rFonts w:ascii="Arial Narrow" w:hAnsi="Arial Narrow"/>
                <w:sz w:val="20"/>
                <w:szCs w:val="20"/>
              </w:rPr>
            </w:pPr>
            <w:r w:rsidRPr="00291F5A">
              <w:rPr>
                <w:rFonts w:ascii="Arial Narrow" w:hAnsi="Arial Narrow"/>
                <w:sz w:val="20"/>
                <w:szCs w:val="20"/>
              </w:rPr>
              <w:t>(a) the attendance lasts at least 10 minutes; and</w:t>
            </w:r>
          </w:p>
          <w:p w14:paraId="0A369A59" w14:textId="64E246EA" w:rsidR="00291F5A" w:rsidRPr="00291F5A" w:rsidRDefault="00291F5A" w:rsidP="00291F5A">
            <w:pPr>
              <w:spacing w:before="120" w:after="120" w:line="240" w:lineRule="auto"/>
              <w:rPr>
                <w:rFonts w:ascii="Arial Narrow" w:hAnsi="Arial Narrow"/>
                <w:sz w:val="20"/>
                <w:szCs w:val="20"/>
              </w:rPr>
            </w:pPr>
            <w:r w:rsidRPr="00291F5A">
              <w:rPr>
                <w:rFonts w:ascii="Arial Narrow" w:hAnsi="Arial Narrow"/>
                <w:sz w:val="20"/>
                <w:szCs w:val="20"/>
              </w:rPr>
              <w:t>(b) the surgeon or cardiologist is accredited by the T</w:t>
            </w:r>
            <w:r w:rsidR="007A3297">
              <w:rPr>
                <w:rFonts w:ascii="Arial Narrow" w:hAnsi="Arial Narrow"/>
                <w:sz w:val="20"/>
                <w:szCs w:val="20"/>
              </w:rPr>
              <w:t>TVR</w:t>
            </w:r>
            <w:r w:rsidRPr="00291F5A">
              <w:rPr>
                <w:rFonts w:ascii="Arial Narrow" w:hAnsi="Arial Narrow"/>
                <w:sz w:val="20"/>
                <w:szCs w:val="20"/>
              </w:rPr>
              <w:t xml:space="preserve"> accreditation committee to perform the service</w:t>
            </w:r>
          </w:p>
          <w:p w14:paraId="7AE2EAE6" w14:textId="76E1A614" w:rsidR="00DE003E" w:rsidRPr="00DE762F" w:rsidRDefault="006508E7" w:rsidP="009318C4">
            <w:pPr>
              <w:spacing w:before="120" w:after="120" w:line="240" w:lineRule="auto"/>
              <w:rPr>
                <w:rFonts w:ascii="Arial Narrow" w:hAnsi="Arial Narrow"/>
                <w:sz w:val="20"/>
                <w:szCs w:val="20"/>
              </w:rPr>
            </w:pPr>
            <w:r>
              <w:rPr>
                <w:rFonts w:ascii="Arial Narrow" w:hAnsi="Arial Narrow"/>
                <w:sz w:val="20"/>
                <w:szCs w:val="20"/>
              </w:rPr>
              <w:t>Applicable</w:t>
            </w:r>
            <w:r w:rsidR="00DA5D47" w:rsidRPr="00DA5D47">
              <w:rPr>
                <w:rFonts w:ascii="Arial Narrow" w:hAnsi="Arial Narrow"/>
                <w:sz w:val="20"/>
                <w:szCs w:val="20"/>
              </w:rPr>
              <w:t xml:space="preserve"> once per patient </w:t>
            </w:r>
            <w:r w:rsidR="00DA5D47">
              <w:rPr>
                <w:rFonts w:ascii="Arial Narrow" w:hAnsi="Arial Narrow"/>
                <w:sz w:val="20"/>
                <w:szCs w:val="20"/>
              </w:rPr>
              <w:t>per lifetime</w:t>
            </w:r>
          </w:p>
        </w:tc>
      </w:tr>
      <w:tr w:rsidR="00DE003E" w:rsidRPr="005771DC" w14:paraId="78914C86" w14:textId="77777777">
        <w:trPr>
          <w:cantSplit/>
          <w:tblHeader/>
        </w:trPr>
        <w:tc>
          <w:tcPr>
            <w:tcW w:w="5000" w:type="pct"/>
            <w:tcBorders>
              <w:top w:val="single" w:sz="4" w:space="0" w:color="auto"/>
              <w:left w:val="single" w:sz="4" w:space="0" w:color="auto"/>
              <w:bottom w:val="single" w:sz="4" w:space="0" w:color="auto"/>
              <w:right w:val="single" w:sz="4" w:space="0" w:color="auto"/>
            </w:tcBorders>
            <w:vAlign w:val="center"/>
          </w:tcPr>
          <w:p w14:paraId="45A5B5AE" w14:textId="77777777" w:rsidR="00DE003E" w:rsidRDefault="00DE003E">
            <w:pPr>
              <w:spacing w:before="40" w:after="40" w:line="240" w:lineRule="auto"/>
              <w:rPr>
                <w:rFonts w:ascii="Arial Narrow" w:hAnsi="Arial Narrow"/>
                <w:sz w:val="20"/>
                <w:szCs w:val="20"/>
              </w:rPr>
            </w:pPr>
            <w:r w:rsidRPr="00DE762F">
              <w:rPr>
                <w:rFonts w:ascii="Arial Narrow" w:hAnsi="Arial Narrow"/>
                <w:sz w:val="20"/>
                <w:szCs w:val="20"/>
              </w:rPr>
              <w:t xml:space="preserve">Fee: </w:t>
            </w:r>
            <w:r>
              <w:rPr>
                <w:rFonts w:ascii="Arial Narrow" w:hAnsi="Arial Narrow"/>
                <w:sz w:val="20"/>
                <w:szCs w:val="20"/>
              </w:rPr>
              <w:t>$</w:t>
            </w:r>
            <w:r w:rsidR="009318C4">
              <w:rPr>
                <w:rFonts w:ascii="Arial Narrow" w:hAnsi="Arial Narrow"/>
                <w:sz w:val="20"/>
                <w:szCs w:val="20"/>
              </w:rPr>
              <w:t>58.</w:t>
            </w:r>
            <w:r>
              <w:rPr>
                <w:rFonts w:ascii="Arial Narrow" w:hAnsi="Arial Narrow"/>
                <w:sz w:val="20"/>
                <w:szCs w:val="20"/>
              </w:rPr>
              <w:t xml:space="preserve">00 </w:t>
            </w:r>
            <w:r w:rsidRPr="00406A8C">
              <w:rPr>
                <w:rFonts w:ascii="Arial Narrow" w:hAnsi="Arial Narrow"/>
                <w:sz w:val="20"/>
                <w:szCs w:val="20"/>
              </w:rPr>
              <w:t xml:space="preserve">Benefit: 75% = </w:t>
            </w:r>
            <w:r>
              <w:rPr>
                <w:rFonts w:ascii="Arial Narrow" w:hAnsi="Arial Narrow"/>
                <w:sz w:val="20"/>
                <w:szCs w:val="20"/>
              </w:rPr>
              <w:t>$</w:t>
            </w:r>
            <w:r w:rsidR="00FF7CF9">
              <w:rPr>
                <w:rFonts w:ascii="Arial Narrow" w:hAnsi="Arial Narrow"/>
                <w:sz w:val="20"/>
                <w:szCs w:val="20"/>
              </w:rPr>
              <w:t>43.50 85% = $49.30</w:t>
            </w:r>
          </w:p>
          <w:p w14:paraId="1E1DCEC0" w14:textId="5E18FAF3" w:rsidR="004B1D74" w:rsidRPr="00DE762F" w:rsidRDefault="004B1D74">
            <w:pPr>
              <w:spacing w:before="40" w:after="40" w:line="240" w:lineRule="auto"/>
              <w:rPr>
                <w:rFonts w:ascii="Arial Narrow" w:hAnsi="Arial Narrow"/>
                <w:sz w:val="20"/>
                <w:szCs w:val="20"/>
              </w:rPr>
            </w:pPr>
            <w:hyperlink r:id="rId21" w:tooltip="Hyperlink to Medicare Safety Net Arrangements on the MBS Online website" w:history="1">
              <w:r w:rsidRPr="00A351F1">
                <w:rPr>
                  <w:rStyle w:val="Hyperlink"/>
                  <w:rFonts w:ascii="Arial Narrow" w:hAnsi="Arial Narrow"/>
                  <w:sz w:val="20"/>
                  <w:szCs w:val="20"/>
                </w:rPr>
                <w:t>Extended Medicare Safety Net Cap</w:t>
              </w:r>
            </w:hyperlink>
            <w:r>
              <w:rPr>
                <w:rFonts w:ascii="Arial Narrow" w:hAnsi="Arial Narrow"/>
                <w:sz w:val="20"/>
                <w:szCs w:val="20"/>
              </w:rPr>
              <w:t>: $174</w:t>
            </w:r>
            <w:r w:rsidR="00C02314">
              <w:rPr>
                <w:rFonts w:ascii="Arial Narrow" w:hAnsi="Arial Narrow"/>
                <w:sz w:val="20"/>
                <w:szCs w:val="20"/>
              </w:rPr>
              <w:t>.00</w:t>
            </w:r>
          </w:p>
        </w:tc>
      </w:tr>
      <w:tr w:rsidR="004B738D" w:rsidRPr="005771DC" w14:paraId="10AB0373" w14:textId="77777777">
        <w:trPr>
          <w:cantSplit/>
          <w:tblHeader/>
        </w:trPr>
        <w:tc>
          <w:tcPr>
            <w:tcW w:w="5000" w:type="pct"/>
            <w:tcBorders>
              <w:top w:val="single" w:sz="4" w:space="0" w:color="auto"/>
              <w:left w:val="single" w:sz="4" w:space="0" w:color="auto"/>
              <w:bottom w:val="single" w:sz="4" w:space="0" w:color="auto"/>
              <w:right w:val="single" w:sz="4" w:space="0" w:color="auto"/>
            </w:tcBorders>
            <w:vAlign w:val="center"/>
          </w:tcPr>
          <w:p w14:paraId="51306FF6" w14:textId="3414C57F" w:rsidR="00C862A7" w:rsidRPr="00DE762F" w:rsidRDefault="00C862A7" w:rsidP="00C862A7">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Pr>
                <w:rFonts w:ascii="Arial Narrow" w:hAnsi="Arial Narrow"/>
                <w:sz w:val="20"/>
                <w:szCs w:val="20"/>
              </w:rPr>
              <w:t>ZZZZ</w:t>
            </w:r>
          </w:p>
          <w:p w14:paraId="1C7AFF8E" w14:textId="77777777" w:rsidR="004B738D" w:rsidRDefault="00C862A7">
            <w:pPr>
              <w:spacing w:before="40" w:after="40" w:line="240" w:lineRule="auto"/>
              <w:rPr>
                <w:rFonts w:ascii="Arial Narrow" w:hAnsi="Arial Narrow"/>
                <w:sz w:val="20"/>
                <w:szCs w:val="20"/>
              </w:rPr>
            </w:pPr>
            <w:r w:rsidRPr="00C862A7">
              <w:rPr>
                <w:rFonts w:ascii="Arial Narrow" w:hAnsi="Arial Narrow"/>
                <w:sz w:val="20"/>
                <w:szCs w:val="20"/>
              </w:rPr>
              <w:t>Attendance at a T</w:t>
            </w:r>
            <w:r>
              <w:rPr>
                <w:rFonts w:ascii="Arial Narrow" w:hAnsi="Arial Narrow"/>
                <w:sz w:val="20"/>
                <w:szCs w:val="20"/>
              </w:rPr>
              <w:t>TVR</w:t>
            </w:r>
            <w:r w:rsidRPr="00C862A7">
              <w:rPr>
                <w:rFonts w:ascii="Arial Narrow" w:hAnsi="Arial Narrow"/>
                <w:sz w:val="20"/>
                <w:szCs w:val="20"/>
              </w:rPr>
              <w:t xml:space="preserve"> suitability case conference, by a specialist or consultant physician, other than to coordinate the conference, if the attendance lasts at least 10 minutes</w:t>
            </w:r>
          </w:p>
          <w:p w14:paraId="4EC5ADD7" w14:textId="35AAB358" w:rsidR="00801FDD" w:rsidRPr="00DE762F" w:rsidRDefault="00801FDD" w:rsidP="003D0DE0">
            <w:pPr>
              <w:spacing w:before="120" w:after="120" w:line="240" w:lineRule="auto"/>
              <w:rPr>
                <w:rFonts w:ascii="Arial Narrow" w:hAnsi="Arial Narrow"/>
                <w:sz w:val="20"/>
                <w:szCs w:val="20"/>
              </w:rPr>
            </w:pPr>
            <w:r>
              <w:rPr>
                <w:rFonts w:ascii="Arial Narrow" w:hAnsi="Arial Narrow"/>
                <w:sz w:val="20"/>
                <w:szCs w:val="20"/>
              </w:rPr>
              <w:t>Applicable</w:t>
            </w:r>
            <w:r w:rsidRPr="00DA5D47">
              <w:rPr>
                <w:rFonts w:ascii="Arial Narrow" w:hAnsi="Arial Narrow"/>
                <w:sz w:val="20"/>
                <w:szCs w:val="20"/>
              </w:rPr>
              <w:t xml:space="preserve"> once per patient </w:t>
            </w:r>
            <w:r>
              <w:rPr>
                <w:rFonts w:ascii="Arial Narrow" w:hAnsi="Arial Narrow"/>
                <w:sz w:val="20"/>
                <w:szCs w:val="20"/>
              </w:rPr>
              <w:t>per lifetime</w:t>
            </w:r>
          </w:p>
        </w:tc>
      </w:tr>
      <w:tr w:rsidR="00EB795D" w:rsidRPr="005771DC" w14:paraId="06455491" w14:textId="77777777">
        <w:trPr>
          <w:cantSplit/>
          <w:tblHeader/>
        </w:trPr>
        <w:tc>
          <w:tcPr>
            <w:tcW w:w="5000" w:type="pct"/>
            <w:tcBorders>
              <w:top w:val="single" w:sz="4" w:space="0" w:color="auto"/>
              <w:left w:val="single" w:sz="4" w:space="0" w:color="auto"/>
              <w:bottom w:val="single" w:sz="4" w:space="0" w:color="auto"/>
              <w:right w:val="single" w:sz="4" w:space="0" w:color="auto"/>
            </w:tcBorders>
            <w:vAlign w:val="center"/>
          </w:tcPr>
          <w:p w14:paraId="0887B3E2" w14:textId="6FEF8442" w:rsidR="00EB795D" w:rsidRDefault="00EB795D" w:rsidP="00EB795D">
            <w:pPr>
              <w:spacing w:before="40" w:after="40" w:line="240" w:lineRule="auto"/>
              <w:rPr>
                <w:rFonts w:ascii="Arial Narrow" w:hAnsi="Arial Narrow"/>
                <w:sz w:val="20"/>
                <w:szCs w:val="20"/>
              </w:rPr>
            </w:pPr>
            <w:r w:rsidRPr="00DE762F">
              <w:rPr>
                <w:rFonts w:ascii="Arial Narrow" w:hAnsi="Arial Narrow"/>
                <w:sz w:val="20"/>
                <w:szCs w:val="20"/>
              </w:rPr>
              <w:t xml:space="preserve">Fee: </w:t>
            </w:r>
            <w:r>
              <w:rPr>
                <w:rFonts w:ascii="Arial Narrow" w:hAnsi="Arial Narrow"/>
                <w:sz w:val="20"/>
                <w:szCs w:val="20"/>
              </w:rPr>
              <w:t>$</w:t>
            </w:r>
            <w:r w:rsidR="003D0DE0">
              <w:rPr>
                <w:rFonts w:ascii="Arial Narrow" w:hAnsi="Arial Narrow"/>
                <w:sz w:val="20"/>
                <w:szCs w:val="20"/>
              </w:rPr>
              <w:t>43.25</w:t>
            </w:r>
            <w:r>
              <w:rPr>
                <w:rFonts w:ascii="Arial Narrow" w:hAnsi="Arial Narrow"/>
                <w:sz w:val="20"/>
                <w:szCs w:val="20"/>
              </w:rPr>
              <w:t xml:space="preserve"> </w:t>
            </w:r>
            <w:r w:rsidRPr="00406A8C">
              <w:rPr>
                <w:rFonts w:ascii="Arial Narrow" w:hAnsi="Arial Narrow"/>
                <w:sz w:val="20"/>
                <w:szCs w:val="20"/>
              </w:rPr>
              <w:t xml:space="preserve">Benefit: 75% = </w:t>
            </w:r>
            <w:r>
              <w:rPr>
                <w:rFonts w:ascii="Arial Narrow" w:hAnsi="Arial Narrow"/>
                <w:sz w:val="20"/>
                <w:szCs w:val="20"/>
              </w:rPr>
              <w:t>$</w:t>
            </w:r>
            <w:r w:rsidR="003D0DE0">
              <w:rPr>
                <w:rFonts w:ascii="Arial Narrow" w:hAnsi="Arial Narrow"/>
                <w:sz w:val="20"/>
                <w:szCs w:val="20"/>
              </w:rPr>
              <w:t>32.45</w:t>
            </w:r>
            <w:r>
              <w:rPr>
                <w:rFonts w:ascii="Arial Narrow" w:hAnsi="Arial Narrow"/>
                <w:sz w:val="20"/>
                <w:szCs w:val="20"/>
              </w:rPr>
              <w:t xml:space="preserve"> 85% = $</w:t>
            </w:r>
            <w:r w:rsidR="003D0DE0">
              <w:rPr>
                <w:rFonts w:ascii="Arial Narrow" w:hAnsi="Arial Narrow"/>
                <w:sz w:val="20"/>
                <w:szCs w:val="20"/>
              </w:rPr>
              <w:t>36.80</w:t>
            </w:r>
          </w:p>
          <w:p w14:paraId="58671960" w14:textId="2864DEB9" w:rsidR="00EB795D" w:rsidRPr="00DE762F" w:rsidRDefault="00EB795D" w:rsidP="00EB795D">
            <w:pPr>
              <w:spacing w:before="40" w:after="40" w:line="240" w:lineRule="auto"/>
              <w:rPr>
                <w:rFonts w:ascii="Arial Narrow" w:hAnsi="Arial Narrow"/>
                <w:sz w:val="20"/>
                <w:szCs w:val="20"/>
              </w:rPr>
            </w:pPr>
            <w:hyperlink r:id="rId22" w:tooltip="Hyperlink to Medicare Safety Net Arrangements on the MBS Online website" w:history="1">
              <w:r w:rsidRPr="00A351F1">
                <w:rPr>
                  <w:rStyle w:val="Hyperlink"/>
                  <w:rFonts w:ascii="Arial Narrow" w:hAnsi="Arial Narrow"/>
                  <w:sz w:val="20"/>
                  <w:szCs w:val="20"/>
                </w:rPr>
                <w:t>Extended Medicare Safety Net Cap</w:t>
              </w:r>
            </w:hyperlink>
            <w:r>
              <w:rPr>
                <w:rFonts w:ascii="Arial Narrow" w:hAnsi="Arial Narrow"/>
                <w:sz w:val="20"/>
                <w:szCs w:val="20"/>
              </w:rPr>
              <w:t>: $</w:t>
            </w:r>
            <w:r w:rsidR="001D6A8C">
              <w:rPr>
                <w:rFonts w:ascii="Arial Narrow" w:hAnsi="Arial Narrow"/>
                <w:sz w:val="20"/>
                <w:szCs w:val="20"/>
              </w:rPr>
              <w:t>129.75</w:t>
            </w:r>
          </w:p>
        </w:tc>
      </w:tr>
    </w:tbl>
    <w:p w14:paraId="7931BA65" w14:textId="49FDEA74" w:rsidR="00DE003E" w:rsidRPr="001D6A8C" w:rsidRDefault="00DE003E" w:rsidP="001D6A8C">
      <w:pPr>
        <w:pStyle w:val="Tablenotes"/>
      </w:pPr>
    </w:p>
    <w:p w14:paraId="62338695" w14:textId="34C431A2" w:rsidR="00D37A3F" w:rsidRDefault="003F0A39" w:rsidP="00713728">
      <w:pPr>
        <w:pStyle w:val="Heading2"/>
      </w:pPr>
      <w:r>
        <w:t>Summary of public consultation</w:t>
      </w:r>
      <w:r w:rsidRPr="00D37A3F">
        <w:t xml:space="preserve"> </w:t>
      </w:r>
      <w:r w:rsidR="00E470B0">
        <w:t>input</w:t>
      </w:r>
    </w:p>
    <w:p w14:paraId="56C34AFA" w14:textId="77777777" w:rsidR="00DA4F4C" w:rsidRDefault="00DA4F4C" w:rsidP="00DA4F4C">
      <w:pPr>
        <w:spacing w:after="120"/>
      </w:pPr>
      <w:r w:rsidRPr="00E95336">
        <w:rPr>
          <w:i/>
          <w:iCs/>
        </w:rPr>
        <w:t>PASC noted and welcomed consultation input from</w:t>
      </w:r>
      <w:r w:rsidRPr="00D7667B">
        <w:t xml:space="preserve"> </w:t>
      </w:r>
      <w:r>
        <w:rPr>
          <w:i/>
          <w:iCs/>
        </w:rPr>
        <w:t>3</w:t>
      </w:r>
      <w:r w:rsidRPr="00647D9E">
        <w:rPr>
          <w:i/>
          <w:iCs/>
        </w:rPr>
        <w:t xml:space="preserve"> organisations and </w:t>
      </w:r>
      <w:r>
        <w:rPr>
          <w:i/>
          <w:iCs/>
        </w:rPr>
        <w:t>no</w:t>
      </w:r>
      <w:r w:rsidRPr="00647D9E">
        <w:rPr>
          <w:i/>
          <w:iCs/>
        </w:rPr>
        <w:t xml:space="preserve"> individuals</w:t>
      </w:r>
      <w:r>
        <w:rPr>
          <w:i/>
          <w:iCs/>
        </w:rPr>
        <w:t>.</w:t>
      </w:r>
      <w:r w:rsidRPr="00647D9E">
        <w:rPr>
          <w:i/>
          <w:iCs/>
        </w:rPr>
        <w:t xml:space="preserve"> The </w:t>
      </w:r>
      <w:r>
        <w:rPr>
          <w:i/>
          <w:iCs/>
        </w:rPr>
        <w:t>3</w:t>
      </w:r>
      <w:r w:rsidRPr="00647D9E">
        <w:rPr>
          <w:i/>
          <w:iCs/>
        </w:rPr>
        <w:t xml:space="preserve"> organisations that submitted input were</w:t>
      </w:r>
      <w:r>
        <w:rPr>
          <w:i/>
          <w:iCs/>
        </w:rPr>
        <w:t>:</w:t>
      </w:r>
    </w:p>
    <w:p w14:paraId="1D2044A5" w14:textId="77777777" w:rsidR="00DA4F4C" w:rsidRDefault="00DA4F4C" w:rsidP="00DA4F4C">
      <w:pPr>
        <w:pStyle w:val="ListParagraph"/>
        <w:numPr>
          <w:ilvl w:val="0"/>
          <w:numId w:val="24"/>
        </w:numPr>
        <w:spacing w:after="120" w:line="259" w:lineRule="auto"/>
      </w:pPr>
      <w:r>
        <w:t>Hearts4heart</w:t>
      </w:r>
    </w:p>
    <w:p w14:paraId="79F63006" w14:textId="77777777" w:rsidR="00DA4F4C" w:rsidRDefault="00DA4F4C" w:rsidP="00DA4F4C">
      <w:pPr>
        <w:pStyle w:val="ListParagraph"/>
        <w:numPr>
          <w:ilvl w:val="0"/>
          <w:numId w:val="24"/>
        </w:numPr>
        <w:spacing w:after="120" w:line="259" w:lineRule="auto"/>
      </w:pPr>
      <w:r>
        <w:t>Medtronic Inc.</w:t>
      </w:r>
    </w:p>
    <w:p w14:paraId="749D5E52" w14:textId="77777777" w:rsidR="00DA4F4C" w:rsidRPr="00D7667B" w:rsidRDefault="00DA4F4C" w:rsidP="00DA4F4C">
      <w:pPr>
        <w:pStyle w:val="ListParagraph"/>
        <w:numPr>
          <w:ilvl w:val="0"/>
          <w:numId w:val="24"/>
        </w:numPr>
        <w:spacing w:after="120" w:line="259" w:lineRule="auto"/>
      </w:pPr>
      <w:r>
        <w:t>Private Healthcare Australia (PHA)</w:t>
      </w:r>
    </w:p>
    <w:p w14:paraId="543871A4" w14:textId="77777777" w:rsidR="00DA4F4C" w:rsidRPr="00D67A1B" w:rsidRDefault="00DA4F4C" w:rsidP="00DA4F4C">
      <w:r>
        <w:t>The consultation input varied from supportive to not supportive</w:t>
      </w:r>
      <w:r w:rsidRPr="00380CF5">
        <w:t xml:space="preserve"> </w:t>
      </w:r>
      <w:r>
        <w:t>of public funding for TTVR</w:t>
      </w:r>
      <w:r w:rsidRPr="000643B4">
        <w:t xml:space="preserve"> in patients with severe, symptomatic tricuspid regurgitation despite optimal medical therapy</w:t>
      </w:r>
      <w:r>
        <w:t>.</w:t>
      </w:r>
      <w:r w:rsidRPr="000643B4" w:rsidDel="000643B4">
        <w:t xml:space="preserve"> </w:t>
      </w:r>
      <w:r>
        <w:t xml:space="preserve">The consultation input raised a number of concerns, predominately in relation to the </w:t>
      </w:r>
      <w:r w:rsidRPr="00D16AA3">
        <w:t>proposed item</w:t>
      </w:r>
      <w:r>
        <w:t xml:space="preserve"> </w:t>
      </w:r>
      <w:r w:rsidRPr="00D16AA3">
        <w:t>descriptor</w:t>
      </w:r>
      <w:r>
        <w:t xml:space="preserve"> and the overall cost for the health service or technology.</w:t>
      </w:r>
      <w:r w:rsidRPr="00D16AA3" w:rsidDel="00D16AA3">
        <w:t xml:space="preserve"> </w:t>
      </w:r>
    </w:p>
    <w:p w14:paraId="146C722E" w14:textId="77777777" w:rsidR="00DA4F4C" w:rsidRDefault="00DA4F4C" w:rsidP="00DA4F4C">
      <w:pPr>
        <w:rPr>
          <w:b/>
          <w:bCs/>
        </w:rPr>
      </w:pPr>
      <w:r>
        <w:rPr>
          <w:b/>
          <w:bCs/>
        </w:rPr>
        <w:t>Benefits and Disadvantages</w:t>
      </w:r>
    </w:p>
    <w:p w14:paraId="1F64FAC5" w14:textId="4F25B8B4" w:rsidR="00DA4F4C" w:rsidRDefault="00DA4F4C" w:rsidP="00DA4F4C">
      <w:r>
        <w:t xml:space="preserve">The main benefits of public funding received in the consultation input included providing </w:t>
      </w:r>
      <w:r w:rsidRPr="00497B84">
        <w:t>a treatment option for patients who are not candidates for traditional surgery</w:t>
      </w:r>
      <w:r>
        <w:t>, improving the health and quality of life for patients. Hearts4heart stated that c</w:t>
      </w:r>
      <w:r w:rsidRPr="00CA4E92">
        <w:t xml:space="preserve">ompared with </w:t>
      </w:r>
      <w:r>
        <w:t>OMT</w:t>
      </w:r>
      <w:r w:rsidRPr="00CA4E92">
        <w:t xml:space="preserve"> alone, treatment of patients with TTVR</w:t>
      </w:r>
      <w:r>
        <w:t xml:space="preserve"> plus </w:t>
      </w:r>
      <w:r w:rsidRPr="00CA4E92">
        <w:t>OMT resulted in substantial improvement in patients’ symptoms, function, and quality of life</w:t>
      </w:r>
      <w:r>
        <w:t>, with the benefits</w:t>
      </w:r>
      <w:r w:rsidRPr="00CA4E92">
        <w:t xml:space="preserve"> </w:t>
      </w:r>
      <w:r>
        <w:t>continuing for a</w:t>
      </w:r>
      <w:r w:rsidRPr="00CA4E92">
        <w:t xml:space="preserve"> year.</w:t>
      </w:r>
      <w:r>
        <w:t xml:space="preserve"> </w:t>
      </w:r>
    </w:p>
    <w:p w14:paraId="7FF529E9" w14:textId="7596EB8B" w:rsidR="00DA4F4C" w:rsidRDefault="00DA4F4C" w:rsidP="00DA4F4C">
      <w:r>
        <w:t xml:space="preserve">The main disadvantage of public funding received in the consultation input was the high cost associated with the intervention. PHA estimated that the total cost would be more than $125,000 for the intervention, compared to almost zero-cost diuretics under optimal medical therapy. </w:t>
      </w:r>
    </w:p>
    <w:p w14:paraId="7B55C162" w14:textId="77777777" w:rsidR="00DA4F4C" w:rsidRDefault="00DA4F4C" w:rsidP="00A4449B">
      <w:pPr>
        <w:keepNext/>
        <w:keepLines/>
        <w:rPr>
          <w:b/>
          <w:bCs/>
        </w:rPr>
      </w:pPr>
      <w:r>
        <w:rPr>
          <w:b/>
          <w:bCs/>
        </w:rPr>
        <w:lastRenderedPageBreak/>
        <w:t>Population, Comparator (current management) and Delivery</w:t>
      </w:r>
    </w:p>
    <w:p w14:paraId="23E8C29E" w14:textId="77777777" w:rsidR="00DA4F4C" w:rsidRDefault="00DA4F4C" w:rsidP="00A4449B">
      <w:pPr>
        <w:keepNext/>
        <w:keepLines/>
      </w:pPr>
      <w:r>
        <w:t xml:space="preserve">The consultation input agreed with the proposed population </w:t>
      </w:r>
      <w:r w:rsidRPr="00922899">
        <w:t>of patients with severe, symptomatic TR despite optimal medical therapy.</w:t>
      </w:r>
    </w:p>
    <w:p w14:paraId="337EDE2C" w14:textId="77777777" w:rsidR="00DA4F4C" w:rsidRPr="00D67A1B" w:rsidRDefault="00DA4F4C" w:rsidP="00DA4F4C">
      <w:r>
        <w:t xml:space="preserve">The consultation input agreed with the proposed comparator </w:t>
      </w:r>
      <w:r w:rsidRPr="008B0F46">
        <w:t>of optimal medical management.</w:t>
      </w:r>
      <w:r w:rsidRPr="008B0F46" w:rsidDel="008B0F46">
        <w:t xml:space="preserve"> </w:t>
      </w:r>
    </w:p>
    <w:p w14:paraId="251E0F5C" w14:textId="77777777" w:rsidR="00DA4F4C" w:rsidRDefault="00DA4F4C" w:rsidP="00DA4F4C">
      <w:r>
        <w:t>Services identified in the consultation input as being needed to be delivered before or after the intervention included the services required to deliver the intervention in hospital and the associated hospital stay.</w:t>
      </w:r>
    </w:p>
    <w:p w14:paraId="0D3FF9F1" w14:textId="77777777" w:rsidR="00DA4F4C" w:rsidRDefault="00DA4F4C" w:rsidP="00DA4F4C">
      <w:pPr>
        <w:rPr>
          <w:b/>
          <w:bCs/>
        </w:rPr>
      </w:pPr>
      <w:r w:rsidRPr="002C431C">
        <w:rPr>
          <w:b/>
          <w:bCs/>
        </w:rPr>
        <w:t>MBS Item Descriptor and Fee</w:t>
      </w:r>
    </w:p>
    <w:p w14:paraId="6A644AE5" w14:textId="77777777" w:rsidR="00DA4F4C" w:rsidRPr="00B36FB4" w:rsidRDefault="00DA4F4C" w:rsidP="00DA4F4C">
      <w:r>
        <w:t xml:space="preserve">The consultation input from PHA and Medtronic </w:t>
      </w:r>
      <w:r w:rsidRPr="00D67A1B">
        <w:t>disagree</w:t>
      </w:r>
      <w:r>
        <w:t>d</w:t>
      </w:r>
      <w:r w:rsidRPr="00380CF5">
        <w:t xml:space="preserve"> with </w:t>
      </w:r>
      <w:r>
        <w:t xml:space="preserve">the proposed service descriptor. </w:t>
      </w:r>
      <w:r w:rsidRPr="00D67A1B">
        <w:t>Medtronic recommended amending the proposed MBS item descriptor to remove reference to a specific device, using a device-agnostic approach.</w:t>
      </w:r>
      <w:r>
        <w:t xml:space="preserve"> PHA </w:t>
      </w:r>
      <w:r w:rsidRPr="00234592">
        <w:t>note</w:t>
      </w:r>
      <w:r>
        <w:t>d</w:t>
      </w:r>
      <w:r w:rsidRPr="00234592">
        <w:t xml:space="preserve"> that the </w:t>
      </w:r>
      <w:r>
        <w:t xml:space="preserve">item </w:t>
      </w:r>
      <w:r w:rsidRPr="00234592">
        <w:t>descriptor covers metrics that are not going</w:t>
      </w:r>
      <w:r>
        <w:t xml:space="preserve"> </w:t>
      </w:r>
      <w:r w:rsidRPr="00234592">
        <w:t>to be visible to insured members or health funds</w:t>
      </w:r>
      <w:r>
        <w:t>,</w:t>
      </w:r>
      <w:r w:rsidRPr="00234592">
        <w:t xml:space="preserve"> so </w:t>
      </w:r>
      <w:r>
        <w:t xml:space="preserve">MBS item use </w:t>
      </w:r>
      <w:r w:rsidRPr="00234592">
        <w:t xml:space="preserve">would largely be based on trust. </w:t>
      </w:r>
    </w:p>
    <w:p w14:paraId="249A23D0" w14:textId="77777777" w:rsidR="00DA4F4C" w:rsidRPr="00D67A1B" w:rsidRDefault="00DA4F4C" w:rsidP="00DA4F4C">
      <w:r>
        <w:t xml:space="preserve">The consultation input ranged from </w:t>
      </w:r>
      <w:r w:rsidRPr="00380CF5">
        <w:t>a</w:t>
      </w:r>
      <w:r w:rsidRPr="00D67A1B">
        <w:t>greeing</w:t>
      </w:r>
      <w:r w:rsidRPr="00380CF5">
        <w:t xml:space="preserve"> to d</w:t>
      </w:r>
      <w:r w:rsidRPr="00D67A1B">
        <w:t>isagreeing</w:t>
      </w:r>
      <w:r w:rsidRPr="00380CF5">
        <w:t xml:space="preserve"> </w:t>
      </w:r>
      <w:r>
        <w:t xml:space="preserve">with the proposed service fee. </w:t>
      </w:r>
      <w:r w:rsidRPr="00D67A1B">
        <w:t xml:space="preserve">Medtronic stated that the proposed MBS fee is appropriate as it is based on the existing fee for transcatheter mitral valve repair. </w:t>
      </w:r>
      <w:r>
        <w:t>PHA disagree with the proposed fee stating that t</w:t>
      </w:r>
      <w:r w:rsidRPr="007B2C93">
        <w:t xml:space="preserve">he </w:t>
      </w:r>
      <w:r>
        <w:t xml:space="preserve">MBS fee does not represent the cost of the intervention as the </w:t>
      </w:r>
      <w:r w:rsidRPr="00654C9D">
        <w:t xml:space="preserve">surgeon’s fee is a comparatively small amount of </w:t>
      </w:r>
      <w:r>
        <w:t xml:space="preserve">the </w:t>
      </w:r>
      <w:r w:rsidRPr="00654C9D">
        <w:t>real intervention cost</w:t>
      </w:r>
      <w:r>
        <w:t>.</w:t>
      </w:r>
    </w:p>
    <w:p w14:paraId="485C9643" w14:textId="77777777" w:rsidR="00DA4F4C" w:rsidRPr="00E76884" w:rsidRDefault="00DA4F4C" w:rsidP="0066064B">
      <w:pPr>
        <w:keepNext/>
        <w:keepLines/>
        <w:rPr>
          <w:color w:val="5B9BD5" w:themeColor="accent1"/>
        </w:rPr>
      </w:pPr>
      <w:r w:rsidRPr="00C50417">
        <w:rPr>
          <w:b/>
          <w:bCs/>
        </w:rPr>
        <w:t xml:space="preserve">Additional </w:t>
      </w:r>
      <w:r>
        <w:rPr>
          <w:b/>
          <w:bCs/>
        </w:rPr>
        <w:t>C</w:t>
      </w:r>
      <w:r w:rsidRPr="00C50417">
        <w:rPr>
          <w:b/>
          <w:bCs/>
        </w:rPr>
        <w:t xml:space="preserve">omments </w:t>
      </w:r>
    </w:p>
    <w:p w14:paraId="59BC410E" w14:textId="26B3D2F8" w:rsidR="007911CB" w:rsidRPr="00DA4F4C" w:rsidRDefault="00DA4F4C" w:rsidP="0066064B">
      <w:pPr>
        <w:keepNext/>
        <w:keepLines/>
      </w:pPr>
      <w:r>
        <w:t>Consultation input was provided on the o</w:t>
      </w:r>
      <w:r w:rsidRPr="00B3045D">
        <w:t>utcomes</w:t>
      </w:r>
      <w:r>
        <w:t>,</w:t>
      </w:r>
      <w:r w:rsidRPr="00B3045D">
        <w:t xml:space="preserve"> </w:t>
      </w:r>
      <w:r>
        <w:t xml:space="preserve">which PHA stated </w:t>
      </w:r>
      <w:r w:rsidRPr="00B3045D">
        <w:t xml:space="preserve">should be reported consistent </w:t>
      </w:r>
      <w:r>
        <w:t>with</w:t>
      </w:r>
      <w:r w:rsidRPr="00B3045D">
        <w:t xml:space="preserve"> the TRISCEND and TRISCEND II data. PHA accept</w:t>
      </w:r>
      <w:r>
        <w:t>ed</w:t>
      </w:r>
      <w:r w:rsidRPr="00B3045D">
        <w:t xml:space="preserve"> there </w:t>
      </w:r>
      <w:r>
        <w:t>were</w:t>
      </w:r>
      <w:r w:rsidRPr="00B3045D">
        <w:t xml:space="preserve"> modest improved outcomes across a number of</w:t>
      </w:r>
      <w:r>
        <w:t xml:space="preserve"> </w:t>
      </w:r>
      <w:r w:rsidRPr="00B3045D">
        <w:t>measures, but note</w:t>
      </w:r>
      <w:r>
        <w:t>d</w:t>
      </w:r>
      <w:r w:rsidRPr="00B3045D">
        <w:t xml:space="preserve"> there was also an increase in immediate post-surgery mortality</w:t>
      </w:r>
      <w:r>
        <w:t>. PHA stated the population</w:t>
      </w:r>
      <w:r w:rsidRPr="00B3045D">
        <w:t xml:space="preserve"> </w:t>
      </w:r>
      <w:r>
        <w:t>are both aged and have other comorbidities that influence any long-term outcomes, noting that the small number of members who may benefit from this surgery are massively overrepresented by the remainder of private health insured members who would potentially incur a substantial increase in annual premiums to fund this intervention.</w:t>
      </w:r>
    </w:p>
    <w:p w14:paraId="1D1218C0" w14:textId="01273F83" w:rsidR="00BD5C65" w:rsidRPr="00BD5C65" w:rsidRDefault="00BD5C65" w:rsidP="00BD5C65">
      <w:r>
        <w:rPr>
          <w:rFonts w:asciiTheme="minorHAnsi" w:hAnsiTheme="minorHAnsi" w:cstheme="minorHAnsi"/>
          <w:i/>
          <w:iCs/>
        </w:rPr>
        <w:t>PASC noted that public consultation feedback from Hearts 4 Heart was strongly supportive of the proposal. Feedback from Medtronic was also supportive but a device-agnostic listing was requested. PASC noted that Private Healthcare Australia (PHA) agreed with the PICO components but suggested that the intervention will not be cost effective due to the high cost of the valve and implant procedure, and the limited clinical evidence of efficacy.</w:t>
      </w:r>
    </w:p>
    <w:p w14:paraId="4E68667F" w14:textId="77777777" w:rsidR="00D37A3F" w:rsidRDefault="00D37A3F" w:rsidP="00713728">
      <w:pPr>
        <w:pStyle w:val="Heading2"/>
      </w:pPr>
      <w:r w:rsidRPr="00D37A3F">
        <w:t>Next steps</w:t>
      </w:r>
    </w:p>
    <w:p w14:paraId="1AB667ED" w14:textId="2BBB8788" w:rsidR="00BD5C65" w:rsidRPr="00BD5C65" w:rsidRDefault="00BD5C65" w:rsidP="00BD5C65">
      <w:r w:rsidRPr="00734DC0">
        <w:rPr>
          <w:rFonts w:asciiTheme="minorHAnsi" w:hAnsiTheme="minorHAnsi" w:cstheme="minorHAnsi"/>
          <w:i/>
          <w:iCs/>
        </w:rPr>
        <w:t>The applicant confirmed that an applicant developed assessment report (ADAR) will be prepared.</w:t>
      </w:r>
    </w:p>
    <w:p w14:paraId="2434DBE0" w14:textId="77777777" w:rsidR="00303CBA" w:rsidRDefault="00303CBA" w:rsidP="00303CBA">
      <w:pPr>
        <w:pStyle w:val="Heading2"/>
      </w:pPr>
      <w:r>
        <w:t>Applicant Comments on Ratified PICO</w:t>
      </w:r>
    </w:p>
    <w:p w14:paraId="1AE3F6B2" w14:textId="50FF7EAF" w:rsidR="00303CBA" w:rsidRPr="00311073" w:rsidRDefault="000D2532" w:rsidP="00303CBA">
      <w:bookmarkStart w:id="17" w:name="_Hlk167437372"/>
      <w:r w:rsidRPr="676B4017">
        <w:rPr>
          <w:rFonts w:asciiTheme="minorHAnsi" w:hAnsiTheme="minorHAnsi" w:cstheme="minorBidi"/>
        </w:rPr>
        <w:t xml:space="preserve">Edwards appreciates the opportunity to provide feedback on the proposed MBS item descriptor for TTVR. </w:t>
      </w:r>
      <w:r w:rsidR="002A73C5" w:rsidRPr="00311073">
        <w:t xml:space="preserve">We </w:t>
      </w:r>
      <w:r w:rsidR="00AA61E4" w:rsidRPr="00311073">
        <w:t xml:space="preserve">accept the proposed </w:t>
      </w:r>
      <w:r w:rsidR="00D50C12" w:rsidRPr="00311073">
        <w:t xml:space="preserve">device agnostic </w:t>
      </w:r>
      <w:r w:rsidR="00AA61E4" w:rsidRPr="00311073">
        <w:t xml:space="preserve">MBS item descriptor as per </w:t>
      </w:r>
      <w:r w:rsidR="00BB60FE" w:rsidRPr="00311073">
        <w:t xml:space="preserve">the PASC in </w:t>
      </w:r>
      <w:r w:rsidR="00AA61E4" w:rsidRPr="00311073">
        <w:t>Table 8</w:t>
      </w:r>
      <w:r w:rsidR="00BB60FE" w:rsidRPr="00311073">
        <w:t>.</w:t>
      </w:r>
    </w:p>
    <w:p w14:paraId="5ECBB204" w14:textId="74ABE10E" w:rsidR="00CF48BB" w:rsidRPr="00A2472D" w:rsidRDefault="00CF48BB" w:rsidP="4FA1991B">
      <w:pPr>
        <w:spacing w:after="160" w:line="259" w:lineRule="auto"/>
        <w:rPr>
          <w:rFonts w:asciiTheme="minorHAnsi" w:hAnsiTheme="minorHAnsi" w:cstheme="minorBidi"/>
        </w:rPr>
      </w:pPr>
      <w:r w:rsidRPr="4FA1991B">
        <w:rPr>
          <w:rFonts w:asciiTheme="minorHAnsi" w:hAnsiTheme="minorHAnsi" w:cstheme="minorBidi"/>
        </w:rPr>
        <w:lastRenderedPageBreak/>
        <w:t>As a principle, we acknowledge that MBS item descriptors have traditionally been device-agnostic to promote neutrality and support competition. However, precedent has been set where device</w:t>
      </w:r>
      <w:r w:rsidR="000A50E5">
        <w:rPr>
          <w:rFonts w:asciiTheme="minorHAnsi" w:hAnsiTheme="minorHAnsi" w:cstheme="minorBidi"/>
        </w:rPr>
        <w:t xml:space="preserve"> specific</w:t>
      </w:r>
      <w:r w:rsidRPr="4FA1991B">
        <w:rPr>
          <w:rFonts w:asciiTheme="minorHAnsi" w:hAnsiTheme="minorHAnsi" w:cstheme="minorBidi"/>
        </w:rPr>
        <w:t xml:space="preserve"> names have been included in item descriptors. The most relevant example is the inclusion of “MitraClip” in the original MBS item for transcatheter edge-to-edge repair (TEER) of the mitral valve. </w:t>
      </w:r>
    </w:p>
    <w:p w14:paraId="477922FD" w14:textId="00FA60EC" w:rsidR="00CF48BB" w:rsidRPr="00A2472D" w:rsidRDefault="00CF48BB" w:rsidP="4FA1991B">
      <w:pPr>
        <w:spacing w:after="160" w:line="259" w:lineRule="auto"/>
        <w:rPr>
          <w:rFonts w:asciiTheme="minorHAnsi" w:hAnsiTheme="minorHAnsi" w:cstheme="minorBidi"/>
        </w:rPr>
      </w:pPr>
      <w:r w:rsidRPr="4FA1991B">
        <w:rPr>
          <w:rFonts w:asciiTheme="minorHAnsi" w:hAnsiTheme="minorHAnsi" w:cstheme="minorBidi"/>
        </w:rPr>
        <w:t xml:space="preserve">This </w:t>
      </w:r>
      <w:r w:rsidR="00922593">
        <w:rPr>
          <w:rFonts w:asciiTheme="minorHAnsi" w:hAnsiTheme="minorHAnsi" w:cstheme="minorBidi"/>
        </w:rPr>
        <w:t>device specific</w:t>
      </w:r>
      <w:r w:rsidRPr="4FA1991B">
        <w:rPr>
          <w:rFonts w:asciiTheme="minorHAnsi" w:hAnsiTheme="minorHAnsi" w:cstheme="minorBidi"/>
        </w:rPr>
        <w:t xml:space="preserve"> approach has created ongoing administrative and procedural complexity. When competitor products entered the market—specifically the PASCAL system—</w:t>
      </w:r>
      <w:r w:rsidR="00EF616B">
        <w:rPr>
          <w:rFonts w:asciiTheme="minorHAnsi" w:hAnsiTheme="minorHAnsi" w:cstheme="minorBidi"/>
        </w:rPr>
        <w:t>we</w:t>
      </w:r>
      <w:r w:rsidRPr="4FA1991B">
        <w:rPr>
          <w:rFonts w:asciiTheme="minorHAnsi" w:hAnsiTheme="minorHAnsi" w:cstheme="minorBidi"/>
        </w:rPr>
        <w:t xml:space="preserve"> were required to submit multiple applications to MSAC to amend the existing MBS item. Despite these efforts, the MBS item for functional mitral regurgitation (FMR) remains </w:t>
      </w:r>
      <w:r w:rsidR="00EF616B">
        <w:rPr>
          <w:rFonts w:asciiTheme="minorHAnsi" w:hAnsiTheme="minorHAnsi" w:cstheme="minorBidi"/>
        </w:rPr>
        <w:t>device specific</w:t>
      </w:r>
      <w:r w:rsidRPr="4FA1991B">
        <w:rPr>
          <w:rFonts w:asciiTheme="minorHAnsi" w:hAnsiTheme="minorHAnsi" w:cstheme="minorBidi"/>
        </w:rPr>
        <w:t>, while only degenerative MR has been transitioned to a device</w:t>
      </w:r>
      <w:r w:rsidR="00880CA5">
        <w:rPr>
          <w:rFonts w:asciiTheme="minorHAnsi" w:hAnsiTheme="minorHAnsi" w:cstheme="minorBidi"/>
        </w:rPr>
        <w:t xml:space="preserve"> </w:t>
      </w:r>
      <w:r w:rsidRPr="4FA1991B">
        <w:rPr>
          <w:rFonts w:asciiTheme="minorHAnsi" w:hAnsiTheme="minorHAnsi" w:cstheme="minorBidi"/>
        </w:rPr>
        <w:t>agnostic item.</w:t>
      </w:r>
    </w:p>
    <w:p w14:paraId="039E55FA" w14:textId="0CBE6D87" w:rsidR="00CF48BB" w:rsidRPr="00A2472D" w:rsidRDefault="005E6009" w:rsidP="4FA1991B">
      <w:pPr>
        <w:spacing w:after="160" w:line="259" w:lineRule="auto"/>
        <w:rPr>
          <w:rFonts w:asciiTheme="minorHAnsi" w:hAnsiTheme="minorHAnsi" w:cstheme="minorBidi"/>
        </w:rPr>
      </w:pPr>
      <w:r w:rsidRPr="4FA1991B">
        <w:rPr>
          <w:rFonts w:asciiTheme="minorHAnsi" w:hAnsiTheme="minorHAnsi" w:cstheme="minorBidi"/>
        </w:rPr>
        <w:t xml:space="preserve">By accepting the PASC </w:t>
      </w:r>
      <w:r w:rsidR="00BD531E" w:rsidRPr="4FA1991B">
        <w:rPr>
          <w:rFonts w:asciiTheme="minorHAnsi" w:hAnsiTheme="minorHAnsi" w:cstheme="minorBidi"/>
        </w:rPr>
        <w:t xml:space="preserve">recommended MBS item descriptor in Table 8 </w:t>
      </w:r>
      <w:r w:rsidR="00CF48BB" w:rsidRPr="4FA1991B">
        <w:rPr>
          <w:rFonts w:asciiTheme="minorHAnsi" w:hAnsiTheme="minorHAnsi" w:cstheme="minorBidi"/>
        </w:rPr>
        <w:t>Edwards</w:t>
      </w:r>
      <w:r w:rsidR="003E4E97" w:rsidRPr="4FA1991B">
        <w:rPr>
          <w:rFonts w:asciiTheme="minorHAnsi" w:hAnsiTheme="minorHAnsi" w:cstheme="minorBidi"/>
        </w:rPr>
        <w:t xml:space="preserve"> is seeking </w:t>
      </w:r>
      <w:r w:rsidR="005676F4" w:rsidRPr="4FA1991B">
        <w:rPr>
          <w:rFonts w:asciiTheme="minorHAnsi" w:hAnsiTheme="minorHAnsi" w:cstheme="minorBidi"/>
        </w:rPr>
        <w:t>a</w:t>
      </w:r>
      <w:r w:rsidR="006713ED" w:rsidRPr="4FA1991B">
        <w:rPr>
          <w:rFonts w:asciiTheme="minorHAnsi" w:hAnsiTheme="minorHAnsi" w:cstheme="minorBidi"/>
        </w:rPr>
        <w:t xml:space="preserve"> return to</w:t>
      </w:r>
      <w:r w:rsidR="00CF48BB" w:rsidRPr="4FA1991B">
        <w:rPr>
          <w:rFonts w:asciiTheme="minorHAnsi" w:hAnsiTheme="minorHAnsi" w:cstheme="minorBidi"/>
        </w:rPr>
        <w:t xml:space="preserve"> a consistent policy approach</w:t>
      </w:r>
      <w:r w:rsidR="006713ED" w:rsidRPr="4FA1991B">
        <w:rPr>
          <w:rFonts w:asciiTheme="minorHAnsi" w:hAnsiTheme="minorHAnsi" w:cstheme="minorBidi"/>
        </w:rPr>
        <w:t>, despite EVOQUE being the only TTVR with RCT data</w:t>
      </w:r>
      <w:r w:rsidR="00CF48BB" w:rsidRPr="4FA1991B">
        <w:rPr>
          <w:rFonts w:asciiTheme="minorHAnsi" w:hAnsiTheme="minorHAnsi" w:cstheme="minorBidi"/>
        </w:rPr>
        <w:t xml:space="preserve">. Inconsistent application of </w:t>
      </w:r>
      <w:r w:rsidR="00647E72">
        <w:rPr>
          <w:rFonts w:asciiTheme="minorHAnsi" w:hAnsiTheme="minorHAnsi" w:cstheme="minorBidi"/>
        </w:rPr>
        <w:t xml:space="preserve">device agnostic </w:t>
      </w:r>
      <w:r w:rsidR="00B956C7">
        <w:rPr>
          <w:rFonts w:asciiTheme="minorHAnsi" w:hAnsiTheme="minorHAnsi" w:cstheme="minorBidi"/>
        </w:rPr>
        <w:t>MBS item</w:t>
      </w:r>
      <w:r w:rsidR="00CF48BB" w:rsidRPr="4FA1991B">
        <w:rPr>
          <w:rFonts w:asciiTheme="minorHAnsi" w:hAnsiTheme="minorHAnsi" w:cstheme="minorBidi"/>
        </w:rPr>
        <w:t xml:space="preserve"> policy risks creating competitive disadvantage and perpetuates unnecessary administrative burden through repeated MSAC applications.</w:t>
      </w:r>
    </w:p>
    <w:p w14:paraId="0B873B03" w14:textId="77777777" w:rsidR="00CF48BB" w:rsidRPr="004B351B" w:rsidRDefault="00CF48BB" w:rsidP="00303CBA">
      <w:pPr>
        <w:rPr>
          <w:color w:val="007BB8"/>
        </w:rPr>
      </w:pPr>
    </w:p>
    <w:bookmarkEnd w:id="17"/>
    <w:p w14:paraId="06DCD602" w14:textId="77777777" w:rsidR="00E82267" w:rsidRPr="00E82267" w:rsidRDefault="00E82267" w:rsidP="00E82267"/>
    <w:p w14:paraId="738EA9CD" w14:textId="77777777" w:rsidR="00E82267" w:rsidRDefault="00E82267" w:rsidP="00E82267"/>
    <w:p w14:paraId="1C260757" w14:textId="77777777" w:rsidR="00E82267" w:rsidRDefault="00E82267" w:rsidP="00E82267"/>
    <w:p w14:paraId="2B3C0247" w14:textId="77777777" w:rsidR="00E82267" w:rsidRPr="00E82267" w:rsidRDefault="00E82267" w:rsidP="00E82267"/>
    <w:p w14:paraId="7B838F8E" w14:textId="77777777" w:rsidR="007911CB" w:rsidRDefault="007911CB">
      <w:pPr>
        <w:spacing w:after="160" w:line="259" w:lineRule="auto"/>
        <w:rPr>
          <w:rFonts w:ascii="Franklin Gothic Medium" w:eastAsiaTheme="majorEastAsia" w:hAnsi="Franklin Gothic Medium" w:cstheme="majorBidi"/>
          <w:color w:val="000000" w:themeColor="text1"/>
          <w:sz w:val="32"/>
          <w:szCs w:val="26"/>
        </w:rPr>
      </w:pPr>
      <w:r>
        <w:br w:type="page"/>
      </w:r>
    </w:p>
    <w:p w14:paraId="73A2A9C9" w14:textId="4B61A1A8" w:rsidR="006478E7" w:rsidRDefault="00A33126" w:rsidP="00713728">
      <w:pPr>
        <w:pStyle w:val="Heading2"/>
      </w:pPr>
      <w:r w:rsidRPr="00A33126">
        <w:lastRenderedPageBreak/>
        <w:t>References</w:t>
      </w:r>
    </w:p>
    <w:p w14:paraId="22627B4C" w14:textId="6BCB24D3" w:rsidR="001754A3" w:rsidRPr="008E72C1" w:rsidRDefault="001754A3" w:rsidP="00575136">
      <w:r w:rsidRPr="008E72C1">
        <w:t>Arnold SV, Hahn RT, Thourani VH, Makkar R, Makar M, Sharma RP, Haeffele C, Davidson CJ, Narang A, O'Neill B, Lee J, Yadav P, Zahr F, Chadderdon S, Eleid M, Pislaru S, Smith R, Szerlip M, Whisenant B, Sekaran N, Garcia S, Stewart-Dehner T, Grayburn PA, Sannino A, Snyder C, Zhang Y, Mack MJ, Leon MB, Lurz P, Kodali S, Cohen DJ; TRISCEND II Pivotal Trial Investigators</w:t>
      </w:r>
      <w:r w:rsidR="00311618" w:rsidRPr="008E72C1">
        <w:t xml:space="preserve"> (2025)</w:t>
      </w:r>
      <w:r w:rsidRPr="008E72C1">
        <w:t xml:space="preserve"> </w:t>
      </w:r>
      <w:r w:rsidR="00311618" w:rsidRPr="008E72C1">
        <w:t>‘</w:t>
      </w:r>
      <w:r w:rsidRPr="008E72C1">
        <w:t xml:space="preserve">Quality of </w:t>
      </w:r>
      <w:r w:rsidR="00311618" w:rsidRPr="008E72C1">
        <w:t>l</w:t>
      </w:r>
      <w:r w:rsidRPr="008E72C1">
        <w:t xml:space="preserve">ife </w:t>
      </w:r>
      <w:r w:rsidR="00311618" w:rsidRPr="008E72C1">
        <w:t>a</w:t>
      </w:r>
      <w:r w:rsidRPr="008E72C1">
        <w:t xml:space="preserve">fter </w:t>
      </w:r>
      <w:r w:rsidR="00311618" w:rsidRPr="008E72C1">
        <w:t>t</w:t>
      </w:r>
      <w:r w:rsidRPr="008E72C1">
        <w:t xml:space="preserve">ranscatheter </w:t>
      </w:r>
      <w:r w:rsidR="00311618" w:rsidRPr="008E72C1">
        <w:t>t</w:t>
      </w:r>
      <w:r w:rsidRPr="008E72C1">
        <w:t xml:space="preserve">ricuspid </w:t>
      </w:r>
      <w:r w:rsidR="00311618" w:rsidRPr="008E72C1">
        <w:t>v</w:t>
      </w:r>
      <w:r w:rsidRPr="008E72C1">
        <w:t xml:space="preserve">alve </w:t>
      </w:r>
      <w:r w:rsidR="00311618" w:rsidRPr="008E72C1">
        <w:t>r</w:t>
      </w:r>
      <w:r w:rsidRPr="008E72C1">
        <w:t>eplacement: 1-</w:t>
      </w:r>
      <w:r w:rsidR="00311618" w:rsidRPr="008E72C1">
        <w:t>y</w:t>
      </w:r>
      <w:r w:rsidRPr="008E72C1">
        <w:t xml:space="preserve">ear </w:t>
      </w:r>
      <w:r w:rsidR="00311618" w:rsidRPr="008E72C1">
        <w:t>r</w:t>
      </w:r>
      <w:r w:rsidRPr="008E72C1">
        <w:t xml:space="preserve">esults </w:t>
      </w:r>
      <w:r w:rsidR="00311618" w:rsidRPr="008E72C1">
        <w:t>f</w:t>
      </w:r>
      <w:r w:rsidRPr="008E72C1">
        <w:t>rom TRISCEND II Pivotal Trial</w:t>
      </w:r>
      <w:r w:rsidR="0041194F" w:rsidRPr="008E72C1">
        <w:t>’,</w:t>
      </w:r>
      <w:r w:rsidRPr="008E72C1">
        <w:t xml:space="preserve"> </w:t>
      </w:r>
      <w:r w:rsidRPr="008E72C1">
        <w:rPr>
          <w:i/>
          <w:iCs/>
        </w:rPr>
        <w:t>J Am Coll Cardiol</w:t>
      </w:r>
      <w:r w:rsidR="0041194F" w:rsidRPr="008E72C1">
        <w:t>,</w:t>
      </w:r>
      <w:r w:rsidRPr="008E72C1">
        <w:t xml:space="preserve"> 85(3):206-216</w:t>
      </w:r>
      <w:r w:rsidR="00B07CA4" w:rsidRPr="008E72C1">
        <w:t>,</w:t>
      </w:r>
      <w:r w:rsidRPr="008E72C1">
        <w:t xml:space="preserve"> doi: 10.1016/j.jacc.2024.10.067.</w:t>
      </w:r>
    </w:p>
    <w:p w14:paraId="0CB2ECA6" w14:textId="0E5CCB7E" w:rsidR="0004169C" w:rsidRPr="008E72C1" w:rsidRDefault="0004169C" w:rsidP="00575136">
      <w:r w:rsidRPr="008E72C1">
        <w:t>Cahill TJ, Prothero A, Wilson J, Kennedy A, Brubert J, Masters M, Newton JD, Dawkins S, Enriquez-Sarano M, Prendergast BD</w:t>
      </w:r>
      <w:r w:rsidR="00B07CA4" w:rsidRPr="008E72C1">
        <w:t xml:space="preserve"> and</w:t>
      </w:r>
      <w:r w:rsidRPr="008E72C1">
        <w:t xml:space="preserve"> Myerson SG</w:t>
      </w:r>
      <w:r w:rsidR="00B07CA4" w:rsidRPr="008E72C1">
        <w:t xml:space="preserve"> (2021)</w:t>
      </w:r>
      <w:r w:rsidRPr="008E72C1">
        <w:t xml:space="preserve"> </w:t>
      </w:r>
      <w:r w:rsidR="00B07CA4" w:rsidRPr="008E72C1">
        <w:t>‘</w:t>
      </w:r>
      <w:r w:rsidRPr="008E72C1">
        <w:t>Community prevalence, mechanisms and outcome of mitral or tricuspid regurgitation</w:t>
      </w:r>
      <w:r w:rsidR="00B07CA4" w:rsidRPr="008E72C1">
        <w:t>’,</w:t>
      </w:r>
      <w:r w:rsidRPr="008E72C1">
        <w:t xml:space="preserve"> </w:t>
      </w:r>
      <w:r w:rsidRPr="008E72C1">
        <w:rPr>
          <w:i/>
          <w:iCs/>
        </w:rPr>
        <w:t>Heart</w:t>
      </w:r>
      <w:r w:rsidR="00B07CA4" w:rsidRPr="008E72C1">
        <w:t>,</w:t>
      </w:r>
      <w:r w:rsidRPr="008E72C1">
        <w:t xml:space="preserve"> 107(12):1003-1009</w:t>
      </w:r>
      <w:r w:rsidR="00FC53C7" w:rsidRPr="008E72C1">
        <w:t>,</w:t>
      </w:r>
      <w:r w:rsidRPr="008E72C1">
        <w:t xml:space="preserve"> doi: 10.1136/heartjnl-2020-318482.</w:t>
      </w:r>
    </w:p>
    <w:p w14:paraId="1F599A3C" w14:textId="7A9AFBB1" w:rsidR="004E25F0" w:rsidRPr="008E72C1" w:rsidRDefault="004E25F0" w:rsidP="00575136">
      <w:r w:rsidRPr="008E72C1">
        <w:t>Chorin E, Rozenbaum Z, Topilsky Y, Konigstein M, Ziv-Baran T, Richert E, Keren G</w:t>
      </w:r>
      <w:r w:rsidR="00FC53C7" w:rsidRPr="008E72C1">
        <w:t xml:space="preserve"> and</w:t>
      </w:r>
      <w:r w:rsidRPr="008E72C1">
        <w:t xml:space="preserve"> Banai S</w:t>
      </w:r>
      <w:r w:rsidR="00FC53C7" w:rsidRPr="008E72C1">
        <w:t xml:space="preserve"> (2020)</w:t>
      </w:r>
      <w:r w:rsidRPr="008E72C1">
        <w:t xml:space="preserve"> </w:t>
      </w:r>
      <w:r w:rsidR="00FC53C7" w:rsidRPr="008E72C1">
        <w:t>‘</w:t>
      </w:r>
      <w:r w:rsidRPr="008E72C1">
        <w:t>Tricuspid regurgitation and long-term clinical outcomes</w:t>
      </w:r>
      <w:r w:rsidR="00FC53C7" w:rsidRPr="008E72C1">
        <w:t>’,</w:t>
      </w:r>
      <w:r w:rsidRPr="008E72C1">
        <w:t xml:space="preserve"> </w:t>
      </w:r>
      <w:r w:rsidRPr="008E72C1">
        <w:rPr>
          <w:i/>
          <w:iCs/>
        </w:rPr>
        <w:t>Eur Heart J Cardiovasc Imaging</w:t>
      </w:r>
      <w:r w:rsidR="00FC53C7" w:rsidRPr="008E72C1">
        <w:t>,</w:t>
      </w:r>
      <w:r w:rsidRPr="008E72C1">
        <w:t xml:space="preserve"> 21(2):157-165</w:t>
      </w:r>
      <w:r w:rsidR="00FC53C7" w:rsidRPr="008E72C1">
        <w:t>,</w:t>
      </w:r>
      <w:r w:rsidRPr="008E72C1">
        <w:t xml:space="preserve"> doi: 10.1093/ehjci/jez216.</w:t>
      </w:r>
    </w:p>
    <w:p w14:paraId="69695F9A" w14:textId="63E902D9" w:rsidR="004D5C19" w:rsidRPr="008E72C1" w:rsidRDefault="004D5C19" w:rsidP="00575136">
      <w:r w:rsidRPr="008E72C1">
        <w:t>Davidson LJ, Tang GHL, Ho EC, Fudim M, Frisoli T, Camaj A, Bowers MT, Masri SC, Atluri P, Chikwe J, Mason PJ, Kovacic JC</w:t>
      </w:r>
      <w:r w:rsidR="00FC53C7" w:rsidRPr="008E72C1">
        <w:t>,</w:t>
      </w:r>
      <w:r w:rsidRPr="008E72C1">
        <w:t xml:space="preserve"> Dangas GD; American Heart Association Interventional Committee of the Council on Clinical Cardiology; Council on Cardiopulmonary, Critical Care, Perioperative and Resuscitation; Council on Cardiovascular Surgery and Anesthesia; and Council on Cardiovascular and Stroke Nursing</w:t>
      </w:r>
      <w:r w:rsidR="00FC53C7" w:rsidRPr="008E72C1">
        <w:t xml:space="preserve"> (2024)</w:t>
      </w:r>
      <w:r w:rsidRPr="008E72C1">
        <w:t xml:space="preserve"> </w:t>
      </w:r>
      <w:r w:rsidR="00FC53C7" w:rsidRPr="008E72C1">
        <w:t>‘</w:t>
      </w:r>
      <w:r w:rsidRPr="008E72C1">
        <w:t xml:space="preserve">The </w:t>
      </w:r>
      <w:r w:rsidR="00FC53C7" w:rsidRPr="008E72C1">
        <w:t>t</w:t>
      </w:r>
      <w:r w:rsidRPr="008E72C1">
        <w:t xml:space="preserve">ricuspid </w:t>
      </w:r>
      <w:r w:rsidR="00FC53C7" w:rsidRPr="008E72C1">
        <w:t>v</w:t>
      </w:r>
      <w:r w:rsidRPr="008E72C1">
        <w:t xml:space="preserve">alve: A </w:t>
      </w:r>
      <w:r w:rsidR="00FC53C7" w:rsidRPr="008E72C1">
        <w:t>r</w:t>
      </w:r>
      <w:r w:rsidRPr="008E72C1">
        <w:t xml:space="preserve">eview of </w:t>
      </w:r>
      <w:r w:rsidR="00FC53C7" w:rsidRPr="008E72C1">
        <w:t>p</w:t>
      </w:r>
      <w:r w:rsidRPr="008E72C1">
        <w:t xml:space="preserve">athology, </w:t>
      </w:r>
      <w:r w:rsidR="00FC53C7" w:rsidRPr="008E72C1">
        <w:t>i</w:t>
      </w:r>
      <w:r w:rsidRPr="008E72C1">
        <w:t xml:space="preserve">maging, and </w:t>
      </w:r>
      <w:r w:rsidR="00FC53C7" w:rsidRPr="008E72C1">
        <w:t>c</w:t>
      </w:r>
      <w:r w:rsidRPr="008E72C1">
        <w:t xml:space="preserve">urrent </w:t>
      </w:r>
      <w:r w:rsidR="00FC53C7" w:rsidRPr="008E72C1">
        <w:t>t</w:t>
      </w:r>
      <w:r w:rsidRPr="008E72C1">
        <w:t xml:space="preserve">reatment </w:t>
      </w:r>
      <w:r w:rsidR="00FC53C7" w:rsidRPr="008E72C1">
        <w:t>o</w:t>
      </w:r>
      <w:r w:rsidRPr="008E72C1">
        <w:t xml:space="preserve">ptions: A Scientific Statement </w:t>
      </w:r>
      <w:r w:rsidR="00FC53C7" w:rsidRPr="008E72C1">
        <w:t>f</w:t>
      </w:r>
      <w:r w:rsidRPr="008E72C1">
        <w:t>rom the American Heart Association</w:t>
      </w:r>
      <w:r w:rsidR="00FC53C7" w:rsidRPr="008E72C1">
        <w:t>’,</w:t>
      </w:r>
      <w:r w:rsidRPr="008E72C1">
        <w:t xml:space="preserve"> </w:t>
      </w:r>
      <w:r w:rsidRPr="008E72C1">
        <w:rPr>
          <w:i/>
          <w:iCs/>
        </w:rPr>
        <w:t>Circulation</w:t>
      </w:r>
      <w:r w:rsidR="00FC53C7" w:rsidRPr="008E72C1">
        <w:t>,</w:t>
      </w:r>
      <w:r w:rsidRPr="008E72C1">
        <w:t xml:space="preserve"> 149(22):e1223-e1238</w:t>
      </w:r>
      <w:r w:rsidR="00FC53C7" w:rsidRPr="008E72C1">
        <w:t>,</w:t>
      </w:r>
      <w:r w:rsidRPr="008E72C1">
        <w:t xml:space="preserve"> doi: 10.1161/CIR.0000000000001232.</w:t>
      </w:r>
    </w:p>
    <w:p w14:paraId="5C26DAB6" w14:textId="3B88FB09" w:rsidR="00042BFF" w:rsidRPr="008E72C1" w:rsidRDefault="00042BFF" w:rsidP="00575136">
      <w:r w:rsidRPr="008E72C1">
        <w:t>Fujisawa T, Kimura T, Ikemura N, Miyama H, Katsumata Y, Ueda I, Tanimoto K, Kanki H, Fukuda K, Kohsaka S</w:t>
      </w:r>
      <w:r w:rsidR="0081038C" w:rsidRPr="008E72C1">
        <w:t xml:space="preserve"> and</w:t>
      </w:r>
      <w:r w:rsidRPr="008E72C1">
        <w:t xml:space="preserve"> Takatsuki S</w:t>
      </w:r>
      <w:r w:rsidR="0081038C" w:rsidRPr="008E72C1">
        <w:t xml:space="preserve"> (2022)</w:t>
      </w:r>
      <w:r w:rsidRPr="008E72C1">
        <w:t xml:space="preserve"> </w:t>
      </w:r>
      <w:r w:rsidR="0081038C" w:rsidRPr="008E72C1">
        <w:t>‘</w:t>
      </w:r>
      <w:r w:rsidRPr="008E72C1">
        <w:t xml:space="preserve">Effect of </w:t>
      </w:r>
      <w:r w:rsidR="0081038C" w:rsidRPr="008E72C1">
        <w:t>t</w:t>
      </w:r>
      <w:r w:rsidRPr="008E72C1">
        <w:t xml:space="preserve">ricuspid </w:t>
      </w:r>
      <w:r w:rsidR="0081038C" w:rsidRPr="008E72C1">
        <w:t>r</w:t>
      </w:r>
      <w:r w:rsidRPr="008E72C1">
        <w:t xml:space="preserve">egurgitation on the </w:t>
      </w:r>
      <w:r w:rsidR="0081038C" w:rsidRPr="008E72C1">
        <w:t>r</w:t>
      </w:r>
      <w:r w:rsidRPr="008E72C1">
        <w:t xml:space="preserve">eported </w:t>
      </w:r>
      <w:r w:rsidR="0081038C" w:rsidRPr="008E72C1">
        <w:t>q</w:t>
      </w:r>
      <w:r w:rsidRPr="008E72C1">
        <w:t xml:space="preserve">uality of </w:t>
      </w:r>
      <w:r w:rsidR="0081038C" w:rsidRPr="008E72C1">
        <w:t>l</w:t>
      </w:r>
      <w:r w:rsidRPr="008E72C1">
        <w:t xml:space="preserve">ife and </w:t>
      </w:r>
      <w:r w:rsidR="0081038C" w:rsidRPr="008E72C1">
        <w:t>s</w:t>
      </w:r>
      <w:r w:rsidRPr="008E72C1">
        <w:t xml:space="preserve">ubsequent </w:t>
      </w:r>
      <w:r w:rsidR="0081038C" w:rsidRPr="008E72C1">
        <w:t>o</w:t>
      </w:r>
      <w:r w:rsidRPr="008E72C1">
        <w:t xml:space="preserve">utcomes in </w:t>
      </w:r>
      <w:r w:rsidR="0081038C" w:rsidRPr="008E72C1">
        <w:t>p</w:t>
      </w:r>
      <w:r w:rsidRPr="008E72C1">
        <w:t xml:space="preserve">atients </w:t>
      </w:r>
      <w:r w:rsidR="0081038C" w:rsidRPr="008E72C1">
        <w:t>w</w:t>
      </w:r>
      <w:r w:rsidRPr="008E72C1">
        <w:t xml:space="preserve">ith </w:t>
      </w:r>
      <w:r w:rsidR="0081038C" w:rsidRPr="008E72C1">
        <w:t>a</w:t>
      </w:r>
      <w:r w:rsidRPr="008E72C1">
        <w:t xml:space="preserve">trial </w:t>
      </w:r>
      <w:r w:rsidR="0081038C" w:rsidRPr="008E72C1">
        <w:t>f</w:t>
      </w:r>
      <w:r w:rsidRPr="008E72C1">
        <w:t>ibrillation</w:t>
      </w:r>
      <w:r w:rsidR="0081038C" w:rsidRPr="008E72C1">
        <w:t>’,</w:t>
      </w:r>
      <w:r w:rsidRPr="008E72C1">
        <w:t xml:space="preserve"> </w:t>
      </w:r>
      <w:r w:rsidRPr="008E72C1">
        <w:rPr>
          <w:i/>
          <w:iCs/>
        </w:rPr>
        <w:t>J Am Heart Assoc</w:t>
      </w:r>
      <w:r w:rsidR="0081038C" w:rsidRPr="008E72C1">
        <w:t>,</w:t>
      </w:r>
      <w:r w:rsidRPr="008E72C1">
        <w:t xml:space="preserve"> 11(8):e022713</w:t>
      </w:r>
      <w:r w:rsidR="0081038C" w:rsidRPr="008E72C1">
        <w:t>,</w:t>
      </w:r>
      <w:r w:rsidRPr="008E72C1">
        <w:t xml:space="preserve"> doi: 10.1161/JAHA.121.022713.</w:t>
      </w:r>
    </w:p>
    <w:p w14:paraId="514AE002" w14:textId="5433007D" w:rsidR="001754A3" w:rsidRPr="008E72C1" w:rsidRDefault="001754A3" w:rsidP="00575136">
      <w:r w:rsidRPr="008E72C1">
        <w:t>Grayburn PA, Kodali SK, Hahn RT, Lurz P, Thourani VH, Kozorovitsky ER, Gilmore SY, Vinekar C, Zhang B, Boulware K, Krzmarzick AM, Nguyen D, Vu MT, Feldman T, Mack MJ</w:t>
      </w:r>
      <w:r w:rsidR="0081038C" w:rsidRPr="008E72C1">
        <w:t xml:space="preserve"> and</w:t>
      </w:r>
      <w:r w:rsidRPr="008E72C1">
        <w:t xml:space="preserve"> Leon MB (2024) </w:t>
      </w:r>
      <w:r w:rsidR="0081038C" w:rsidRPr="008E72C1">
        <w:t>‘</w:t>
      </w:r>
      <w:r w:rsidRPr="008E72C1">
        <w:t xml:space="preserve">TRISCEND II: </w:t>
      </w:r>
      <w:r w:rsidR="0081038C" w:rsidRPr="008E72C1">
        <w:t>N</w:t>
      </w:r>
      <w:r w:rsidRPr="008E72C1">
        <w:t>ovel randomized trial design for transcatheter tricuspid valve replacement</w:t>
      </w:r>
      <w:r w:rsidR="0081038C" w:rsidRPr="008E72C1">
        <w:t>’,</w:t>
      </w:r>
      <w:r w:rsidRPr="008E72C1">
        <w:t xml:space="preserve"> </w:t>
      </w:r>
      <w:r w:rsidRPr="008E72C1">
        <w:rPr>
          <w:i/>
          <w:iCs/>
        </w:rPr>
        <w:t>Am J Cardiol</w:t>
      </w:r>
      <w:r w:rsidR="0081038C" w:rsidRPr="008E72C1">
        <w:t xml:space="preserve">, </w:t>
      </w:r>
      <w:r w:rsidRPr="008E72C1">
        <w:t>225:171-177</w:t>
      </w:r>
      <w:r w:rsidR="0081038C" w:rsidRPr="008E72C1">
        <w:t>,</w:t>
      </w:r>
      <w:r w:rsidRPr="008E72C1">
        <w:t xml:space="preserve"> doi: 10.1016/j.amjcard.2024.06.009.</w:t>
      </w:r>
    </w:p>
    <w:p w14:paraId="40807F99" w14:textId="70B42850" w:rsidR="001754A3" w:rsidRPr="008E72C1" w:rsidRDefault="007628FB" w:rsidP="00575136">
      <w:r w:rsidRPr="008E72C1">
        <w:t xml:space="preserve">Gröger M, Friedl S, Ouerghemmi D, Tadic M, Bruß E, Felbel D, Paukovitsch M, Schneider LM, Dahme T, Rottbauer W, Markovic S and Keßler M </w:t>
      </w:r>
      <w:r w:rsidR="0081038C" w:rsidRPr="008E72C1">
        <w:t>(2023)</w:t>
      </w:r>
      <w:r w:rsidR="001754A3" w:rsidRPr="008E72C1">
        <w:t xml:space="preserve"> </w:t>
      </w:r>
      <w:r w:rsidR="0081038C" w:rsidRPr="008E72C1">
        <w:t>‘</w:t>
      </w:r>
      <w:r w:rsidR="001754A3" w:rsidRPr="008E72C1">
        <w:t xml:space="preserve">TRI SCORE is </w:t>
      </w:r>
      <w:r w:rsidR="0081038C" w:rsidRPr="008E72C1">
        <w:t>s</w:t>
      </w:r>
      <w:r w:rsidR="001754A3" w:rsidRPr="008E72C1">
        <w:t xml:space="preserve">uperior to EuroSCORE II and STS-Score in </w:t>
      </w:r>
      <w:r w:rsidR="0081038C" w:rsidRPr="008E72C1">
        <w:t>m</w:t>
      </w:r>
      <w:r w:rsidR="001754A3" w:rsidRPr="008E72C1">
        <w:t xml:space="preserve">ortality </w:t>
      </w:r>
      <w:r w:rsidR="0081038C" w:rsidRPr="008E72C1">
        <w:t>p</w:t>
      </w:r>
      <w:r w:rsidR="001754A3" w:rsidRPr="008E72C1">
        <w:t xml:space="preserve">rediction </w:t>
      </w:r>
      <w:r w:rsidR="0081038C" w:rsidRPr="008E72C1">
        <w:t>f</w:t>
      </w:r>
      <w:r w:rsidR="001754A3" w:rsidRPr="008E72C1">
        <w:t xml:space="preserve">ollowing </w:t>
      </w:r>
      <w:r w:rsidR="0081038C" w:rsidRPr="008E72C1">
        <w:t>t</w:t>
      </w:r>
      <w:r w:rsidR="001754A3" w:rsidRPr="008E72C1">
        <w:t xml:space="preserve">ranscatheter </w:t>
      </w:r>
      <w:r w:rsidR="0081038C" w:rsidRPr="008E72C1">
        <w:t>e</w:t>
      </w:r>
      <w:r w:rsidR="001754A3" w:rsidRPr="008E72C1">
        <w:t xml:space="preserve">dge-to-edge </w:t>
      </w:r>
      <w:r w:rsidR="0081038C" w:rsidRPr="008E72C1">
        <w:t>t</w:t>
      </w:r>
      <w:r w:rsidR="001754A3" w:rsidRPr="008E72C1">
        <w:t xml:space="preserve">ricuspid </w:t>
      </w:r>
      <w:r w:rsidR="0081038C" w:rsidRPr="008E72C1">
        <w:t>v</w:t>
      </w:r>
      <w:r w:rsidR="001754A3" w:rsidRPr="008E72C1">
        <w:t xml:space="preserve">alve </w:t>
      </w:r>
      <w:r w:rsidR="0081038C" w:rsidRPr="008E72C1">
        <w:t>r</w:t>
      </w:r>
      <w:r w:rsidR="001754A3" w:rsidRPr="008E72C1">
        <w:t>epair</w:t>
      </w:r>
      <w:r w:rsidR="0081038C" w:rsidRPr="008E72C1">
        <w:t>’,</w:t>
      </w:r>
      <w:r w:rsidR="001754A3" w:rsidRPr="008E72C1">
        <w:t xml:space="preserve"> </w:t>
      </w:r>
      <w:r w:rsidR="001754A3" w:rsidRPr="008E72C1">
        <w:rPr>
          <w:i/>
          <w:iCs/>
        </w:rPr>
        <w:t>Clin Res Cardiol</w:t>
      </w:r>
      <w:r w:rsidR="0081038C" w:rsidRPr="008E72C1">
        <w:t>,</w:t>
      </w:r>
      <w:r w:rsidR="001754A3" w:rsidRPr="008E72C1">
        <w:t xml:space="preserve"> 112(10):1436-45</w:t>
      </w:r>
      <w:r w:rsidR="00A1217C" w:rsidRPr="008E72C1">
        <w:t>,</w:t>
      </w:r>
      <w:r w:rsidR="001754A3" w:rsidRPr="008E72C1">
        <w:t xml:space="preserve"> doi: 10.1007/s00392-023-02246-9.</w:t>
      </w:r>
    </w:p>
    <w:p w14:paraId="1CABE661" w14:textId="3B32738E" w:rsidR="001754A3" w:rsidRPr="008E72C1" w:rsidRDefault="001754A3" w:rsidP="00575136">
      <w:r w:rsidRPr="008E72C1">
        <w:t>Hahn RT, Lawlor MK, Davidson CJ, Badhwar V, Sannino A, Spitzer E, Lurz P, Lindman BR, Topilsky Y, Baron SJ, Chadderdon S, Khalique OK, Tang GHL, Taramasso M, Grayburn PA, Badano L, Leipsic J, Lindenfeld J, Windecker S, Vemulapalli S, Redfors B, Alu MC, Cohen DJ, Rodés-Cabau J, Ailawadi G, Mack M, Ben-Yehuda O, Leon MB</w:t>
      </w:r>
      <w:r w:rsidR="007628FB" w:rsidRPr="008E72C1">
        <w:t xml:space="preserve"> and</w:t>
      </w:r>
      <w:r w:rsidRPr="008E72C1">
        <w:t xml:space="preserve"> Hausleiter J (2023) </w:t>
      </w:r>
      <w:r w:rsidR="007628FB" w:rsidRPr="008E72C1">
        <w:t>‘</w:t>
      </w:r>
      <w:r w:rsidRPr="008E72C1">
        <w:t>Tricuspid Valve Academic Research Consortium definitions for tricuspid regurgitation and trial endpoints</w:t>
      </w:r>
      <w:r w:rsidR="007628FB" w:rsidRPr="008E72C1">
        <w:t>’,</w:t>
      </w:r>
      <w:r w:rsidRPr="008E72C1">
        <w:t xml:space="preserve"> </w:t>
      </w:r>
      <w:r w:rsidRPr="008E72C1">
        <w:rPr>
          <w:i/>
          <w:iCs/>
        </w:rPr>
        <w:t>Eur Heart J</w:t>
      </w:r>
      <w:r w:rsidR="007628FB" w:rsidRPr="008E72C1">
        <w:t xml:space="preserve">, </w:t>
      </w:r>
      <w:r w:rsidRPr="008E72C1">
        <w:t>44(43):4508-4532</w:t>
      </w:r>
      <w:r w:rsidR="007628FB" w:rsidRPr="008E72C1">
        <w:t>,</w:t>
      </w:r>
      <w:r w:rsidRPr="008E72C1">
        <w:t xml:space="preserve"> doi: 10.1093/eurheartj/ehad653.</w:t>
      </w:r>
    </w:p>
    <w:p w14:paraId="09B1C9E5" w14:textId="4C5D2B05" w:rsidR="001754A3" w:rsidRPr="008E72C1" w:rsidRDefault="001754A3" w:rsidP="008C142B">
      <w:r w:rsidRPr="008E72C1">
        <w:lastRenderedPageBreak/>
        <w:t xml:space="preserve">Hahn RT, Makkar R, Thourani VH, Makar M, Sharma RP, Haeffele C, Davidson CJ, Narang A, O'Neill B, Lee J, Yadav P, Zahr F, Chadderdon S, Eleid M, Pislaru S, Smith R, Szerlip M, Whisenant B, Sekaran NK, Garcia S, Stewart-Dehner T, Thiele H, Kipperman R, Koulogiannis K, Lim DS, Fowler D, Kapadia S, Harb SC, Grayburn PA, Sannino A, Mack MJ, Leon MB, Lurz P, Kodali SK; TRISCEND II Trial Investigators (2025) </w:t>
      </w:r>
      <w:r w:rsidR="007628FB" w:rsidRPr="008E72C1">
        <w:t>‘</w:t>
      </w:r>
      <w:r w:rsidRPr="008E72C1">
        <w:t>Transcatheter valve replacement in severe tricuspid regurgitation</w:t>
      </w:r>
      <w:r w:rsidR="007628FB" w:rsidRPr="008E72C1">
        <w:t>’,</w:t>
      </w:r>
      <w:r w:rsidRPr="008E72C1">
        <w:t xml:space="preserve"> </w:t>
      </w:r>
      <w:r w:rsidRPr="008E72C1">
        <w:rPr>
          <w:i/>
          <w:iCs/>
        </w:rPr>
        <w:t>N Engl J Med</w:t>
      </w:r>
      <w:r w:rsidR="007628FB" w:rsidRPr="008E72C1">
        <w:t xml:space="preserve">, </w:t>
      </w:r>
      <w:r w:rsidRPr="008E72C1">
        <w:t>392(2):115-126</w:t>
      </w:r>
      <w:r w:rsidR="007628FB" w:rsidRPr="008E72C1">
        <w:t>,</w:t>
      </w:r>
      <w:r w:rsidRPr="008E72C1">
        <w:t xml:space="preserve"> doi: 10.1056/NEJMoa2401918.</w:t>
      </w:r>
    </w:p>
    <w:p w14:paraId="49D2CD9A" w14:textId="65FC66AC" w:rsidR="007637D0" w:rsidRPr="008E72C1" w:rsidRDefault="007637D0" w:rsidP="00575136">
      <w:r w:rsidRPr="008E72C1">
        <w:t>Kumar K, Byrne T, Simpson TF, Samhan A, Shah R, Rodriguez J, Wagner L, Chadderdon SM, Song HK, Golwala H</w:t>
      </w:r>
      <w:r w:rsidR="00C511A4" w:rsidRPr="008E72C1">
        <w:t xml:space="preserve"> and</w:t>
      </w:r>
      <w:r w:rsidRPr="008E72C1">
        <w:t xml:space="preserve"> Zahr FE</w:t>
      </w:r>
      <w:r w:rsidR="00C511A4" w:rsidRPr="008E72C1">
        <w:t xml:space="preserve"> (2022)</w:t>
      </w:r>
      <w:r w:rsidRPr="008E72C1">
        <w:t xml:space="preserve"> </w:t>
      </w:r>
      <w:r w:rsidR="00C511A4" w:rsidRPr="008E72C1">
        <w:t>‘</w:t>
      </w:r>
      <w:r w:rsidRPr="008E72C1">
        <w:t xml:space="preserve">Clinical </w:t>
      </w:r>
      <w:r w:rsidR="00C511A4" w:rsidRPr="008E72C1">
        <w:t>p</w:t>
      </w:r>
      <w:r w:rsidRPr="008E72C1">
        <w:t xml:space="preserve">redictors of </w:t>
      </w:r>
      <w:r w:rsidR="00C511A4" w:rsidRPr="008E72C1">
        <w:t>m</w:t>
      </w:r>
      <w:r w:rsidRPr="008E72C1">
        <w:t xml:space="preserve">ortality and </w:t>
      </w:r>
      <w:r w:rsidR="00C511A4" w:rsidRPr="008E72C1">
        <w:t>h</w:t>
      </w:r>
      <w:r w:rsidRPr="008E72C1">
        <w:t xml:space="preserve">eart </w:t>
      </w:r>
      <w:r w:rsidR="00C511A4" w:rsidRPr="008E72C1">
        <w:t>f</w:t>
      </w:r>
      <w:r w:rsidRPr="008E72C1">
        <w:t xml:space="preserve">ailure </w:t>
      </w:r>
      <w:r w:rsidR="00C511A4" w:rsidRPr="008E72C1">
        <w:t>h</w:t>
      </w:r>
      <w:r w:rsidRPr="008E72C1">
        <w:t xml:space="preserve">ospitalization in </w:t>
      </w:r>
      <w:r w:rsidR="00C511A4" w:rsidRPr="008E72C1">
        <w:t>p</w:t>
      </w:r>
      <w:r w:rsidRPr="008E72C1">
        <w:t xml:space="preserve">atients </w:t>
      </w:r>
      <w:r w:rsidR="00C511A4" w:rsidRPr="008E72C1">
        <w:t>wi</w:t>
      </w:r>
      <w:r w:rsidRPr="008E72C1">
        <w:t xml:space="preserve">th </w:t>
      </w:r>
      <w:r w:rsidR="00C511A4" w:rsidRPr="008E72C1">
        <w:t>s</w:t>
      </w:r>
      <w:r w:rsidRPr="008E72C1">
        <w:t xml:space="preserve">evere </w:t>
      </w:r>
      <w:r w:rsidR="00C511A4" w:rsidRPr="008E72C1">
        <w:t>t</w:t>
      </w:r>
      <w:r w:rsidRPr="008E72C1">
        <w:t xml:space="preserve">ricuspid </w:t>
      </w:r>
      <w:r w:rsidR="00C511A4" w:rsidRPr="008E72C1">
        <w:t>r</w:t>
      </w:r>
      <w:r w:rsidRPr="008E72C1">
        <w:t>egurgitation</w:t>
      </w:r>
      <w:r w:rsidR="00421819" w:rsidRPr="008E72C1">
        <w:t>’,</w:t>
      </w:r>
      <w:r w:rsidRPr="008E72C1">
        <w:t xml:space="preserve"> </w:t>
      </w:r>
      <w:r w:rsidRPr="008E72C1">
        <w:rPr>
          <w:i/>
          <w:iCs/>
        </w:rPr>
        <w:t>Struct Heart</w:t>
      </w:r>
      <w:r w:rsidR="00421819" w:rsidRPr="008E72C1">
        <w:t>,</w:t>
      </w:r>
      <w:r w:rsidRPr="008E72C1">
        <w:t xml:space="preserve"> 7(2):100130</w:t>
      </w:r>
      <w:r w:rsidR="00421819" w:rsidRPr="008E72C1">
        <w:t>,</w:t>
      </w:r>
      <w:r w:rsidRPr="008E72C1">
        <w:t xml:space="preserve"> doi: 10.1016/j.shj.2022.100130.</w:t>
      </w:r>
    </w:p>
    <w:p w14:paraId="01178C9D" w14:textId="08E3333B" w:rsidR="00DC6D28" w:rsidRPr="008E72C1" w:rsidRDefault="00DC6D28" w:rsidP="00575136">
      <w:r w:rsidRPr="008E72C1">
        <w:t>Latib A, Grigioni F</w:t>
      </w:r>
      <w:r w:rsidR="00421819" w:rsidRPr="008E72C1">
        <w:t xml:space="preserve"> and</w:t>
      </w:r>
      <w:r w:rsidRPr="008E72C1">
        <w:t xml:space="preserve"> Hahn RT</w:t>
      </w:r>
      <w:r w:rsidR="00421819" w:rsidRPr="008E72C1">
        <w:t xml:space="preserve"> (2018)</w:t>
      </w:r>
      <w:r w:rsidRPr="008E72C1">
        <w:t xml:space="preserve"> </w:t>
      </w:r>
      <w:r w:rsidR="00421819" w:rsidRPr="008E72C1">
        <w:t>‘</w:t>
      </w:r>
      <w:r w:rsidRPr="008E72C1">
        <w:t>Tricuspid regurgitation: what is the real clinical impact and how often should it be treated?</w:t>
      </w:r>
      <w:r w:rsidR="00421819" w:rsidRPr="008E72C1">
        <w:t>’,</w:t>
      </w:r>
      <w:r w:rsidRPr="008E72C1">
        <w:t xml:space="preserve"> </w:t>
      </w:r>
      <w:r w:rsidRPr="008E72C1">
        <w:rPr>
          <w:i/>
          <w:iCs/>
        </w:rPr>
        <w:t>EuroIntervention</w:t>
      </w:r>
      <w:r w:rsidR="00421819" w:rsidRPr="008E72C1">
        <w:t>,</w:t>
      </w:r>
      <w:r w:rsidRPr="008E72C1">
        <w:t xml:space="preserve"> 14(AB):AB101-AB111</w:t>
      </w:r>
      <w:r w:rsidR="00421819" w:rsidRPr="008E72C1">
        <w:t>,</w:t>
      </w:r>
      <w:r w:rsidRPr="008E72C1">
        <w:t xml:space="preserve"> doi: 10.4244/EIJ-D-18-00533.</w:t>
      </w:r>
    </w:p>
    <w:p w14:paraId="7192B6F1" w14:textId="226BCF49" w:rsidR="001754A3" w:rsidRPr="008E72C1" w:rsidRDefault="001754A3" w:rsidP="008C142B">
      <w:r w:rsidRPr="008E72C1">
        <w:t>Loyalka P, Nascimbene A, Metz B, Gregoric ID, Raman AS</w:t>
      </w:r>
      <w:r w:rsidR="00421819" w:rsidRPr="008E72C1">
        <w:t xml:space="preserve"> and</w:t>
      </w:r>
      <w:r w:rsidRPr="008E72C1">
        <w:t xml:space="preserve"> Kar B</w:t>
      </w:r>
      <w:r w:rsidR="00421819" w:rsidRPr="008E72C1">
        <w:t xml:space="preserve"> (2017)</w:t>
      </w:r>
      <w:r w:rsidRPr="008E72C1">
        <w:t xml:space="preserve"> </w:t>
      </w:r>
      <w:r w:rsidR="00421819" w:rsidRPr="008E72C1">
        <w:t>‘</w:t>
      </w:r>
      <w:r w:rsidRPr="008E72C1">
        <w:t xml:space="preserve">Transcatheter </w:t>
      </w:r>
      <w:r w:rsidR="00421819" w:rsidRPr="008E72C1">
        <w:t>t</w:t>
      </w:r>
      <w:r w:rsidRPr="008E72C1">
        <w:t xml:space="preserve">ricuspid </w:t>
      </w:r>
      <w:r w:rsidR="00421819" w:rsidRPr="008E72C1">
        <w:t>v</w:t>
      </w:r>
      <w:r w:rsidRPr="008E72C1">
        <w:t>alve-in-</w:t>
      </w:r>
      <w:r w:rsidR="00421819" w:rsidRPr="008E72C1">
        <w:t>v</w:t>
      </w:r>
      <w:r w:rsidRPr="008E72C1">
        <w:t xml:space="preserve">alve </w:t>
      </w:r>
      <w:r w:rsidR="00421819" w:rsidRPr="008E72C1">
        <w:t>r</w:t>
      </w:r>
      <w:r w:rsidRPr="008E72C1">
        <w:t>eplacement with an Edwards Sapien 3 Valve</w:t>
      </w:r>
      <w:r w:rsidR="00421819" w:rsidRPr="008E72C1">
        <w:t>’,</w:t>
      </w:r>
      <w:r w:rsidRPr="008E72C1">
        <w:t xml:space="preserve"> </w:t>
      </w:r>
      <w:r w:rsidRPr="008E72C1">
        <w:rPr>
          <w:i/>
          <w:iCs/>
        </w:rPr>
        <w:t>Tex Heart Inst J</w:t>
      </w:r>
      <w:r w:rsidR="00421819" w:rsidRPr="008E72C1">
        <w:t>,</w:t>
      </w:r>
      <w:r w:rsidRPr="008E72C1">
        <w:t xml:space="preserve"> 44(3):209-213</w:t>
      </w:r>
      <w:r w:rsidR="00421819" w:rsidRPr="008E72C1">
        <w:t>,</w:t>
      </w:r>
      <w:r w:rsidRPr="008E72C1">
        <w:t xml:space="preserve"> doi: 10.14503/THIJ-15-5639.</w:t>
      </w:r>
    </w:p>
    <w:p w14:paraId="2138170E" w14:textId="68BAF69D" w:rsidR="00492156" w:rsidRPr="008E72C1" w:rsidRDefault="00492156" w:rsidP="008C142B">
      <w:r w:rsidRPr="008E72C1">
        <w:t>Messika-Zeitoun D, Verta P, Gregson J, Pocock SJ, Boero I, Feldman TE, Abraham WT, Lindenfeld J, Bax J, Leon M</w:t>
      </w:r>
      <w:r w:rsidR="00745FF6" w:rsidRPr="008E72C1">
        <w:t xml:space="preserve"> and</w:t>
      </w:r>
      <w:r w:rsidRPr="008E72C1">
        <w:t xml:space="preserve"> Enriquez-Sarano M</w:t>
      </w:r>
      <w:r w:rsidR="00745FF6" w:rsidRPr="008E72C1">
        <w:t xml:space="preserve"> (2020)</w:t>
      </w:r>
      <w:r w:rsidRPr="008E72C1">
        <w:t xml:space="preserve"> </w:t>
      </w:r>
      <w:r w:rsidR="00745FF6" w:rsidRPr="008E72C1">
        <w:t>‘</w:t>
      </w:r>
      <w:r w:rsidRPr="008E72C1">
        <w:t>Impact of tricuspid regurgitation on survival in patients with heart failure: a large electronic health record patient-level database analysis</w:t>
      </w:r>
      <w:r w:rsidR="00745FF6" w:rsidRPr="008E72C1">
        <w:t>’,</w:t>
      </w:r>
      <w:r w:rsidRPr="008E72C1">
        <w:t xml:space="preserve"> </w:t>
      </w:r>
      <w:r w:rsidRPr="008E72C1">
        <w:rPr>
          <w:i/>
          <w:iCs/>
        </w:rPr>
        <w:t>Eur J Heart Fail</w:t>
      </w:r>
      <w:r w:rsidR="00745FF6" w:rsidRPr="008E72C1">
        <w:t>,</w:t>
      </w:r>
      <w:r w:rsidRPr="008E72C1">
        <w:t xml:space="preserve"> 22(10):1803-1813</w:t>
      </w:r>
      <w:r w:rsidR="00745FF6" w:rsidRPr="008E72C1">
        <w:t>,</w:t>
      </w:r>
      <w:r w:rsidRPr="008E72C1">
        <w:t xml:space="preserve"> doi: 10.1002/ejhf.1830.</w:t>
      </w:r>
    </w:p>
    <w:p w14:paraId="24812E0B" w14:textId="1E4E3B34" w:rsidR="001754A3" w:rsidRPr="008E72C1" w:rsidRDefault="001754A3" w:rsidP="008C142B">
      <w:r w:rsidRPr="008E72C1">
        <w:t>Mortazavi A, Reul RM, Cannizzaro L</w:t>
      </w:r>
      <w:r w:rsidR="00745FF6" w:rsidRPr="008E72C1">
        <w:t xml:space="preserve"> and</w:t>
      </w:r>
      <w:r w:rsidRPr="008E72C1">
        <w:t xml:space="preserve"> Dougherty KG</w:t>
      </w:r>
      <w:r w:rsidR="00745FF6" w:rsidRPr="008E72C1">
        <w:t xml:space="preserve"> (2014)</w:t>
      </w:r>
      <w:r w:rsidRPr="008E72C1">
        <w:t xml:space="preserve"> </w:t>
      </w:r>
      <w:r w:rsidR="00745FF6" w:rsidRPr="008E72C1">
        <w:t>‘</w:t>
      </w:r>
      <w:r w:rsidRPr="008E72C1">
        <w:t>Transvenous transcatheter valve-in-valve implantation after bioprosthetic tricuspid valve failure</w:t>
      </w:r>
      <w:r w:rsidR="00745FF6" w:rsidRPr="008E72C1">
        <w:t>’,</w:t>
      </w:r>
      <w:r w:rsidRPr="008E72C1">
        <w:t xml:space="preserve"> </w:t>
      </w:r>
      <w:r w:rsidRPr="008E72C1">
        <w:rPr>
          <w:i/>
          <w:iCs/>
        </w:rPr>
        <w:t>Tex Heart Inst J</w:t>
      </w:r>
      <w:r w:rsidR="00745FF6" w:rsidRPr="008E72C1">
        <w:t>,</w:t>
      </w:r>
      <w:r w:rsidRPr="008E72C1">
        <w:t xml:space="preserve"> 41(5):507-10</w:t>
      </w:r>
      <w:r w:rsidR="00745FF6" w:rsidRPr="008E72C1">
        <w:t>,</w:t>
      </w:r>
      <w:r w:rsidRPr="008E72C1">
        <w:t xml:space="preserve"> doi: 10.14503/THIJ-14-4302.</w:t>
      </w:r>
    </w:p>
    <w:p w14:paraId="0AD02475" w14:textId="42FB7B12" w:rsidR="001754A3" w:rsidRPr="008E72C1" w:rsidRDefault="001754A3" w:rsidP="008C142B">
      <w:r w:rsidRPr="008E72C1">
        <w:t>Nagraj S, Goldberg YH, Scotti A, Ho E, Assafin M, Chau M</w:t>
      </w:r>
      <w:r w:rsidR="00745FF6" w:rsidRPr="008E72C1">
        <w:t xml:space="preserve"> and</w:t>
      </w:r>
      <w:r w:rsidRPr="008E72C1">
        <w:t xml:space="preserve"> Latib A</w:t>
      </w:r>
      <w:r w:rsidR="00745FF6" w:rsidRPr="008E72C1">
        <w:t xml:space="preserve"> (2022)</w:t>
      </w:r>
      <w:r w:rsidRPr="008E72C1">
        <w:t xml:space="preserve"> </w:t>
      </w:r>
      <w:r w:rsidR="00745FF6" w:rsidRPr="008E72C1">
        <w:t>‘</w:t>
      </w:r>
      <w:r w:rsidRPr="008E72C1">
        <w:t xml:space="preserve">Transcatheter </w:t>
      </w:r>
      <w:r w:rsidR="00745FF6" w:rsidRPr="008E72C1">
        <w:t>t</w:t>
      </w:r>
      <w:r w:rsidRPr="008E72C1">
        <w:t xml:space="preserve">ricuspid </w:t>
      </w:r>
      <w:r w:rsidR="00745FF6" w:rsidRPr="008E72C1">
        <w:t>v</w:t>
      </w:r>
      <w:r w:rsidRPr="008E72C1">
        <w:t xml:space="preserve">alve </w:t>
      </w:r>
      <w:r w:rsidR="00745FF6" w:rsidRPr="008E72C1">
        <w:t>r</w:t>
      </w:r>
      <w:r w:rsidRPr="008E72C1">
        <w:t xml:space="preserve">eplacement: A </w:t>
      </w:r>
      <w:r w:rsidR="00745FF6" w:rsidRPr="008E72C1">
        <w:t>f</w:t>
      </w:r>
      <w:r w:rsidRPr="008E72C1">
        <w:t xml:space="preserve">easible </w:t>
      </w:r>
      <w:r w:rsidR="00745FF6" w:rsidRPr="008E72C1">
        <w:t>s</w:t>
      </w:r>
      <w:r w:rsidRPr="008E72C1">
        <w:t xml:space="preserve">olution to a </w:t>
      </w:r>
      <w:r w:rsidR="00745FF6" w:rsidRPr="008E72C1">
        <w:t>r</w:t>
      </w:r>
      <w:r w:rsidRPr="008E72C1">
        <w:t xml:space="preserve">eal-world </w:t>
      </w:r>
      <w:r w:rsidR="00745FF6" w:rsidRPr="008E72C1">
        <w:t>p</w:t>
      </w:r>
      <w:r w:rsidRPr="008E72C1">
        <w:t>roblem</w:t>
      </w:r>
      <w:r w:rsidR="00745FF6" w:rsidRPr="008E72C1">
        <w:t>’,</w:t>
      </w:r>
      <w:r w:rsidRPr="008E72C1">
        <w:t xml:space="preserve"> </w:t>
      </w:r>
      <w:r w:rsidRPr="008E72C1">
        <w:rPr>
          <w:i/>
          <w:iCs/>
        </w:rPr>
        <w:t>Rev Cardiovasc Med</w:t>
      </w:r>
      <w:r w:rsidR="00745FF6" w:rsidRPr="008E72C1">
        <w:t>,</w:t>
      </w:r>
      <w:r w:rsidRPr="008E72C1">
        <w:t xml:space="preserve"> 23(5):163</w:t>
      </w:r>
      <w:r w:rsidR="00745FF6" w:rsidRPr="008E72C1">
        <w:t>,</w:t>
      </w:r>
      <w:r w:rsidRPr="008E72C1">
        <w:t xml:space="preserve"> doi: 10.31083/j.rcm2305163.</w:t>
      </w:r>
    </w:p>
    <w:p w14:paraId="5D9857D3" w14:textId="27FD7528" w:rsidR="006A5C2B" w:rsidRPr="008E72C1" w:rsidRDefault="006A5C2B" w:rsidP="008C142B">
      <w:r w:rsidRPr="008E72C1">
        <w:t>Offen S, Playford D, Strange G, Stewart S</w:t>
      </w:r>
      <w:r w:rsidR="00133ADB" w:rsidRPr="008E72C1">
        <w:t xml:space="preserve"> and</w:t>
      </w:r>
      <w:r w:rsidRPr="008E72C1">
        <w:t xml:space="preserve"> Celermajer DS</w:t>
      </w:r>
      <w:r w:rsidR="00133ADB" w:rsidRPr="008E72C1">
        <w:t xml:space="preserve"> (2022)</w:t>
      </w:r>
      <w:r w:rsidRPr="008E72C1">
        <w:t xml:space="preserve"> </w:t>
      </w:r>
      <w:r w:rsidR="00133ADB" w:rsidRPr="008E72C1">
        <w:t>‘</w:t>
      </w:r>
      <w:r w:rsidRPr="008E72C1">
        <w:t xml:space="preserve">Adverse </w:t>
      </w:r>
      <w:r w:rsidR="00133ADB" w:rsidRPr="008E72C1">
        <w:t>p</w:t>
      </w:r>
      <w:r w:rsidRPr="008E72C1">
        <w:t xml:space="preserve">rognostic </w:t>
      </w:r>
      <w:r w:rsidR="00133ADB" w:rsidRPr="008E72C1">
        <w:t>i</w:t>
      </w:r>
      <w:r w:rsidRPr="008E72C1">
        <w:t xml:space="preserve">mpact of </w:t>
      </w:r>
      <w:r w:rsidR="00133ADB" w:rsidRPr="008E72C1">
        <w:t>e</w:t>
      </w:r>
      <w:r w:rsidRPr="008E72C1">
        <w:t xml:space="preserve">ven </w:t>
      </w:r>
      <w:r w:rsidR="00133ADB" w:rsidRPr="008E72C1">
        <w:t>m</w:t>
      </w:r>
      <w:r w:rsidRPr="008E72C1">
        <w:t xml:space="preserve">ild or </w:t>
      </w:r>
      <w:r w:rsidR="00133ADB" w:rsidRPr="008E72C1">
        <w:t>m</w:t>
      </w:r>
      <w:r w:rsidRPr="008E72C1">
        <w:t xml:space="preserve">oderate </w:t>
      </w:r>
      <w:r w:rsidR="00133ADB" w:rsidRPr="008E72C1">
        <w:t>t</w:t>
      </w:r>
      <w:r w:rsidRPr="008E72C1">
        <w:t xml:space="preserve">ricuspid </w:t>
      </w:r>
      <w:r w:rsidR="00133ADB" w:rsidRPr="008E72C1">
        <w:t>r</w:t>
      </w:r>
      <w:r w:rsidRPr="008E72C1">
        <w:t>egurgitation: Insights from the National Echocardiography Database of Australia</w:t>
      </w:r>
      <w:r w:rsidR="00133ADB" w:rsidRPr="008E72C1">
        <w:t>’,</w:t>
      </w:r>
      <w:r w:rsidRPr="008E72C1">
        <w:t xml:space="preserve"> </w:t>
      </w:r>
      <w:r w:rsidRPr="008E72C1">
        <w:rPr>
          <w:i/>
          <w:iCs/>
        </w:rPr>
        <w:t>J Am Soc Echocardiogr</w:t>
      </w:r>
      <w:r w:rsidR="00733CE8" w:rsidRPr="008E72C1">
        <w:t>,</w:t>
      </w:r>
      <w:r w:rsidRPr="008E72C1">
        <w:t xml:space="preserve"> 35(8):810-817</w:t>
      </w:r>
      <w:r w:rsidR="00733CE8" w:rsidRPr="008E72C1">
        <w:t>,</w:t>
      </w:r>
      <w:r w:rsidRPr="008E72C1">
        <w:t xml:space="preserve"> doi: 10.1016/j.echo.2022.04.003.</w:t>
      </w:r>
    </w:p>
    <w:p w14:paraId="1E951FDD" w14:textId="3D734C23" w:rsidR="0020347F" w:rsidRPr="008E72C1" w:rsidRDefault="0020347F" w:rsidP="008C142B">
      <w:r w:rsidRPr="008E72C1">
        <w:t>Otto CM, Nishimura RA, Bonow RO, Carabello BA, Erwin JP 3rd, Gentile F, Jneid H, Krieger EV, Mack M, McLeod C, O'Gara PT, Rigolin VH, Sundt TM 3rd, Thompson A</w:t>
      </w:r>
      <w:r w:rsidR="00BD333E" w:rsidRPr="008E72C1">
        <w:t xml:space="preserve"> and</w:t>
      </w:r>
      <w:r w:rsidRPr="008E72C1">
        <w:t xml:space="preserve"> Toly C</w:t>
      </w:r>
      <w:r w:rsidR="00BD333E" w:rsidRPr="008E72C1">
        <w:t xml:space="preserve"> (2021)</w:t>
      </w:r>
      <w:r w:rsidRPr="008E72C1">
        <w:t xml:space="preserve"> </w:t>
      </w:r>
      <w:r w:rsidR="00BD333E" w:rsidRPr="008E72C1">
        <w:t>‘</w:t>
      </w:r>
      <w:r w:rsidRPr="008E72C1">
        <w:t xml:space="preserve">2020 ACC/AHA Guideline for the </w:t>
      </w:r>
      <w:r w:rsidR="00BD333E" w:rsidRPr="008E72C1">
        <w:t>m</w:t>
      </w:r>
      <w:r w:rsidRPr="008E72C1">
        <w:t xml:space="preserve">anagement of </w:t>
      </w:r>
      <w:r w:rsidR="00BD333E" w:rsidRPr="008E72C1">
        <w:t>p</w:t>
      </w:r>
      <w:r w:rsidRPr="008E72C1">
        <w:t xml:space="preserve">atients </w:t>
      </w:r>
      <w:r w:rsidR="00BD333E" w:rsidRPr="008E72C1">
        <w:t>w</w:t>
      </w:r>
      <w:r w:rsidRPr="008E72C1">
        <w:t xml:space="preserve">ith </w:t>
      </w:r>
      <w:r w:rsidR="00BD333E" w:rsidRPr="008E72C1">
        <w:t>v</w:t>
      </w:r>
      <w:r w:rsidRPr="008E72C1">
        <w:t xml:space="preserve">alvular </w:t>
      </w:r>
      <w:r w:rsidR="00BD333E" w:rsidRPr="008E72C1">
        <w:t>h</w:t>
      </w:r>
      <w:r w:rsidRPr="008E72C1">
        <w:t xml:space="preserve">eart </w:t>
      </w:r>
      <w:r w:rsidR="00BD333E" w:rsidRPr="008E72C1">
        <w:t>d</w:t>
      </w:r>
      <w:r w:rsidRPr="008E72C1">
        <w:t xml:space="preserve">isease: Executive Summary: A </w:t>
      </w:r>
      <w:r w:rsidR="00BD333E" w:rsidRPr="008E72C1">
        <w:t>r</w:t>
      </w:r>
      <w:r w:rsidRPr="008E72C1">
        <w:t>eport of the American College of Cardiology/American Heart Association Joint Committee on Clinical Practice Guidelines</w:t>
      </w:r>
      <w:r w:rsidR="00BD333E" w:rsidRPr="008E72C1">
        <w:t>’,</w:t>
      </w:r>
      <w:r w:rsidRPr="008E72C1">
        <w:t xml:space="preserve"> </w:t>
      </w:r>
      <w:r w:rsidRPr="008E72C1">
        <w:rPr>
          <w:i/>
          <w:iCs/>
        </w:rPr>
        <w:t>Circulation</w:t>
      </w:r>
      <w:r w:rsidR="00C843EE" w:rsidRPr="008E72C1">
        <w:t>,</w:t>
      </w:r>
      <w:r w:rsidRPr="008E72C1">
        <w:t xml:space="preserve"> 143(5):e35-e71. doi: 10.1161/CIR.0000000000000932. Erratum in: </w:t>
      </w:r>
      <w:r w:rsidR="006C2FF2" w:rsidRPr="008E72C1">
        <w:t xml:space="preserve">(2021) </w:t>
      </w:r>
      <w:r w:rsidRPr="008E72C1">
        <w:rPr>
          <w:i/>
          <w:iCs/>
        </w:rPr>
        <w:t>Circulation</w:t>
      </w:r>
      <w:r w:rsidR="00C843EE" w:rsidRPr="008E72C1">
        <w:t>,</w:t>
      </w:r>
      <w:r w:rsidRPr="008E72C1">
        <w:t xml:space="preserve"> 143(5):e228</w:t>
      </w:r>
      <w:r w:rsidR="00C843EE" w:rsidRPr="008E72C1">
        <w:t>,</w:t>
      </w:r>
      <w:r w:rsidRPr="008E72C1">
        <w:t xml:space="preserve"> doi: 10.1161/CIR.0000000000000960. Erratum in: </w:t>
      </w:r>
      <w:r w:rsidR="006C2FF2" w:rsidRPr="008E72C1">
        <w:t xml:space="preserve">(2021) </w:t>
      </w:r>
      <w:r w:rsidRPr="008E72C1">
        <w:rPr>
          <w:i/>
          <w:iCs/>
        </w:rPr>
        <w:t>Circulation</w:t>
      </w:r>
      <w:r w:rsidR="006C2FF2" w:rsidRPr="008E72C1">
        <w:t>,</w:t>
      </w:r>
      <w:r w:rsidRPr="008E72C1">
        <w:t xml:space="preserve"> 143(10):e784</w:t>
      </w:r>
      <w:r w:rsidR="006C2FF2" w:rsidRPr="008E72C1">
        <w:t>,</w:t>
      </w:r>
      <w:r w:rsidRPr="008E72C1">
        <w:t xml:space="preserve"> doi: 10.1161/CIR.0000000000000966.</w:t>
      </w:r>
    </w:p>
    <w:p w14:paraId="6E13426A" w14:textId="2CC005B8" w:rsidR="001754A3" w:rsidRPr="008E72C1" w:rsidRDefault="001754A3" w:rsidP="008C142B">
      <w:r w:rsidRPr="008E72C1">
        <w:t>Rahgozar K, Bruoha S, Ho E, Goldberg Y, Chau M</w:t>
      </w:r>
      <w:r w:rsidR="009E7CE9" w:rsidRPr="008E72C1">
        <w:t xml:space="preserve"> and</w:t>
      </w:r>
      <w:r w:rsidRPr="008E72C1">
        <w:t xml:space="preserve"> Latib A</w:t>
      </w:r>
      <w:r w:rsidR="009E7CE9" w:rsidRPr="008E72C1">
        <w:t xml:space="preserve"> (2021)</w:t>
      </w:r>
      <w:r w:rsidRPr="008E72C1">
        <w:t xml:space="preserve"> </w:t>
      </w:r>
      <w:r w:rsidR="00457B21" w:rsidRPr="008E72C1">
        <w:t>‘</w:t>
      </w:r>
      <w:r w:rsidRPr="008E72C1">
        <w:t xml:space="preserve">Rediscovered and </w:t>
      </w:r>
      <w:r w:rsidR="00457B21" w:rsidRPr="008E72C1">
        <w:t>u</w:t>
      </w:r>
      <w:r w:rsidRPr="008E72C1">
        <w:t xml:space="preserve">nforgotten: Transcatheter </w:t>
      </w:r>
      <w:r w:rsidR="001F4D4D" w:rsidRPr="008E72C1">
        <w:t>i</w:t>
      </w:r>
      <w:r w:rsidRPr="008E72C1">
        <w:t xml:space="preserve">nterventions for the </w:t>
      </w:r>
      <w:r w:rsidR="001F4D4D" w:rsidRPr="008E72C1">
        <w:t>t</w:t>
      </w:r>
      <w:r w:rsidRPr="008E72C1">
        <w:t xml:space="preserve">reatment of </w:t>
      </w:r>
      <w:r w:rsidR="001F4D4D" w:rsidRPr="008E72C1">
        <w:t>s</w:t>
      </w:r>
      <w:r w:rsidRPr="008E72C1">
        <w:t xml:space="preserve">evere </w:t>
      </w:r>
      <w:r w:rsidR="001F4D4D" w:rsidRPr="008E72C1">
        <w:t>t</w:t>
      </w:r>
      <w:r w:rsidRPr="008E72C1">
        <w:t xml:space="preserve">ricuspid </w:t>
      </w:r>
      <w:r w:rsidR="001F4D4D" w:rsidRPr="008E72C1">
        <w:t>v</w:t>
      </w:r>
      <w:r w:rsidRPr="008E72C1">
        <w:t xml:space="preserve">alve </w:t>
      </w:r>
      <w:r w:rsidR="001F4D4D" w:rsidRPr="008E72C1">
        <w:t>r</w:t>
      </w:r>
      <w:r w:rsidRPr="008E72C1">
        <w:t>egurgitation</w:t>
      </w:r>
      <w:r w:rsidR="001F4D4D" w:rsidRPr="008E72C1">
        <w:t>’,</w:t>
      </w:r>
      <w:r w:rsidRPr="008E72C1">
        <w:t xml:space="preserve"> </w:t>
      </w:r>
      <w:r w:rsidRPr="008E72C1">
        <w:rPr>
          <w:i/>
          <w:iCs/>
        </w:rPr>
        <w:t>US Cardiol</w:t>
      </w:r>
      <w:r w:rsidR="00733CE8" w:rsidRPr="008E72C1">
        <w:t>,</w:t>
      </w:r>
      <w:r w:rsidRPr="008E72C1">
        <w:t xml:space="preserve"> 15:e22</w:t>
      </w:r>
      <w:r w:rsidR="00733CE8" w:rsidRPr="008E72C1">
        <w:t>,</w:t>
      </w:r>
      <w:r w:rsidRPr="008E72C1">
        <w:t xml:space="preserve"> doi: 10.15420/usc.2021.06.</w:t>
      </w:r>
    </w:p>
    <w:p w14:paraId="73E7D943" w14:textId="609EF673" w:rsidR="001754A3" w:rsidRPr="008E72C1" w:rsidRDefault="001754A3" w:rsidP="008C142B">
      <w:r w:rsidRPr="008E72C1">
        <w:lastRenderedPageBreak/>
        <w:t>Schaefer A, Conradi L, Seiffert M, Lubos E, Blankenberg S, Reichenspurner H, Schaefer U</w:t>
      </w:r>
      <w:r w:rsidR="006D6590" w:rsidRPr="008E72C1">
        <w:t xml:space="preserve"> and</w:t>
      </w:r>
      <w:r w:rsidRPr="008E72C1">
        <w:t xml:space="preserve"> Treede H</w:t>
      </w:r>
      <w:r w:rsidR="006D6590" w:rsidRPr="008E72C1">
        <w:t xml:space="preserve"> (2016) ‘</w:t>
      </w:r>
      <w:r w:rsidRPr="008E72C1">
        <w:t>Valve-in-</w:t>
      </w:r>
      <w:r w:rsidR="006D6590" w:rsidRPr="008E72C1">
        <w:t>v</w:t>
      </w:r>
      <w:r w:rsidRPr="008E72C1">
        <w:t xml:space="preserve">alve </w:t>
      </w:r>
      <w:r w:rsidR="006D6590" w:rsidRPr="008E72C1">
        <w:t>p</w:t>
      </w:r>
      <w:r w:rsidRPr="008E72C1">
        <w:t xml:space="preserve">rocedures in </w:t>
      </w:r>
      <w:r w:rsidR="006D6590" w:rsidRPr="008E72C1">
        <w:t>f</w:t>
      </w:r>
      <w:r w:rsidRPr="008E72C1">
        <w:t xml:space="preserve">ailing </w:t>
      </w:r>
      <w:r w:rsidR="006D6590" w:rsidRPr="008E72C1">
        <w:t>b</w:t>
      </w:r>
      <w:r w:rsidRPr="008E72C1">
        <w:t xml:space="preserve">iological </w:t>
      </w:r>
      <w:r w:rsidR="006D6590" w:rsidRPr="008E72C1">
        <w:t>x</w:t>
      </w:r>
      <w:r w:rsidRPr="008E72C1">
        <w:t xml:space="preserve">enografts </w:t>
      </w:r>
      <w:r w:rsidR="006D6590" w:rsidRPr="008E72C1">
        <w:t>u</w:t>
      </w:r>
      <w:r w:rsidRPr="008E72C1">
        <w:t xml:space="preserve">sing a </w:t>
      </w:r>
      <w:r w:rsidR="006D6590" w:rsidRPr="008E72C1">
        <w:t>n</w:t>
      </w:r>
      <w:r w:rsidRPr="008E72C1">
        <w:t xml:space="preserve">ovel </w:t>
      </w:r>
      <w:r w:rsidR="006D6590" w:rsidRPr="008E72C1">
        <w:t>b</w:t>
      </w:r>
      <w:r w:rsidRPr="008E72C1">
        <w:t>alloon-</w:t>
      </w:r>
      <w:r w:rsidR="006D6590" w:rsidRPr="008E72C1">
        <w:t>e</w:t>
      </w:r>
      <w:r w:rsidRPr="008E72C1">
        <w:t xml:space="preserve">xpandable </w:t>
      </w:r>
      <w:r w:rsidR="006D6590" w:rsidRPr="008E72C1">
        <w:t>d</w:t>
      </w:r>
      <w:r w:rsidRPr="008E72C1">
        <w:t xml:space="preserve">evice: Experience in </w:t>
      </w:r>
      <w:r w:rsidR="006D6590" w:rsidRPr="008E72C1">
        <w:t>a</w:t>
      </w:r>
      <w:r w:rsidRPr="008E72C1">
        <w:t xml:space="preserve">ortic, </w:t>
      </w:r>
      <w:r w:rsidR="006D6590" w:rsidRPr="008E72C1">
        <w:t>m</w:t>
      </w:r>
      <w:r w:rsidRPr="008E72C1">
        <w:t xml:space="preserve">itral, and </w:t>
      </w:r>
      <w:r w:rsidR="006D6590" w:rsidRPr="008E72C1">
        <w:t>t</w:t>
      </w:r>
      <w:r w:rsidRPr="008E72C1">
        <w:t xml:space="preserve">ricuspid </w:t>
      </w:r>
      <w:r w:rsidR="006D6590" w:rsidRPr="008E72C1">
        <w:t>p</w:t>
      </w:r>
      <w:r w:rsidRPr="008E72C1">
        <w:t>ositions</w:t>
      </w:r>
      <w:r w:rsidR="006D6590" w:rsidRPr="008E72C1">
        <w:t>’,</w:t>
      </w:r>
      <w:r w:rsidRPr="008E72C1">
        <w:t xml:space="preserve"> </w:t>
      </w:r>
      <w:r w:rsidRPr="008E72C1">
        <w:rPr>
          <w:i/>
          <w:iCs/>
        </w:rPr>
        <w:t>Thorac Cardiovasc Surg</w:t>
      </w:r>
      <w:r w:rsidR="006D6590" w:rsidRPr="008E72C1">
        <w:t>,</w:t>
      </w:r>
      <w:r w:rsidRPr="008E72C1">
        <w:t xml:space="preserve"> 64(5):366-73</w:t>
      </w:r>
      <w:r w:rsidR="006D6590" w:rsidRPr="008E72C1">
        <w:t>,</w:t>
      </w:r>
      <w:r w:rsidRPr="008E72C1">
        <w:t xml:space="preserve"> doi: 10.1055/s-0035-1558647.</w:t>
      </w:r>
    </w:p>
    <w:p w14:paraId="7E8BA576" w14:textId="3234EB02" w:rsidR="00DF3A19" w:rsidRPr="008E72C1" w:rsidRDefault="00DF3A19" w:rsidP="00DF3A19">
      <w:r w:rsidRPr="008E72C1">
        <w:t xml:space="preserve">Scott </w:t>
      </w:r>
      <w:r w:rsidR="006D6590" w:rsidRPr="008E72C1">
        <w:t>A</w:t>
      </w:r>
      <w:r w:rsidRPr="008E72C1">
        <w:t>, Kern J and Vreugdenburg T</w:t>
      </w:r>
      <w:r w:rsidR="006D6590" w:rsidRPr="008E72C1">
        <w:t xml:space="preserve"> (2024)</w:t>
      </w:r>
      <w:r w:rsidRPr="008E72C1">
        <w:t xml:space="preserve"> </w:t>
      </w:r>
      <w:r w:rsidRPr="008E72C1">
        <w:rPr>
          <w:i/>
          <w:iCs/>
        </w:rPr>
        <w:t>Caval valve implantation for severe tricuspid regurgitation</w:t>
      </w:r>
      <w:r w:rsidR="00F5149A" w:rsidRPr="008E72C1">
        <w:t>,</w:t>
      </w:r>
      <w:r w:rsidRPr="008E72C1">
        <w:t xml:space="preserve"> AIHTA Decision Support Documents No. 139</w:t>
      </w:r>
      <w:r w:rsidR="000E42D0" w:rsidRPr="008E72C1">
        <w:t>,</w:t>
      </w:r>
      <w:r w:rsidRPr="008E72C1">
        <w:t xml:space="preserve"> Vienna: Austrian Institute for Health Technology Assessment GmbH.</w:t>
      </w:r>
    </w:p>
    <w:p w14:paraId="7C0811C0" w14:textId="6C492B7E" w:rsidR="004A3BDD" w:rsidRPr="008E72C1" w:rsidRDefault="004A3BDD" w:rsidP="008C142B">
      <w:r w:rsidRPr="008E72C1">
        <w:t>Seligman H, Vora AN, Haroian NQ, Puri R, Heng EL, Smith RD, Latib A, Makkar R, Sorajja P, Leon MB</w:t>
      </w:r>
      <w:r w:rsidR="000E42D0" w:rsidRPr="008E72C1">
        <w:t xml:space="preserve"> and</w:t>
      </w:r>
      <w:r w:rsidRPr="008E72C1">
        <w:t xml:space="preserve"> Ahmad Y</w:t>
      </w:r>
      <w:r w:rsidR="000E42D0" w:rsidRPr="008E72C1">
        <w:t xml:space="preserve"> (2023)</w:t>
      </w:r>
      <w:r w:rsidRPr="008E72C1">
        <w:t xml:space="preserve"> </w:t>
      </w:r>
      <w:r w:rsidR="000E42D0" w:rsidRPr="008E72C1">
        <w:t>‘</w:t>
      </w:r>
      <w:r w:rsidRPr="008E72C1">
        <w:t xml:space="preserve">The </w:t>
      </w:r>
      <w:r w:rsidR="000E42D0" w:rsidRPr="008E72C1">
        <w:t>c</w:t>
      </w:r>
      <w:r w:rsidRPr="008E72C1">
        <w:t xml:space="preserve">urrent </w:t>
      </w:r>
      <w:r w:rsidR="000E42D0" w:rsidRPr="008E72C1">
        <w:t>l</w:t>
      </w:r>
      <w:r w:rsidRPr="008E72C1">
        <w:t xml:space="preserve">andscape of </w:t>
      </w:r>
      <w:r w:rsidR="000E42D0" w:rsidRPr="008E72C1">
        <w:t>t</w:t>
      </w:r>
      <w:r w:rsidRPr="008E72C1">
        <w:t xml:space="preserve">ranscatheter </w:t>
      </w:r>
      <w:r w:rsidR="000E42D0" w:rsidRPr="008E72C1">
        <w:t>t</w:t>
      </w:r>
      <w:r w:rsidRPr="008E72C1">
        <w:t xml:space="preserve">ricuspid </w:t>
      </w:r>
      <w:r w:rsidR="000E42D0" w:rsidRPr="008E72C1">
        <w:t>v</w:t>
      </w:r>
      <w:r w:rsidRPr="008E72C1">
        <w:t xml:space="preserve">alve </w:t>
      </w:r>
      <w:r w:rsidR="000E42D0" w:rsidRPr="008E72C1">
        <w:t>i</w:t>
      </w:r>
      <w:r w:rsidRPr="008E72C1">
        <w:t>ntervention</w:t>
      </w:r>
      <w:r w:rsidR="000E42D0" w:rsidRPr="008E72C1">
        <w:t>’,</w:t>
      </w:r>
      <w:r w:rsidRPr="008E72C1">
        <w:t xml:space="preserve"> </w:t>
      </w:r>
      <w:r w:rsidRPr="008E72C1">
        <w:rPr>
          <w:i/>
          <w:iCs/>
        </w:rPr>
        <w:t>J Soc Cardiovasc Angiogr Interv</w:t>
      </w:r>
      <w:r w:rsidR="0017160D" w:rsidRPr="008E72C1">
        <w:t>,</w:t>
      </w:r>
      <w:r w:rsidRPr="008E72C1">
        <w:t xml:space="preserve"> 2(6Part B):101201</w:t>
      </w:r>
      <w:r w:rsidR="0017160D" w:rsidRPr="008E72C1">
        <w:t>,</w:t>
      </w:r>
      <w:r w:rsidRPr="008E72C1">
        <w:t xml:space="preserve"> doi: 10.1016/j.jscai.2023.101201.</w:t>
      </w:r>
    </w:p>
    <w:p w14:paraId="2086C9D1" w14:textId="477ECF7D" w:rsidR="001754A3" w:rsidRPr="008E72C1" w:rsidRDefault="001754A3" w:rsidP="008C142B">
      <w:r w:rsidRPr="008E72C1">
        <w:t>Stolz L, Weckbach LT, Hahn RT, Chatfield AG, Fam NP, von Bardeleben RS, Davidson CJ, Grayburn PA, Zahr F</w:t>
      </w:r>
      <w:r w:rsidR="0017160D" w:rsidRPr="008E72C1">
        <w:t xml:space="preserve"> and</w:t>
      </w:r>
      <w:r w:rsidRPr="008E72C1">
        <w:t xml:space="preserve"> Hausleiter J (2023) </w:t>
      </w:r>
      <w:r w:rsidR="0017160D" w:rsidRPr="008E72C1">
        <w:t>‘</w:t>
      </w:r>
      <w:r w:rsidRPr="008E72C1">
        <w:t>2-year outcomes following transcatheter tricuspid valve replacement using the EVOQUE System</w:t>
      </w:r>
      <w:r w:rsidR="0017160D" w:rsidRPr="008E72C1">
        <w:t>’,</w:t>
      </w:r>
      <w:r w:rsidRPr="008E72C1">
        <w:t xml:space="preserve"> </w:t>
      </w:r>
      <w:r w:rsidRPr="008E72C1">
        <w:rPr>
          <w:i/>
          <w:iCs/>
        </w:rPr>
        <w:t>J Am Coll Cardiol</w:t>
      </w:r>
      <w:r w:rsidR="0017160D" w:rsidRPr="008E72C1">
        <w:t xml:space="preserve">, </w:t>
      </w:r>
      <w:r w:rsidRPr="008E72C1">
        <w:t>81(24):2374-2376</w:t>
      </w:r>
      <w:r w:rsidR="0017160D" w:rsidRPr="008E72C1">
        <w:t>,</w:t>
      </w:r>
      <w:r w:rsidRPr="008E72C1">
        <w:t xml:space="preserve"> doi: 10.1016/j.jacc.2023.04.014.</w:t>
      </w:r>
    </w:p>
    <w:p w14:paraId="05C30C48" w14:textId="63CE8BAF" w:rsidR="00480E85" w:rsidRPr="008E72C1" w:rsidRDefault="00480E85" w:rsidP="008C142B">
      <w:r w:rsidRPr="008E72C1">
        <w:t>Vahanian A, Beyersdorf F, Praz F, Milojevic M, Baldus S, Bauersachs J, Capodanno D, Conradi L, De Bonis M, De Paulis R, Delgado V, Freemantle N, Gilard M, Haugaa KH, Jeppsson A, Jüni P, Pierard L, Prendergast BD, Sádaba JR, Tribouilloy C, Wojakowski W; ESC/EACTS Scientific Document Group</w:t>
      </w:r>
      <w:r w:rsidR="0017160D" w:rsidRPr="008E72C1">
        <w:t xml:space="preserve"> (2022)</w:t>
      </w:r>
      <w:r w:rsidRPr="008E72C1">
        <w:t xml:space="preserve"> </w:t>
      </w:r>
      <w:r w:rsidR="0017160D" w:rsidRPr="008E72C1">
        <w:t>‘</w:t>
      </w:r>
      <w:r w:rsidRPr="008E72C1">
        <w:t>2021 ESC/EACTS Guidelines for the management of valvular heart disease</w:t>
      </w:r>
      <w:r w:rsidR="0017160D" w:rsidRPr="008E72C1">
        <w:t>’,</w:t>
      </w:r>
      <w:r w:rsidRPr="008E72C1">
        <w:t xml:space="preserve"> </w:t>
      </w:r>
      <w:r w:rsidRPr="008E72C1">
        <w:rPr>
          <w:i/>
          <w:iCs/>
        </w:rPr>
        <w:t>Eur Heart J</w:t>
      </w:r>
      <w:r w:rsidR="0017160D" w:rsidRPr="008E72C1">
        <w:t>,</w:t>
      </w:r>
      <w:r w:rsidRPr="008E72C1">
        <w:t xml:space="preserve"> 43(7):561-632</w:t>
      </w:r>
      <w:r w:rsidR="0017160D" w:rsidRPr="008E72C1">
        <w:t>,</w:t>
      </w:r>
      <w:r w:rsidRPr="008E72C1">
        <w:t xml:space="preserve"> doi: 10.1093/eurheartj/ehab395. Erratum in: </w:t>
      </w:r>
      <w:r w:rsidR="0017160D" w:rsidRPr="008E72C1">
        <w:t xml:space="preserve">(2022) </w:t>
      </w:r>
      <w:r w:rsidRPr="008E72C1">
        <w:rPr>
          <w:i/>
          <w:iCs/>
        </w:rPr>
        <w:t>Eur Heart J</w:t>
      </w:r>
      <w:r w:rsidR="00AF4F67" w:rsidRPr="008E72C1">
        <w:t xml:space="preserve">, </w:t>
      </w:r>
      <w:r w:rsidRPr="008E72C1">
        <w:t>43(21):2022</w:t>
      </w:r>
      <w:r w:rsidR="00AF4F67" w:rsidRPr="008E72C1">
        <w:t xml:space="preserve">, </w:t>
      </w:r>
      <w:r w:rsidRPr="008E72C1">
        <w:t>doi: 10.1093/eurheartj/ehac051.</w:t>
      </w:r>
    </w:p>
    <w:p w14:paraId="4E88BA78" w14:textId="63C59F1C" w:rsidR="00D1734B" w:rsidRPr="008E72C1" w:rsidRDefault="00D1734B" w:rsidP="008C142B">
      <w:r w:rsidRPr="008E72C1">
        <w:t>Webb JG, Chuang AM, Meier D, von Bardeleben RS, Kodali SK, Smith RL, Hausleiter J, Ong G, Boone R, Ruf T, George I, Szerlip M, Näbauer M, Ali FM, Moss R, Kreidel F, Bapat V, Schnitzler K, Ye J, Wild M, Akodad M, Deva DP, Chatfield AG, Mack MJ, Grayburn PA, Peterson MD, Makkar R, Leon MB, Hahn RT</w:t>
      </w:r>
      <w:r w:rsidR="00AF4F67" w:rsidRPr="008E72C1">
        <w:t xml:space="preserve"> and</w:t>
      </w:r>
      <w:r w:rsidRPr="008E72C1">
        <w:t xml:space="preserve"> Fam NP</w:t>
      </w:r>
      <w:r w:rsidR="00AF4F67" w:rsidRPr="008E72C1">
        <w:t xml:space="preserve"> (2022)</w:t>
      </w:r>
      <w:r w:rsidRPr="008E72C1">
        <w:t xml:space="preserve"> </w:t>
      </w:r>
      <w:r w:rsidR="00AF4F67" w:rsidRPr="008E72C1">
        <w:t>‘</w:t>
      </w:r>
      <w:r w:rsidRPr="008E72C1">
        <w:t xml:space="preserve">Transcatheter </w:t>
      </w:r>
      <w:r w:rsidR="00AF4F67" w:rsidRPr="008E72C1">
        <w:t>t</w:t>
      </w:r>
      <w:r w:rsidRPr="008E72C1">
        <w:t xml:space="preserve">ricuspid </w:t>
      </w:r>
      <w:r w:rsidR="00AF4F67" w:rsidRPr="008E72C1">
        <w:t>v</w:t>
      </w:r>
      <w:r w:rsidRPr="008E72C1">
        <w:t xml:space="preserve">alve </w:t>
      </w:r>
      <w:r w:rsidR="00AF4F67" w:rsidRPr="008E72C1">
        <w:t>r</w:t>
      </w:r>
      <w:r w:rsidRPr="008E72C1">
        <w:t xml:space="preserve">eplacement </w:t>
      </w:r>
      <w:r w:rsidR="00AF4F67" w:rsidRPr="008E72C1">
        <w:t>w</w:t>
      </w:r>
      <w:r w:rsidRPr="008E72C1">
        <w:t>ith the EVOQUE System: 1-</w:t>
      </w:r>
      <w:r w:rsidR="00AF4F67" w:rsidRPr="008E72C1">
        <w:t>y</w:t>
      </w:r>
      <w:r w:rsidRPr="008E72C1">
        <w:t xml:space="preserve">ear </w:t>
      </w:r>
      <w:r w:rsidR="00AF4F67" w:rsidRPr="008E72C1">
        <w:t>o</w:t>
      </w:r>
      <w:r w:rsidRPr="008E72C1">
        <w:t xml:space="preserve">utcomes of a </w:t>
      </w:r>
      <w:r w:rsidR="00AF4F67" w:rsidRPr="008E72C1">
        <w:t>m</w:t>
      </w:r>
      <w:r w:rsidRPr="008E72C1">
        <w:t xml:space="preserve">ulticenter, </w:t>
      </w:r>
      <w:r w:rsidR="00AF4F67" w:rsidRPr="008E72C1">
        <w:t>f</w:t>
      </w:r>
      <w:r w:rsidRPr="008E72C1">
        <w:t>irst-in-</w:t>
      </w:r>
      <w:r w:rsidR="00AF4F67" w:rsidRPr="008E72C1">
        <w:t>h</w:t>
      </w:r>
      <w:r w:rsidRPr="008E72C1">
        <w:t xml:space="preserve">uman </w:t>
      </w:r>
      <w:r w:rsidR="00AF4F67" w:rsidRPr="008E72C1">
        <w:t>e</w:t>
      </w:r>
      <w:r w:rsidRPr="008E72C1">
        <w:t>xperience</w:t>
      </w:r>
      <w:r w:rsidR="00AF4F67" w:rsidRPr="008E72C1">
        <w:t>’,</w:t>
      </w:r>
      <w:r w:rsidRPr="008E72C1">
        <w:t xml:space="preserve"> </w:t>
      </w:r>
      <w:r w:rsidRPr="008E72C1">
        <w:rPr>
          <w:i/>
          <w:iCs/>
        </w:rPr>
        <w:t>JACC Cardiovasc Interv</w:t>
      </w:r>
      <w:r w:rsidR="00AF4F67" w:rsidRPr="008E72C1">
        <w:t>,</w:t>
      </w:r>
      <w:r w:rsidRPr="008E72C1">
        <w:t xml:space="preserve"> 15(5):481-491</w:t>
      </w:r>
      <w:r w:rsidR="00AF4F67" w:rsidRPr="008E72C1">
        <w:t>,</w:t>
      </w:r>
      <w:r w:rsidRPr="008E72C1">
        <w:t xml:space="preserve"> doi: 10.1016/j.jcin.2022.01.280.</w:t>
      </w:r>
    </w:p>
    <w:p w14:paraId="0FD2CBEE" w14:textId="5DBE4241" w:rsidR="005E0A38" w:rsidRDefault="00001FB4" w:rsidP="008C142B">
      <w:r w:rsidRPr="008E72C1">
        <w:t>Zoghbi WA, Adams D, Bonow RO, Enriquez-Sarano M, Foster E, Grayburn PA, Hahn RT, Han Y, Hung J, Lang RM, Little SH, Shah DJ, Shernan S, Thavendiranathan P, Thomas JD</w:t>
      </w:r>
      <w:r w:rsidR="00AF4F67" w:rsidRPr="008E72C1">
        <w:t xml:space="preserve"> and</w:t>
      </w:r>
      <w:r w:rsidRPr="008E72C1">
        <w:t xml:space="preserve"> Weissman NJ</w:t>
      </w:r>
      <w:r w:rsidR="00AF4F67" w:rsidRPr="008E72C1">
        <w:t xml:space="preserve"> (2017)</w:t>
      </w:r>
      <w:r w:rsidRPr="008E72C1">
        <w:t xml:space="preserve"> </w:t>
      </w:r>
      <w:r w:rsidR="005542A5" w:rsidRPr="008E72C1">
        <w:t>‘</w:t>
      </w:r>
      <w:r w:rsidRPr="008E72C1">
        <w:t xml:space="preserve">Recommendations for </w:t>
      </w:r>
      <w:r w:rsidR="005542A5" w:rsidRPr="008E72C1">
        <w:t>n</w:t>
      </w:r>
      <w:r w:rsidRPr="008E72C1">
        <w:t xml:space="preserve">oninvasive </w:t>
      </w:r>
      <w:r w:rsidR="005542A5" w:rsidRPr="008E72C1">
        <w:t>e</w:t>
      </w:r>
      <w:r w:rsidRPr="008E72C1">
        <w:t xml:space="preserve">valuation of </w:t>
      </w:r>
      <w:r w:rsidR="005542A5" w:rsidRPr="008E72C1">
        <w:t>n</w:t>
      </w:r>
      <w:r w:rsidRPr="008E72C1">
        <w:t xml:space="preserve">ative </w:t>
      </w:r>
      <w:r w:rsidR="005542A5" w:rsidRPr="008E72C1">
        <w:t>v</w:t>
      </w:r>
      <w:r w:rsidRPr="008E72C1">
        <w:t xml:space="preserve">alvular </w:t>
      </w:r>
      <w:r w:rsidR="005542A5" w:rsidRPr="008E72C1">
        <w:t>r</w:t>
      </w:r>
      <w:r w:rsidRPr="008E72C1">
        <w:t xml:space="preserve">egurgitation: A </w:t>
      </w:r>
      <w:r w:rsidR="005542A5" w:rsidRPr="008E72C1">
        <w:t>r</w:t>
      </w:r>
      <w:r w:rsidRPr="008E72C1">
        <w:t xml:space="preserve">eport from the American Society of Echocardiography </w:t>
      </w:r>
      <w:r w:rsidR="005542A5" w:rsidRPr="008E72C1">
        <w:t>d</w:t>
      </w:r>
      <w:r w:rsidRPr="008E72C1">
        <w:t xml:space="preserve">eveloped in </w:t>
      </w:r>
      <w:r w:rsidR="005542A5" w:rsidRPr="008E72C1">
        <w:t>c</w:t>
      </w:r>
      <w:r w:rsidRPr="008E72C1">
        <w:t>ollaboration with the Society for Cardiovascular Magnetic Resonance</w:t>
      </w:r>
      <w:r w:rsidR="005542A5" w:rsidRPr="008E72C1">
        <w:t>’,</w:t>
      </w:r>
      <w:r w:rsidRPr="008E72C1">
        <w:t xml:space="preserve"> </w:t>
      </w:r>
      <w:r w:rsidRPr="008E72C1">
        <w:rPr>
          <w:i/>
          <w:iCs/>
        </w:rPr>
        <w:t>J Am Soc Echocardiogr</w:t>
      </w:r>
      <w:r w:rsidR="005542A5" w:rsidRPr="008E72C1">
        <w:t>,</w:t>
      </w:r>
      <w:r w:rsidRPr="008E72C1">
        <w:t xml:space="preserve"> 30(4):303-371</w:t>
      </w:r>
      <w:r w:rsidR="005542A5" w:rsidRPr="008E72C1">
        <w:t>,</w:t>
      </w:r>
      <w:r w:rsidRPr="008E72C1">
        <w:t xml:space="preserve"> doi: 10.1016/j.echo.2017.01.007.</w:t>
      </w:r>
    </w:p>
    <w:p w14:paraId="2E20F700" w14:textId="3121ED6B" w:rsidR="005C4DD1" w:rsidRPr="00E01349" w:rsidRDefault="005C4DD1" w:rsidP="008C142B">
      <w:r w:rsidRPr="005C4DD1">
        <w:t>Zoghbi WA, Jone PN, Chamsi-Pasha MA, Chen T, Collins KA, Desai MY, Grayburn P, Groves DW, Hahn RT, Little SH, Kruse E, Sanborn D, Shah SB, Sugeng L, Swaminathan M, Thaden J, Thavendiranathan P, Tsang W, Weir-McCall JR</w:t>
      </w:r>
      <w:r>
        <w:t xml:space="preserve"> and </w:t>
      </w:r>
      <w:r w:rsidRPr="005C4DD1">
        <w:t>Gill E</w:t>
      </w:r>
      <w:r w:rsidR="003C1EDB">
        <w:t xml:space="preserve"> (2024)</w:t>
      </w:r>
      <w:r w:rsidRPr="005C4DD1">
        <w:t xml:space="preserve"> </w:t>
      </w:r>
      <w:r w:rsidR="003C1EDB">
        <w:t>‘</w:t>
      </w:r>
      <w:r w:rsidRPr="005C4DD1">
        <w:t xml:space="preserve">Guidelines for the </w:t>
      </w:r>
      <w:r w:rsidR="003C1EDB">
        <w:t>e</w:t>
      </w:r>
      <w:r w:rsidRPr="005C4DD1">
        <w:t xml:space="preserve">valuation of </w:t>
      </w:r>
      <w:r w:rsidR="003C1EDB">
        <w:t>p</w:t>
      </w:r>
      <w:r w:rsidRPr="005C4DD1">
        <w:t xml:space="preserve">rosthetic </w:t>
      </w:r>
      <w:r w:rsidR="003C1EDB">
        <w:t>v</w:t>
      </w:r>
      <w:r w:rsidRPr="005C4DD1">
        <w:t xml:space="preserve">alve </w:t>
      </w:r>
      <w:r w:rsidR="003C1EDB">
        <w:t>f</w:t>
      </w:r>
      <w:r w:rsidRPr="005C4DD1">
        <w:t xml:space="preserve">unction </w:t>
      </w:r>
      <w:r w:rsidR="003C1EDB">
        <w:t>w</w:t>
      </w:r>
      <w:r w:rsidRPr="005C4DD1">
        <w:t xml:space="preserve">ith </w:t>
      </w:r>
      <w:r w:rsidR="003C1EDB">
        <w:t>c</w:t>
      </w:r>
      <w:r w:rsidRPr="005C4DD1">
        <w:t xml:space="preserve">ardiovascular </w:t>
      </w:r>
      <w:r w:rsidR="003C1EDB">
        <w:t>i</w:t>
      </w:r>
      <w:r w:rsidRPr="005C4DD1">
        <w:t xml:space="preserve">maging: A </w:t>
      </w:r>
      <w:r w:rsidR="003C1EDB">
        <w:t>r</w:t>
      </w:r>
      <w:r w:rsidRPr="005C4DD1">
        <w:t xml:space="preserve">eport </w:t>
      </w:r>
      <w:r w:rsidR="003C1EDB">
        <w:t>f</w:t>
      </w:r>
      <w:r w:rsidRPr="005C4DD1">
        <w:t xml:space="preserve">rom the American Society of Echocardiography </w:t>
      </w:r>
      <w:r w:rsidR="003C1EDB">
        <w:t>d</w:t>
      </w:r>
      <w:r w:rsidRPr="005C4DD1">
        <w:t xml:space="preserve">eveloped in </w:t>
      </w:r>
      <w:r w:rsidR="003C1EDB">
        <w:t>c</w:t>
      </w:r>
      <w:r w:rsidRPr="005C4DD1">
        <w:t xml:space="preserve">ollaboration </w:t>
      </w:r>
      <w:r w:rsidR="003C1EDB">
        <w:t>w</w:t>
      </w:r>
      <w:r w:rsidRPr="005C4DD1">
        <w:t>ith the Society for Cardiovascular Magnetic Resonance and the Society of Cardiovascular Computed Tomography</w:t>
      </w:r>
      <w:r w:rsidR="003C1EDB">
        <w:t>’,</w:t>
      </w:r>
      <w:r w:rsidRPr="005C4DD1">
        <w:t xml:space="preserve"> </w:t>
      </w:r>
      <w:r w:rsidRPr="003C1EDB">
        <w:rPr>
          <w:i/>
          <w:iCs/>
        </w:rPr>
        <w:t>J Am Soc Echocardiogr</w:t>
      </w:r>
      <w:r w:rsidR="003C1EDB">
        <w:t>,</w:t>
      </w:r>
      <w:r w:rsidRPr="005C4DD1">
        <w:t xml:space="preserve"> 37(1):2-63</w:t>
      </w:r>
      <w:r w:rsidR="003C1EDB">
        <w:t>,</w:t>
      </w:r>
      <w:r w:rsidRPr="005C4DD1">
        <w:t xml:space="preserve"> doi: 10.1016/j.echo.2023.10.004.</w:t>
      </w:r>
    </w:p>
    <w:sectPr w:rsidR="005C4DD1" w:rsidRPr="00E01349" w:rsidSect="00AE6FE0">
      <w:headerReference w:type="default" r:id="rId23"/>
      <w:footerReference w:type="even" r:id="rId24"/>
      <w:footerReference w:type="default" r:id="rId25"/>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4CEEB" w14:textId="77777777" w:rsidR="00FC3F1F" w:rsidRDefault="00FC3F1F" w:rsidP="0016315C">
      <w:pPr>
        <w:spacing w:after="0" w:line="240" w:lineRule="auto"/>
      </w:pPr>
      <w:r>
        <w:separator/>
      </w:r>
    </w:p>
  </w:endnote>
  <w:endnote w:type="continuationSeparator" w:id="0">
    <w:p w14:paraId="4E9BC6BA" w14:textId="77777777" w:rsidR="00FC3F1F" w:rsidRDefault="00FC3F1F" w:rsidP="0016315C">
      <w:pPr>
        <w:spacing w:after="0" w:line="240" w:lineRule="auto"/>
      </w:pPr>
      <w:r>
        <w:continuationSeparator/>
      </w:r>
    </w:p>
  </w:endnote>
  <w:endnote w:type="continuationNotice" w:id="1">
    <w:p w14:paraId="772DC093" w14:textId="77777777" w:rsidR="00FC3F1F" w:rsidRDefault="00FC3F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D3D2" w14:textId="3251E85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A1E02">
      <w:rPr>
        <w:rStyle w:val="PageNumber"/>
        <w:noProof/>
      </w:rPr>
      <w:t>1</w:t>
    </w:r>
    <w:r>
      <w:rPr>
        <w:rStyle w:val="PageNumber"/>
      </w:rPr>
      <w:fldChar w:fldCharType="end"/>
    </w:r>
  </w:p>
  <w:p w14:paraId="74E72C2D" w14:textId="77777777" w:rsidR="00685355" w:rsidRDefault="00685355"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3382827"/>
      <w:docPartObj>
        <w:docPartGallery w:val="Page Numbers (Bottom of Page)"/>
        <w:docPartUnique/>
      </w:docPartObj>
    </w:sdtPr>
    <w:sdtEndPr>
      <w:rPr>
        <w:rStyle w:val="PageNumber"/>
      </w:rPr>
    </w:sdtEndPr>
    <w:sdtContent>
      <w:p w14:paraId="4DE593B1" w14:textId="39D5A86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49654" w14:textId="667D942C" w:rsidR="0016315C" w:rsidRPr="00685355" w:rsidRDefault="006538E1" w:rsidP="00BB0FFB">
    <w:pPr>
      <w:jc w:val="center"/>
    </w:pPr>
    <w:r>
      <w:t>R</w:t>
    </w:r>
    <w:r w:rsidR="00304C06">
      <w:t>atified</w:t>
    </w:r>
    <w:r w:rsidR="00B30B61">
      <w:t xml:space="preserve"> </w:t>
    </w:r>
    <w:r w:rsidR="60009B8A">
      <w:t xml:space="preserve">PICO Confirmation </w:t>
    </w:r>
    <w:r w:rsidR="60009B8A" w:rsidRPr="005107B7">
      <w:t xml:space="preserve">– </w:t>
    </w:r>
    <w:r w:rsidR="00557DA5" w:rsidRPr="005107B7">
      <w:t>April 2025</w:t>
    </w:r>
    <w:r w:rsidR="60009B8A" w:rsidRPr="005107B7">
      <w:t xml:space="preserve"> PASC Meeting</w:t>
    </w:r>
    <w:r w:rsidR="00BB0FFB">
      <w:br/>
    </w:r>
    <w:r w:rsidR="60009B8A" w:rsidRPr="00F074F8">
      <w:t xml:space="preserve">Application </w:t>
    </w:r>
    <w:r w:rsidR="005107B7" w:rsidRPr="00F074F8">
      <w:t>1799</w:t>
    </w:r>
    <w:r w:rsidR="60009B8A" w:rsidRPr="00F074F8">
      <w:t xml:space="preserve"> – </w:t>
    </w:r>
    <w:r w:rsidR="005107B7" w:rsidRPr="00F074F8">
      <w:t>Transcatheter</w:t>
    </w:r>
    <w:r w:rsidR="005107B7" w:rsidRPr="005107B7">
      <w:t xml:space="preserve"> tricuspid valve replacement in patients with severe, symptomatic </w:t>
    </w:r>
    <w:r w:rsidR="00971649">
      <w:t>tricuspid regurgitation despite optimal medical therapy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1BCCC" w14:textId="77777777" w:rsidR="00FC3F1F" w:rsidRDefault="00FC3F1F" w:rsidP="0016315C">
      <w:pPr>
        <w:spacing w:after="0" w:line="240" w:lineRule="auto"/>
      </w:pPr>
      <w:r>
        <w:separator/>
      </w:r>
    </w:p>
  </w:footnote>
  <w:footnote w:type="continuationSeparator" w:id="0">
    <w:p w14:paraId="00C75596" w14:textId="77777777" w:rsidR="00FC3F1F" w:rsidRDefault="00FC3F1F" w:rsidP="0016315C">
      <w:pPr>
        <w:spacing w:after="0" w:line="240" w:lineRule="auto"/>
      </w:pPr>
      <w:r>
        <w:continuationSeparator/>
      </w:r>
    </w:p>
  </w:footnote>
  <w:footnote w:type="continuationNotice" w:id="1">
    <w:p w14:paraId="627C7FA9" w14:textId="77777777" w:rsidR="00FC3F1F" w:rsidRDefault="00FC3F1F">
      <w:pPr>
        <w:spacing w:after="0" w:line="240" w:lineRule="auto"/>
      </w:pPr>
    </w:p>
  </w:footnote>
  <w:footnote w:id="2">
    <w:p w14:paraId="5B92C979" w14:textId="77777777" w:rsidR="00C81C6D" w:rsidRDefault="00C81C6D" w:rsidP="00C81C6D">
      <w:pPr>
        <w:pStyle w:val="FootnoteText"/>
      </w:pPr>
      <w:r>
        <w:rPr>
          <w:rStyle w:val="FootnoteReference"/>
        </w:rPr>
        <w:footnoteRef/>
      </w:r>
      <w:r>
        <w:t xml:space="preserve"> Discussed at the Pre-PASC meeting with the applicant on 27 February 2025.</w:t>
      </w:r>
    </w:p>
  </w:footnote>
  <w:footnote w:id="3">
    <w:p w14:paraId="64C62E27" w14:textId="16A578E5" w:rsidR="008B2178" w:rsidRDefault="008B2178" w:rsidP="008B2178">
      <w:pPr>
        <w:pStyle w:val="FootnoteText"/>
      </w:pPr>
      <w:r>
        <w:rPr>
          <w:rStyle w:val="FootnoteReference"/>
        </w:rPr>
        <w:footnoteRef/>
      </w:r>
      <w:r>
        <w:t xml:space="preserve"> The PASCAL System was listed on the P</w:t>
      </w:r>
      <w:r w:rsidR="00552006">
        <w:t xml:space="preserve">rescribed </w:t>
      </w:r>
      <w:r>
        <w:t>L</w:t>
      </w:r>
      <w:r w:rsidR="00552006">
        <w:t>ist</w:t>
      </w:r>
      <w:r>
        <w:t xml:space="preserve"> in March 2025 on the condition that use is restricted to transvenous mitral valve repair (MBS item 38461). </w:t>
      </w:r>
    </w:p>
  </w:footnote>
  <w:footnote w:id="4">
    <w:p w14:paraId="2DCF2F49" w14:textId="1B710761" w:rsidR="004C5A26" w:rsidRDefault="004C5A26">
      <w:pPr>
        <w:pStyle w:val="FootnoteText"/>
      </w:pPr>
      <w:r>
        <w:rPr>
          <w:rStyle w:val="FootnoteReference"/>
        </w:rPr>
        <w:footnoteRef/>
      </w:r>
      <w:r>
        <w:t xml:space="preserve"> Discussed at the Pre-PASC meeting with the applicant on 27 February 2025.</w:t>
      </w:r>
    </w:p>
  </w:footnote>
  <w:footnote w:id="5">
    <w:p w14:paraId="5D698A7D" w14:textId="77777777" w:rsidR="00753919" w:rsidRDefault="00753919" w:rsidP="00753919">
      <w:pPr>
        <w:pStyle w:val="FootnoteText"/>
      </w:pPr>
      <w:r>
        <w:rPr>
          <w:rStyle w:val="FootnoteReference"/>
        </w:rPr>
        <w:footnoteRef/>
      </w:r>
      <w:r>
        <w:t xml:space="preserve"> Discussed at the Pre-PASC meeting with the applicant on 27 February 2025.</w:t>
      </w:r>
    </w:p>
  </w:footnote>
  <w:footnote w:id="6">
    <w:p w14:paraId="7C7409F5" w14:textId="77777777" w:rsidR="0006708D" w:rsidRDefault="0006708D" w:rsidP="0006708D">
      <w:pPr>
        <w:pStyle w:val="FootnoteText"/>
      </w:pPr>
      <w:r>
        <w:rPr>
          <w:rStyle w:val="FootnoteReference"/>
        </w:rPr>
        <w:footnoteRef/>
      </w:r>
      <w:r>
        <w:t xml:space="preserve"> Discussed at the Pre-PASC meeting with the applicant on 27 February 2025.</w:t>
      </w:r>
    </w:p>
  </w:footnote>
  <w:footnote w:id="7">
    <w:p w14:paraId="6CAAC5B1" w14:textId="77777777" w:rsidR="002C1D9D" w:rsidRDefault="002C1D9D" w:rsidP="002C1D9D">
      <w:pPr>
        <w:pStyle w:val="FootnoteText"/>
      </w:pPr>
      <w:r>
        <w:rPr>
          <w:rStyle w:val="FootnoteReference"/>
        </w:rPr>
        <w:footnoteRef/>
      </w:r>
      <w:r>
        <w:t xml:space="preserve"> Based on weighting of Diagnosis Related Group (DRG) F21A and F21B. The application notes that DRG F25 may also be applicable to the TTVR procedure.</w:t>
      </w:r>
    </w:p>
  </w:footnote>
  <w:footnote w:id="8">
    <w:p w14:paraId="02524E3F" w14:textId="77777777" w:rsidR="009C406E" w:rsidRDefault="009C406E" w:rsidP="009C406E">
      <w:pPr>
        <w:pStyle w:val="FootnoteText"/>
      </w:pPr>
      <w:r>
        <w:rPr>
          <w:rStyle w:val="FootnoteReference"/>
        </w:rPr>
        <w:footnoteRef/>
      </w:r>
      <w:r>
        <w:t xml:space="preserve"> Discussed at the Pre-PASC meeting with the applicant on 27 February 2025.</w:t>
      </w:r>
    </w:p>
  </w:footnote>
  <w:footnote w:id="9">
    <w:p w14:paraId="6F9AD372" w14:textId="77777777" w:rsidR="00971FA3" w:rsidRDefault="00971FA3" w:rsidP="00971FA3">
      <w:pPr>
        <w:pStyle w:val="FootnoteText"/>
      </w:pPr>
      <w:r>
        <w:rPr>
          <w:rStyle w:val="FootnoteReference"/>
        </w:rPr>
        <w:footnoteRef/>
      </w:r>
      <w:r>
        <w:t xml:space="preserve"> MBS items 38461 (TMVr by transvenous or transeptal techniques using 1 or more tissue approximation implants) and 38463 (TMVr by transvenous or transeptal techniques using 1 or more Mitraclip).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90"/>
      <w:gridCol w:w="3190"/>
      <w:gridCol w:w="3190"/>
    </w:tblGrid>
    <w:tr w:rsidR="628F6C62" w14:paraId="30E3AEF3" w14:textId="77777777" w:rsidTr="009A4FFB">
      <w:trPr>
        <w:trHeight w:val="300"/>
      </w:trPr>
      <w:tc>
        <w:tcPr>
          <w:tcW w:w="3190" w:type="dxa"/>
        </w:tcPr>
        <w:p w14:paraId="49F52A5F" w14:textId="232F410E" w:rsidR="628F6C62" w:rsidRDefault="628F6C62" w:rsidP="009A4FFB">
          <w:pPr>
            <w:pStyle w:val="Header"/>
            <w:ind w:left="-115"/>
          </w:pPr>
        </w:p>
      </w:tc>
      <w:tc>
        <w:tcPr>
          <w:tcW w:w="3190" w:type="dxa"/>
        </w:tcPr>
        <w:p w14:paraId="36E67869" w14:textId="784854AB" w:rsidR="628F6C62" w:rsidRDefault="628F6C62" w:rsidP="009A4FFB">
          <w:pPr>
            <w:pStyle w:val="Header"/>
            <w:jc w:val="center"/>
          </w:pPr>
        </w:p>
      </w:tc>
      <w:tc>
        <w:tcPr>
          <w:tcW w:w="3190" w:type="dxa"/>
        </w:tcPr>
        <w:p w14:paraId="7D0E02FB" w14:textId="1ED15B37" w:rsidR="628F6C62" w:rsidRDefault="628F6C62" w:rsidP="009A4FFB">
          <w:pPr>
            <w:pStyle w:val="Header"/>
            <w:ind w:right="-115"/>
            <w:jc w:val="right"/>
          </w:pPr>
        </w:p>
      </w:tc>
    </w:tr>
  </w:tbl>
  <w:p w14:paraId="04D099F0" w14:textId="51AE34DF" w:rsidR="00D4271E" w:rsidRDefault="00D42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072"/>
    <w:multiLevelType w:val="hybridMultilevel"/>
    <w:tmpl w:val="88188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B53E2"/>
    <w:multiLevelType w:val="hybridMultilevel"/>
    <w:tmpl w:val="063C6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84FEA"/>
    <w:multiLevelType w:val="hybridMultilevel"/>
    <w:tmpl w:val="CB1A5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DC85E16"/>
    <w:multiLevelType w:val="hybridMultilevel"/>
    <w:tmpl w:val="E12A8DF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023445"/>
    <w:multiLevelType w:val="hybridMultilevel"/>
    <w:tmpl w:val="0CE4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AE793D"/>
    <w:multiLevelType w:val="hybridMultilevel"/>
    <w:tmpl w:val="DA0E0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C520D7"/>
    <w:multiLevelType w:val="hybridMultilevel"/>
    <w:tmpl w:val="1ACC5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D01258"/>
    <w:multiLevelType w:val="hybridMultilevel"/>
    <w:tmpl w:val="EA52F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D1228A"/>
    <w:multiLevelType w:val="hybridMultilevel"/>
    <w:tmpl w:val="978E95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97774C"/>
    <w:multiLevelType w:val="hybridMultilevel"/>
    <w:tmpl w:val="3AC02A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971768F"/>
    <w:multiLevelType w:val="hybridMultilevel"/>
    <w:tmpl w:val="F044EC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8335AD"/>
    <w:multiLevelType w:val="hybridMultilevel"/>
    <w:tmpl w:val="B9800244"/>
    <w:lvl w:ilvl="0" w:tplc="6CBE441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5F4939"/>
    <w:multiLevelType w:val="hybridMultilevel"/>
    <w:tmpl w:val="EB6AE8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192EAB"/>
    <w:multiLevelType w:val="hybridMultilevel"/>
    <w:tmpl w:val="25C43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095746"/>
    <w:multiLevelType w:val="hybridMultilevel"/>
    <w:tmpl w:val="28BC0FCE"/>
    <w:lvl w:ilvl="0" w:tplc="A26EFB64">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0BC7105"/>
    <w:multiLevelType w:val="hybridMultilevel"/>
    <w:tmpl w:val="5770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19"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1BF363B"/>
    <w:multiLevelType w:val="hybridMultilevel"/>
    <w:tmpl w:val="573E6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03387F"/>
    <w:multiLevelType w:val="hybridMultilevel"/>
    <w:tmpl w:val="50BA4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8C5048"/>
    <w:multiLevelType w:val="hybridMultilevel"/>
    <w:tmpl w:val="50F8BA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6979A4"/>
    <w:multiLevelType w:val="hybridMultilevel"/>
    <w:tmpl w:val="48823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2583400">
    <w:abstractNumId w:val="3"/>
  </w:num>
  <w:num w:numId="2" w16cid:durableId="1024792184">
    <w:abstractNumId w:val="19"/>
  </w:num>
  <w:num w:numId="3" w16cid:durableId="2098093375">
    <w:abstractNumId w:val="18"/>
  </w:num>
  <w:num w:numId="4" w16cid:durableId="1911186006">
    <w:abstractNumId w:val="6"/>
  </w:num>
  <w:num w:numId="5" w16cid:durableId="929508997">
    <w:abstractNumId w:val="20"/>
  </w:num>
  <w:num w:numId="6" w16cid:durableId="823394897">
    <w:abstractNumId w:val="16"/>
  </w:num>
  <w:num w:numId="7" w16cid:durableId="1985043683">
    <w:abstractNumId w:val="12"/>
  </w:num>
  <w:num w:numId="8" w16cid:durableId="1138887236">
    <w:abstractNumId w:val="14"/>
  </w:num>
  <w:num w:numId="9" w16cid:durableId="2089647999">
    <w:abstractNumId w:val="4"/>
  </w:num>
  <w:num w:numId="10" w16cid:durableId="480389712">
    <w:abstractNumId w:val="0"/>
  </w:num>
  <w:num w:numId="11" w16cid:durableId="1933737084">
    <w:abstractNumId w:val="24"/>
  </w:num>
  <w:num w:numId="12" w16cid:durableId="300421749">
    <w:abstractNumId w:val="17"/>
  </w:num>
  <w:num w:numId="13" w16cid:durableId="2091851292">
    <w:abstractNumId w:val="15"/>
  </w:num>
  <w:num w:numId="14" w16cid:durableId="1620793323">
    <w:abstractNumId w:val="2"/>
  </w:num>
  <w:num w:numId="15" w16cid:durableId="129524107">
    <w:abstractNumId w:val="21"/>
  </w:num>
  <w:num w:numId="16" w16cid:durableId="1969585903">
    <w:abstractNumId w:val="23"/>
  </w:num>
  <w:num w:numId="17" w16cid:durableId="464733818">
    <w:abstractNumId w:val="1"/>
  </w:num>
  <w:num w:numId="18" w16cid:durableId="1797605569">
    <w:abstractNumId w:val="22"/>
  </w:num>
  <w:num w:numId="19" w16cid:durableId="1779790916">
    <w:abstractNumId w:val="11"/>
  </w:num>
  <w:num w:numId="20" w16cid:durableId="1488937967">
    <w:abstractNumId w:val="7"/>
  </w:num>
  <w:num w:numId="21" w16cid:durableId="1084062792">
    <w:abstractNumId w:val="9"/>
  </w:num>
  <w:num w:numId="22" w16cid:durableId="499662432">
    <w:abstractNumId w:val="8"/>
  </w:num>
  <w:num w:numId="23" w16cid:durableId="272707497">
    <w:abstractNumId w:val="10"/>
  </w:num>
  <w:num w:numId="24" w16cid:durableId="1344354995">
    <w:abstractNumId w:val="5"/>
  </w:num>
  <w:num w:numId="25" w16cid:durableId="10719996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9C"/>
    <w:rsid w:val="00000238"/>
    <w:rsid w:val="0000054C"/>
    <w:rsid w:val="000006A5"/>
    <w:rsid w:val="0000086F"/>
    <w:rsid w:val="00000D1B"/>
    <w:rsid w:val="00000E32"/>
    <w:rsid w:val="00000FB9"/>
    <w:rsid w:val="0000106B"/>
    <w:rsid w:val="00001130"/>
    <w:rsid w:val="00001D78"/>
    <w:rsid w:val="00001ED4"/>
    <w:rsid w:val="00001FB4"/>
    <w:rsid w:val="000026B5"/>
    <w:rsid w:val="00002B53"/>
    <w:rsid w:val="00003088"/>
    <w:rsid w:val="0000323B"/>
    <w:rsid w:val="0000522E"/>
    <w:rsid w:val="000052BD"/>
    <w:rsid w:val="000057C2"/>
    <w:rsid w:val="00005BBC"/>
    <w:rsid w:val="0000600A"/>
    <w:rsid w:val="0000644E"/>
    <w:rsid w:val="00006DC0"/>
    <w:rsid w:val="00006F0D"/>
    <w:rsid w:val="000071F8"/>
    <w:rsid w:val="0000729C"/>
    <w:rsid w:val="000073AA"/>
    <w:rsid w:val="000073F3"/>
    <w:rsid w:val="00007445"/>
    <w:rsid w:val="00007780"/>
    <w:rsid w:val="00007C11"/>
    <w:rsid w:val="00011B5D"/>
    <w:rsid w:val="00011D9A"/>
    <w:rsid w:val="000120FE"/>
    <w:rsid w:val="00012172"/>
    <w:rsid w:val="00012D5C"/>
    <w:rsid w:val="00014151"/>
    <w:rsid w:val="000146DE"/>
    <w:rsid w:val="00014942"/>
    <w:rsid w:val="00014C4B"/>
    <w:rsid w:val="00014F16"/>
    <w:rsid w:val="00014FE5"/>
    <w:rsid w:val="00015F76"/>
    <w:rsid w:val="0001606C"/>
    <w:rsid w:val="00016F3B"/>
    <w:rsid w:val="000174C9"/>
    <w:rsid w:val="000175AD"/>
    <w:rsid w:val="00017AB3"/>
    <w:rsid w:val="0002016E"/>
    <w:rsid w:val="00021157"/>
    <w:rsid w:val="000213E2"/>
    <w:rsid w:val="00021415"/>
    <w:rsid w:val="00021C33"/>
    <w:rsid w:val="00021EF4"/>
    <w:rsid w:val="000224DD"/>
    <w:rsid w:val="000229AF"/>
    <w:rsid w:val="00022E9B"/>
    <w:rsid w:val="00023C4C"/>
    <w:rsid w:val="0002477B"/>
    <w:rsid w:val="000248A8"/>
    <w:rsid w:val="00024978"/>
    <w:rsid w:val="00025016"/>
    <w:rsid w:val="0002533B"/>
    <w:rsid w:val="0002581D"/>
    <w:rsid w:val="00025E44"/>
    <w:rsid w:val="0002605B"/>
    <w:rsid w:val="0002660E"/>
    <w:rsid w:val="00026DC8"/>
    <w:rsid w:val="000275CD"/>
    <w:rsid w:val="000275D2"/>
    <w:rsid w:val="000278E5"/>
    <w:rsid w:val="00027D67"/>
    <w:rsid w:val="00030193"/>
    <w:rsid w:val="000303D5"/>
    <w:rsid w:val="00030BEA"/>
    <w:rsid w:val="0003123D"/>
    <w:rsid w:val="0003191F"/>
    <w:rsid w:val="00032A99"/>
    <w:rsid w:val="00032B30"/>
    <w:rsid w:val="00032D99"/>
    <w:rsid w:val="00032E06"/>
    <w:rsid w:val="0003302C"/>
    <w:rsid w:val="00033276"/>
    <w:rsid w:val="00033597"/>
    <w:rsid w:val="00033D7F"/>
    <w:rsid w:val="000343E9"/>
    <w:rsid w:val="00034840"/>
    <w:rsid w:val="00034D0A"/>
    <w:rsid w:val="000351B2"/>
    <w:rsid w:val="0003532C"/>
    <w:rsid w:val="000357EF"/>
    <w:rsid w:val="00035AA6"/>
    <w:rsid w:val="00035E5A"/>
    <w:rsid w:val="000362C0"/>
    <w:rsid w:val="000367A8"/>
    <w:rsid w:val="000407B8"/>
    <w:rsid w:val="00040867"/>
    <w:rsid w:val="00040E57"/>
    <w:rsid w:val="000414C8"/>
    <w:rsid w:val="0004169C"/>
    <w:rsid w:val="000421E5"/>
    <w:rsid w:val="000425D2"/>
    <w:rsid w:val="00042BFF"/>
    <w:rsid w:val="00042C9A"/>
    <w:rsid w:val="00043370"/>
    <w:rsid w:val="00043E0A"/>
    <w:rsid w:val="00044180"/>
    <w:rsid w:val="000446B6"/>
    <w:rsid w:val="000447F4"/>
    <w:rsid w:val="00044C65"/>
    <w:rsid w:val="00045A87"/>
    <w:rsid w:val="00045DEE"/>
    <w:rsid w:val="00046653"/>
    <w:rsid w:val="00046FEC"/>
    <w:rsid w:val="000500AE"/>
    <w:rsid w:val="0005013E"/>
    <w:rsid w:val="00050572"/>
    <w:rsid w:val="00050D85"/>
    <w:rsid w:val="00050F4B"/>
    <w:rsid w:val="0005137A"/>
    <w:rsid w:val="000515B8"/>
    <w:rsid w:val="00051753"/>
    <w:rsid w:val="00052399"/>
    <w:rsid w:val="000523EA"/>
    <w:rsid w:val="0005275A"/>
    <w:rsid w:val="00052B93"/>
    <w:rsid w:val="000530D0"/>
    <w:rsid w:val="000531E7"/>
    <w:rsid w:val="000532E3"/>
    <w:rsid w:val="00054A13"/>
    <w:rsid w:val="00054B56"/>
    <w:rsid w:val="00054E81"/>
    <w:rsid w:val="00054FA7"/>
    <w:rsid w:val="0005512B"/>
    <w:rsid w:val="00055272"/>
    <w:rsid w:val="000561A4"/>
    <w:rsid w:val="00057517"/>
    <w:rsid w:val="000576B2"/>
    <w:rsid w:val="00057962"/>
    <w:rsid w:val="00060089"/>
    <w:rsid w:val="000602A5"/>
    <w:rsid w:val="00060509"/>
    <w:rsid w:val="00060930"/>
    <w:rsid w:val="00060B46"/>
    <w:rsid w:val="00061189"/>
    <w:rsid w:val="0006183A"/>
    <w:rsid w:val="00061B44"/>
    <w:rsid w:val="00061C2C"/>
    <w:rsid w:val="00061C31"/>
    <w:rsid w:val="00061E0A"/>
    <w:rsid w:val="000620ED"/>
    <w:rsid w:val="0006257B"/>
    <w:rsid w:val="00063559"/>
    <w:rsid w:val="000635A7"/>
    <w:rsid w:val="000637F1"/>
    <w:rsid w:val="00063B0D"/>
    <w:rsid w:val="00063DD5"/>
    <w:rsid w:val="00064407"/>
    <w:rsid w:val="00064E55"/>
    <w:rsid w:val="00064F60"/>
    <w:rsid w:val="0006553F"/>
    <w:rsid w:val="00065985"/>
    <w:rsid w:val="00065C28"/>
    <w:rsid w:val="00065DBC"/>
    <w:rsid w:val="000661D4"/>
    <w:rsid w:val="000661DA"/>
    <w:rsid w:val="00066257"/>
    <w:rsid w:val="000665CD"/>
    <w:rsid w:val="000669E3"/>
    <w:rsid w:val="0006708D"/>
    <w:rsid w:val="00067965"/>
    <w:rsid w:val="00067F8E"/>
    <w:rsid w:val="00070526"/>
    <w:rsid w:val="00070CB9"/>
    <w:rsid w:val="000710F1"/>
    <w:rsid w:val="00071243"/>
    <w:rsid w:val="00071B7C"/>
    <w:rsid w:val="00071C09"/>
    <w:rsid w:val="00071CB2"/>
    <w:rsid w:val="000722A4"/>
    <w:rsid w:val="000725FA"/>
    <w:rsid w:val="00072A97"/>
    <w:rsid w:val="000732BB"/>
    <w:rsid w:val="00073857"/>
    <w:rsid w:val="00073E8F"/>
    <w:rsid w:val="000741BC"/>
    <w:rsid w:val="000742E0"/>
    <w:rsid w:val="0007464C"/>
    <w:rsid w:val="0007470B"/>
    <w:rsid w:val="00074DA3"/>
    <w:rsid w:val="000750E7"/>
    <w:rsid w:val="00075145"/>
    <w:rsid w:val="000754CF"/>
    <w:rsid w:val="0007568B"/>
    <w:rsid w:val="00075BAC"/>
    <w:rsid w:val="00075BEB"/>
    <w:rsid w:val="00075CBA"/>
    <w:rsid w:val="000763A3"/>
    <w:rsid w:val="00076AD7"/>
    <w:rsid w:val="00076C54"/>
    <w:rsid w:val="000770F5"/>
    <w:rsid w:val="00077156"/>
    <w:rsid w:val="000773D6"/>
    <w:rsid w:val="00077981"/>
    <w:rsid w:val="00077BA3"/>
    <w:rsid w:val="00080040"/>
    <w:rsid w:val="000800FC"/>
    <w:rsid w:val="000802A1"/>
    <w:rsid w:val="00080380"/>
    <w:rsid w:val="000809FE"/>
    <w:rsid w:val="00080A31"/>
    <w:rsid w:val="00080BB3"/>
    <w:rsid w:val="000811B7"/>
    <w:rsid w:val="000821A8"/>
    <w:rsid w:val="00082311"/>
    <w:rsid w:val="00083C62"/>
    <w:rsid w:val="00083D0B"/>
    <w:rsid w:val="00083F40"/>
    <w:rsid w:val="00084258"/>
    <w:rsid w:val="000842E2"/>
    <w:rsid w:val="0008441A"/>
    <w:rsid w:val="000846C5"/>
    <w:rsid w:val="000846D3"/>
    <w:rsid w:val="00084A77"/>
    <w:rsid w:val="0008517F"/>
    <w:rsid w:val="0008535D"/>
    <w:rsid w:val="00085CA0"/>
    <w:rsid w:val="00085E31"/>
    <w:rsid w:val="0008676D"/>
    <w:rsid w:val="00086D4D"/>
    <w:rsid w:val="00086E86"/>
    <w:rsid w:val="00087996"/>
    <w:rsid w:val="00087A88"/>
    <w:rsid w:val="00087DE2"/>
    <w:rsid w:val="00087F6F"/>
    <w:rsid w:val="0009005C"/>
    <w:rsid w:val="00090187"/>
    <w:rsid w:val="00090555"/>
    <w:rsid w:val="000905D9"/>
    <w:rsid w:val="00090EE1"/>
    <w:rsid w:val="000912D4"/>
    <w:rsid w:val="00091523"/>
    <w:rsid w:val="00091BAD"/>
    <w:rsid w:val="00091DC0"/>
    <w:rsid w:val="00092309"/>
    <w:rsid w:val="00092D77"/>
    <w:rsid w:val="00092E9F"/>
    <w:rsid w:val="00092FBB"/>
    <w:rsid w:val="000934B0"/>
    <w:rsid w:val="00093689"/>
    <w:rsid w:val="000939E0"/>
    <w:rsid w:val="00093E99"/>
    <w:rsid w:val="00094549"/>
    <w:rsid w:val="00094ABF"/>
    <w:rsid w:val="00094D35"/>
    <w:rsid w:val="00095008"/>
    <w:rsid w:val="00095289"/>
    <w:rsid w:val="00095814"/>
    <w:rsid w:val="00095D4E"/>
    <w:rsid w:val="0009625A"/>
    <w:rsid w:val="000970B0"/>
    <w:rsid w:val="000A034F"/>
    <w:rsid w:val="000A0511"/>
    <w:rsid w:val="000A18E4"/>
    <w:rsid w:val="000A21F2"/>
    <w:rsid w:val="000A29F7"/>
    <w:rsid w:val="000A3242"/>
    <w:rsid w:val="000A3FD8"/>
    <w:rsid w:val="000A48B2"/>
    <w:rsid w:val="000A4D65"/>
    <w:rsid w:val="000A4F0A"/>
    <w:rsid w:val="000A50E5"/>
    <w:rsid w:val="000A527A"/>
    <w:rsid w:val="000A52ED"/>
    <w:rsid w:val="000A5FE6"/>
    <w:rsid w:val="000A6A58"/>
    <w:rsid w:val="000A7146"/>
    <w:rsid w:val="000A73D1"/>
    <w:rsid w:val="000A746B"/>
    <w:rsid w:val="000B0B67"/>
    <w:rsid w:val="000B1681"/>
    <w:rsid w:val="000B17BE"/>
    <w:rsid w:val="000B1CE4"/>
    <w:rsid w:val="000B25D4"/>
    <w:rsid w:val="000B2644"/>
    <w:rsid w:val="000B2F8D"/>
    <w:rsid w:val="000B30C1"/>
    <w:rsid w:val="000B3461"/>
    <w:rsid w:val="000B371F"/>
    <w:rsid w:val="000B3BD2"/>
    <w:rsid w:val="000B3D41"/>
    <w:rsid w:val="000B41C8"/>
    <w:rsid w:val="000B41FE"/>
    <w:rsid w:val="000B4E59"/>
    <w:rsid w:val="000B520F"/>
    <w:rsid w:val="000B5258"/>
    <w:rsid w:val="000B533C"/>
    <w:rsid w:val="000B5441"/>
    <w:rsid w:val="000B5B11"/>
    <w:rsid w:val="000B5C14"/>
    <w:rsid w:val="000B5E57"/>
    <w:rsid w:val="000B613E"/>
    <w:rsid w:val="000B62A6"/>
    <w:rsid w:val="000B63D2"/>
    <w:rsid w:val="000B651D"/>
    <w:rsid w:val="000B667E"/>
    <w:rsid w:val="000B68C0"/>
    <w:rsid w:val="000B6E31"/>
    <w:rsid w:val="000B7F92"/>
    <w:rsid w:val="000C043D"/>
    <w:rsid w:val="000C0550"/>
    <w:rsid w:val="000C069E"/>
    <w:rsid w:val="000C0E2B"/>
    <w:rsid w:val="000C0E50"/>
    <w:rsid w:val="000C13DA"/>
    <w:rsid w:val="000C2461"/>
    <w:rsid w:val="000C2CA3"/>
    <w:rsid w:val="000C3725"/>
    <w:rsid w:val="000C3929"/>
    <w:rsid w:val="000C395F"/>
    <w:rsid w:val="000C3CF4"/>
    <w:rsid w:val="000C3DFB"/>
    <w:rsid w:val="000C4D5F"/>
    <w:rsid w:val="000C5EC4"/>
    <w:rsid w:val="000C636D"/>
    <w:rsid w:val="000C64E5"/>
    <w:rsid w:val="000C7264"/>
    <w:rsid w:val="000C73F3"/>
    <w:rsid w:val="000C7540"/>
    <w:rsid w:val="000C7871"/>
    <w:rsid w:val="000C7CD8"/>
    <w:rsid w:val="000C7CED"/>
    <w:rsid w:val="000D0E5F"/>
    <w:rsid w:val="000D0F33"/>
    <w:rsid w:val="000D0FE2"/>
    <w:rsid w:val="000D104F"/>
    <w:rsid w:val="000D1054"/>
    <w:rsid w:val="000D130F"/>
    <w:rsid w:val="000D1317"/>
    <w:rsid w:val="000D179B"/>
    <w:rsid w:val="000D1FCF"/>
    <w:rsid w:val="000D218C"/>
    <w:rsid w:val="000D2532"/>
    <w:rsid w:val="000D3070"/>
    <w:rsid w:val="000D33AA"/>
    <w:rsid w:val="000D41EC"/>
    <w:rsid w:val="000D4253"/>
    <w:rsid w:val="000D453F"/>
    <w:rsid w:val="000D4F8D"/>
    <w:rsid w:val="000D6040"/>
    <w:rsid w:val="000D63E3"/>
    <w:rsid w:val="000D64E3"/>
    <w:rsid w:val="000D6711"/>
    <w:rsid w:val="000D6903"/>
    <w:rsid w:val="000D6EC4"/>
    <w:rsid w:val="000D7127"/>
    <w:rsid w:val="000D72DB"/>
    <w:rsid w:val="000D7945"/>
    <w:rsid w:val="000D7CD0"/>
    <w:rsid w:val="000E1367"/>
    <w:rsid w:val="000E1B86"/>
    <w:rsid w:val="000E2788"/>
    <w:rsid w:val="000E2E1A"/>
    <w:rsid w:val="000E33FA"/>
    <w:rsid w:val="000E363A"/>
    <w:rsid w:val="000E37D4"/>
    <w:rsid w:val="000E380B"/>
    <w:rsid w:val="000E3BF4"/>
    <w:rsid w:val="000E40FD"/>
    <w:rsid w:val="000E42D0"/>
    <w:rsid w:val="000E43E9"/>
    <w:rsid w:val="000E4734"/>
    <w:rsid w:val="000E5391"/>
    <w:rsid w:val="000E5441"/>
    <w:rsid w:val="000E5455"/>
    <w:rsid w:val="000E5F37"/>
    <w:rsid w:val="000E623D"/>
    <w:rsid w:val="000E63AE"/>
    <w:rsid w:val="000E653C"/>
    <w:rsid w:val="000E6629"/>
    <w:rsid w:val="000E68E0"/>
    <w:rsid w:val="000E698D"/>
    <w:rsid w:val="000E69E6"/>
    <w:rsid w:val="000E6F5D"/>
    <w:rsid w:val="000E74F0"/>
    <w:rsid w:val="000E7A47"/>
    <w:rsid w:val="000E7E34"/>
    <w:rsid w:val="000E7E89"/>
    <w:rsid w:val="000E7F87"/>
    <w:rsid w:val="000F07A0"/>
    <w:rsid w:val="000F086F"/>
    <w:rsid w:val="000F0D9F"/>
    <w:rsid w:val="000F1018"/>
    <w:rsid w:val="000F105F"/>
    <w:rsid w:val="000F17F0"/>
    <w:rsid w:val="000F232A"/>
    <w:rsid w:val="000F286B"/>
    <w:rsid w:val="000F29A6"/>
    <w:rsid w:val="000F2CE9"/>
    <w:rsid w:val="000F3F5E"/>
    <w:rsid w:val="000F40F3"/>
    <w:rsid w:val="000F4B1E"/>
    <w:rsid w:val="000F4B8D"/>
    <w:rsid w:val="000F5A36"/>
    <w:rsid w:val="000F5B19"/>
    <w:rsid w:val="000F5E3A"/>
    <w:rsid w:val="000F5FA5"/>
    <w:rsid w:val="000F6101"/>
    <w:rsid w:val="000F621E"/>
    <w:rsid w:val="000F6519"/>
    <w:rsid w:val="000F66E7"/>
    <w:rsid w:val="000F7568"/>
    <w:rsid w:val="000F78DC"/>
    <w:rsid w:val="000F79B2"/>
    <w:rsid w:val="000F7C35"/>
    <w:rsid w:val="000F7EBB"/>
    <w:rsid w:val="0010039A"/>
    <w:rsid w:val="00100640"/>
    <w:rsid w:val="00100A1A"/>
    <w:rsid w:val="0010103A"/>
    <w:rsid w:val="00101068"/>
    <w:rsid w:val="00101DCB"/>
    <w:rsid w:val="001022C4"/>
    <w:rsid w:val="001022C8"/>
    <w:rsid w:val="001022EB"/>
    <w:rsid w:val="00102507"/>
    <w:rsid w:val="0010257D"/>
    <w:rsid w:val="00102A9F"/>
    <w:rsid w:val="0010333B"/>
    <w:rsid w:val="00103778"/>
    <w:rsid w:val="00103867"/>
    <w:rsid w:val="00103986"/>
    <w:rsid w:val="00103CEC"/>
    <w:rsid w:val="00104156"/>
    <w:rsid w:val="001043E2"/>
    <w:rsid w:val="001047F5"/>
    <w:rsid w:val="00105123"/>
    <w:rsid w:val="0010585D"/>
    <w:rsid w:val="001077EA"/>
    <w:rsid w:val="00107F98"/>
    <w:rsid w:val="00107FE6"/>
    <w:rsid w:val="00110C68"/>
    <w:rsid w:val="00111375"/>
    <w:rsid w:val="001113DA"/>
    <w:rsid w:val="001127A1"/>
    <w:rsid w:val="001129AE"/>
    <w:rsid w:val="00112F1A"/>
    <w:rsid w:val="001131EE"/>
    <w:rsid w:val="00113756"/>
    <w:rsid w:val="00113B0D"/>
    <w:rsid w:val="00113D6A"/>
    <w:rsid w:val="00113E8B"/>
    <w:rsid w:val="00113EBD"/>
    <w:rsid w:val="001141D4"/>
    <w:rsid w:val="00114A9E"/>
    <w:rsid w:val="001156A8"/>
    <w:rsid w:val="001157DB"/>
    <w:rsid w:val="00115E1B"/>
    <w:rsid w:val="00115F74"/>
    <w:rsid w:val="00116646"/>
    <w:rsid w:val="0011664F"/>
    <w:rsid w:val="00116867"/>
    <w:rsid w:val="0011726B"/>
    <w:rsid w:val="00117527"/>
    <w:rsid w:val="00117968"/>
    <w:rsid w:val="0012011C"/>
    <w:rsid w:val="001206D4"/>
    <w:rsid w:val="00120834"/>
    <w:rsid w:val="00120AD5"/>
    <w:rsid w:val="00120F77"/>
    <w:rsid w:val="00120F8A"/>
    <w:rsid w:val="001210EE"/>
    <w:rsid w:val="0012142F"/>
    <w:rsid w:val="001223F1"/>
    <w:rsid w:val="00122412"/>
    <w:rsid w:val="00123A9E"/>
    <w:rsid w:val="00123F35"/>
    <w:rsid w:val="0012430A"/>
    <w:rsid w:val="00124367"/>
    <w:rsid w:val="0012469A"/>
    <w:rsid w:val="00124CAF"/>
    <w:rsid w:val="00125347"/>
    <w:rsid w:val="001256ED"/>
    <w:rsid w:val="00125B97"/>
    <w:rsid w:val="00126333"/>
    <w:rsid w:val="0012695B"/>
    <w:rsid w:val="00126CE4"/>
    <w:rsid w:val="00127241"/>
    <w:rsid w:val="00127810"/>
    <w:rsid w:val="00127852"/>
    <w:rsid w:val="00127A7E"/>
    <w:rsid w:val="001301CB"/>
    <w:rsid w:val="001302E4"/>
    <w:rsid w:val="001305FC"/>
    <w:rsid w:val="00130633"/>
    <w:rsid w:val="00130663"/>
    <w:rsid w:val="00130B91"/>
    <w:rsid w:val="00130D99"/>
    <w:rsid w:val="001313A8"/>
    <w:rsid w:val="0013182E"/>
    <w:rsid w:val="00131C24"/>
    <w:rsid w:val="001323CB"/>
    <w:rsid w:val="00132780"/>
    <w:rsid w:val="0013291A"/>
    <w:rsid w:val="00132A42"/>
    <w:rsid w:val="001332D1"/>
    <w:rsid w:val="001338E0"/>
    <w:rsid w:val="00133ADB"/>
    <w:rsid w:val="0013431C"/>
    <w:rsid w:val="0013449D"/>
    <w:rsid w:val="0013513C"/>
    <w:rsid w:val="001355CB"/>
    <w:rsid w:val="001357FA"/>
    <w:rsid w:val="00135DD3"/>
    <w:rsid w:val="00136156"/>
    <w:rsid w:val="0013649B"/>
    <w:rsid w:val="001364C1"/>
    <w:rsid w:val="00136A5A"/>
    <w:rsid w:val="001379BA"/>
    <w:rsid w:val="0014014B"/>
    <w:rsid w:val="00140B92"/>
    <w:rsid w:val="00141270"/>
    <w:rsid w:val="00141538"/>
    <w:rsid w:val="00141DD4"/>
    <w:rsid w:val="00141FB8"/>
    <w:rsid w:val="001423A9"/>
    <w:rsid w:val="001426A7"/>
    <w:rsid w:val="00142893"/>
    <w:rsid w:val="00142F3D"/>
    <w:rsid w:val="00143391"/>
    <w:rsid w:val="0014360A"/>
    <w:rsid w:val="00143A7F"/>
    <w:rsid w:val="001440FF"/>
    <w:rsid w:val="0014483F"/>
    <w:rsid w:val="0014484A"/>
    <w:rsid w:val="001449C0"/>
    <w:rsid w:val="00144D70"/>
    <w:rsid w:val="00144DD7"/>
    <w:rsid w:val="00144EC3"/>
    <w:rsid w:val="00145789"/>
    <w:rsid w:val="00145914"/>
    <w:rsid w:val="00145FDB"/>
    <w:rsid w:val="00146219"/>
    <w:rsid w:val="0014638D"/>
    <w:rsid w:val="001463A1"/>
    <w:rsid w:val="001467C8"/>
    <w:rsid w:val="0014680A"/>
    <w:rsid w:val="001469E0"/>
    <w:rsid w:val="00146F67"/>
    <w:rsid w:val="00147021"/>
    <w:rsid w:val="00147044"/>
    <w:rsid w:val="001471E0"/>
    <w:rsid w:val="001509B4"/>
    <w:rsid w:val="00150CB4"/>
    <w:rsid w:val="00150D73"/>
    <w:rsid w:val="00151178"/>
    <w:rsid w:val="001511B9"/>
    <w:rsid w:val="00151384"/>
    <w:rsid w:val="001513A1"/>
    <w:rsid w:val="00151861"/>
    <w:rsid w:val="00151DD6"/>
    <w:rsid w:val="001529AC"/>
    <w:rsid w:val="00152D1F"/>
    <w:rsid w:val="00153391"/>
    <w:rsid w:val="00153763"/>
    <w:rsid w:val="0015411E"/>
    <w:rsid w:val="00154176"/>
    <w:rsid w:val="00154EFD"/>
    <w:rsid w:val="001557E8"/>
    <w:rsid w:val="00155D3C"/>
    <w:rsid w:val="0015618D"/>
    <w:rsid w:val="001562D6"/>
    <w:rsid w:val="0015631D"/>
    <w:rsid w:val="001563CD"/>
    <w:rsid w:val="00156997"/>
    <w:rsid w:val="0015741F"/>
    <w:rsid w:val="00157638"/>
    <w:rsid w:val="001577E1"/>
    <w:rsid w:val="00157BC1"/>
    <w:rsid w:val="001604E0"/>
    <w:rsid w:val="00160542"/>
    <w:rsid w:val="00161727"/>
    <w:rsid w:val="00161F64"/>
    <w:rsid w:val="001620B9"/>
    <w:rsid w:val="001623DA"/>
    <w:rsid w:val="00162A2A"/>
    <w:rsid w:val="00162CF9"/>
    <w:rsid w:val="00162DF7"/>
    <w:rsid w:val="0016315C"/>
    <w:rsid w:val="00163188"/>
    <w:rsid w:val="001639BF"/>
    <w:rsid w:val="00163A5B"/>
    <w:rsid w:val="00164116"/>
    <w:rsid w:val="001649E7"/>
    <w:rsid w:val="00164AA5"/>
    <w:rsid w:val="00164B7B"/>
    <w:rsid w:val="0016570E"/>
    <w:rsid w:val="00165CD1"/>
    <w:rsid w:val="00166016"/>
    <w:rsid w:val="0016619D"/>
    <w:rsid w:val="001666BF"/>
    <w:rsid w:val="00166AC3"/>
    <w:rsid w:val="00167B27"/>
    <w:rsid w:val="00167F65"/>
    <w:rsid w:val="001703DF"/>
    <w:rsid w:val="00170E14"/>
    <w:rsid w:val="0017160D"/>
    <w:rsid w:val="001716F8"/>
    <w:rsid w:val="00171818"/>
    <w:rsid w:val="00171B8C"/>
    <w:rsid w:val="0017215E"/>
    <w:rsid w:val="001726DD"/>
    <w:rsid w:val="0017287C"/>
    <w:rsid w:val="0017322C"/>
    <w:rsid w:val="00173361"/>
    <w:rsid w:val="0017348E"/>
    <w:rsid w:val="00173763"/>
    <w:rsid w:val="00173850"/>
    <w:rsid w:val="0017392A"/>
    <w:rsid w:val="00173A25"/>
    <w:rsid w:val="00173EF0"/>
    <w:rsid w:val="00174177"/>
    <w:rsid w:val="00174C62"/>
    <w:rsid w:val="001754A3"/>
    <w:rsid w:val="00175ACD"/>
    <w:rsid w:val="0017668A"/>
    <w:rsid w:val="001768E8"/>
    <w:rsid w:val="00176949"/>
    <w:rsid w:val="00176E94"/>
    <w:rsid w:val="0017748E"/>
    <w:rsid w:val="00177630"/>
    <w:rsid w:val="001779BF"/>
    <w:rsid w:val="00177CD4"/>
    <w:rsid w:val="0018010D"/>
    <w:rsid w:val="001809C5"/>
    <w:rsid w:val="00180D2D"/>
    <w:rsid w:val="00181B17"/>
    <w:rsid w:val="00181DD1"/>
    <w:rsid w:val="00182BB9"/>
    <w:rsid w:val="0018305B"/>
    <w:rsid w:val="001832A8"/>
    <w:rsid w:val="001835A9"/>
    <w:rsid w:val="00183DC0"/>
    <w:rsid w:val="0018403B"/>
    <w:rsid w:val="00184272"/>
    <w:rsid w:val="001843C7"/>
    <w:rsid w:val="00184496"/>
    <w:rsid w:val="0018456A"/>
    <w:rsid w:val="00184657"/>
    <w:rsid w:val="00184CB4"/>
    <w:rsid w:val="00185249"/>
    <w:rsid w:val="00185894"/>
    <w:rsid w:val="00185C44"/>
    <w:rsid w:val="00185FD3"/>
    <w:rsid w:val="001863D2"/>
    <w:rsid w:val="0018698D"/>
    <w:rsid w:val="00186E1D"/>
    <w:rsid w:val="00186F27"/>
    <w:rsid w:val="00186F65"/>
    <w:rsid w:val="0018787E"/>
    <w:rsid w:val="001901AA"/>
    <w:rsid w:val="00190493"/>
    <w:rsid w:val="00190C60"/>
    <w:rsid w:val="00191363"/>
    <w:rsid w:val="001914BE"/>
    <w:rsid w:val="001915EA"/>
    <w:rsid w:val="00191A18"/>
    <w:rsid w:val="00191A78"/>
    <w:rsid w:val="00191E67"/>
    <w:rsid w:val="00192058"/>
    <w:rsid w:val="001923B4"/>
    <w:rsid w:val="001924EA"/>
    <w:rsid w:val="00192CAB"/>
    <w:rsid w:val="00193184"/>
    <w:rsid w:val="00193969"/>
    <w:rsid w:val="00193AA6"/>
    <w:rsid w:val="001949C7"/>
    <w:rsid w:val="0019529D"/>
    <w:rsid w:val="001957A7"/>
    <w:rsid w:val="00195918"/>
    <w:rsid w:val="001961C4"/>
    <w:rsid w:val="001966FC"/>
    <w:rsid w:val="00196869"/>
    <w:rsid w:val="00196886"/>
    <w:rsid w:val="001969E3"/>
    <w:rsid w:val="001971CB"/>
    <w:rsid w:val="001972D1"/>
    <w:rsid w:val="00197334"/>
    <w:rsid w:val="00197ABD"/>
    <w:rsid w:val="00197CF0"/>
    <w:rsid w:val="00197FB1"/>
    <w:rsid w:val="00197FF8"/>
    <w:rsid w:val="001A06E7"/>
    <w:rsid w:val="001A126F"/>
    <w:rsid w:val="001A1C99"/>
    <w:rsid w:val="001A20A1"/>
    <w:rsid w:val="001A24BC"/>
    <w:rsid w:val="001A284E"/>
    <w:rsid w:val="001A2B20"/>
    <w:rsid w:val="001A2B6C"/>
    <w:rsid w:val="001A2CFD"/>
    <w:rsid w:val="001A2F4F"/>
    <w:rsid w:val="001A30C0"/>
    <w:rsid w:val="001A30D1"/>
    <w:rsid w:val="001A3B6F"/>
    <w:rsid w:val="001A48BD"/>
    <w:rsid w:val="001A5023"/>
    <w:rsid w:val="001A55C8"/>
    <w:rsid w:val="001A5D2F"/>
    <w:rsid w:val="001A5D6A"/>
    <w:rsid w:val="001A5E43"/>
    <w:rsid w:val="001A6823"/>
    <w:rsid w:val="001A68F9"/>
    <w:rsid w:val="001A6922"/>
    <w:rsid w:val="001A6C79"/>
    <w:rsid w:val="001A6E7D"/>
    <w:rsid w:val="001A7073"/>
    <w:rsid w:val="001A72A2"/>
    <w:rsid w:val="001A7713"/>
    <w:rsid w:val="001A7AFD"/>
    <w:rsid w:val="001A7F0D"/>
    <w:rsid w:val="001B008B"/>
    <w:rsid w:val="001B01D9"/>
    <w:rsid w:val="001B0276"/>
    <w:rsid w:val="001B04BF"/>
    <w:rsid w:val="001B0C92"/>
    <w:rsid w:val="001B0D6E"/>
    <w:rsid w:val="001B1499"/>
    <w:rsid w:val="001B3414"/>
    <w:rsid w:val="001B3B44"/>
    <w:rsid w:val="001B3F16"/>
    <w:rsid w:val="001B402A"/>
    <w:rsid w:val="001B4212"/>
    <w:rsid w:val="001B4446"/>
    <w:rsid w:val="001B490C"/>
    <w:rsid w:val="001B4C5C"/>
    <w:rsid w:val="001B4F28"/>
    <w:rsid w:val="001B5329"/>
    <w:rsid w:val="001B5DB6"/>
    <w:rsid w:val="001B62FC"/>
    <w:rsid w:val="001B753E"/>
    <w:rsid w:val="001B75F2"/>
    <w:rsid w:val="001B76E3"/>
    <w:rsid w:val="001B79DD"/>
    <w:rsid w:val="001C005F"/>
    <w:rsid w:val="001C03E1"/>
    <w:rsid w:val="001C0502"/>
    <w:rsid w:val="001C0737"/>
    <w:rsid w:val="001C111B"/>
    <w:rsid w:val="001C17D8"/>
    <w:rsid w:val="001C1BCF"/>
    <w:rsid w:val="001C1FF9"/>
    <w:rsid w:val="001C2892"/>
    <w:rsid w:val="001C28B1"/>
    <w:rsid w:val="001C2FE1"/>
    <w:rsid w:val="001C4D2E"/>
    <w:rsid w:val="001C5037"/>
    <w:rsid w:val="001C5396"/>
    <w:rsid w:val="001C5F70"/>
    <w:rsid w:val="001C631E"/>
    <w:rsid w:val="001C63A1"/>
    <w:rsid w:val="001C6493"/>
    <w:rsid w:val="001C6659"/>
    <w:rsid w:val="001C6E5A"/>
    <w:rsid w:val="001C6F99"/>
    <w:rsid w:val="001C7055"/>
    <w:rsid w:val="001C76C6"/>
    <w:rsid w:val="001C7A4A"/>
    <w:rsid w:val="001D00AF"/>
    <w:rsid w:val="001D01DB"/>
    <w:rsid w:val="001D02A8"/>
    <w:rsid w:val="001D088C"/>
    <w:rsid w:val="001D0B2D"/>
    <w:rsid w:val="001D0FFA"/>
    <w:rsid w:val="001D16E6"/>
    <w:rsid w:val="001D1B7E"/>
    <w:rsid w:val="001D1D9F"/>
    <w:rsid w:val="001D2084"/>
    <w:rsid w:val="001D247E"/>
    <w:rsid w:val="001D280F"/>
    <w:rsid w:val="001D2A45"/>
    <w:rsid w:val="001D2DF4"/>
    <w:rsid w:val="001D2E8E"/>
    <w:rsid w:val="001D34EE"/>
    <w:rsid w:val="001D360E"/>
    <w:rsid w:val="001D366A"/>
    <w:rsid w:val="001D3888"/>
    <w:rsid w:val="001D3C74"/>
    <w:rsid w:val="001D4136"/>
    <w:rsid w:val="001D4E59"/>
    <w:rsid w:val="001D58A4"/>
    <w:rsid w:val="001D5A01"/>
    <w:rsid w:val="001D5A77"/>
    <w:rsid w:val="001D6172"/>
    <w:rsid w:val="001D6A8C"/>
    <w:rsid w:val="001D6CF4"/>
    <w:rsid w:val="001D6D28"/>
    <w:rsid w:val="001D7432"/>
    <w:rsid w:val="001D7DBD"/>
    <w:rsid w:val="001DAE44"/>
    <w:rsid w:val="001E0902"/>
    <w:rsid w:val="001E097C"/>
    <w:rsid w:val="001E0FF9"/>
    <w:rsid w:val="001E103F"/>
    <w:rsid w:val="001E1911"/>
    <w:rsid w:val="001E19A8"/>
    <w:rsid w:val="001E1D1D"/>
    <w:rsid w:val="001E2212"/>
    <w:rsid w:val="001E2244"/>
    <w:rsid w:val="001E22AD"/>
    <w:rsid w:val="001E24B2"/>
    <w:rsid w:val="001E2668"/>
    <w:rsid w:val="001E37BF"/>
    <w:rsid w:val="001E3FC4"/>
    <w:rsid w:val="001E434F"/>
    <w:rsid w:val="001E4523"/>
    <w:rsid w:val="001E5CB8"/>
    <w:rsid w:val="001E5F9C"/>
    <w:rsid w:val="001E60C1"/>
    <w:rsid w:val="001E64B6"/>
    <w:rsid w:val="001E7EF8"/>
    <w:rsid w:val="001E7F20"/>
    <w:rsid w:val="001F05BF"/>
    <w:rsid w:val="001F0719"/>
    <w:rsid w:val="001F0F96"/>
    <w:rsid w:val="001F0FA3"/>
    <w:rsid w:val="001F0FEF"/>
    <w:rsid w:val="001F1009"/>
    <w:rsid w:val="001F116D"/>
    <w:rsid w:val="001F1204"/>
    <w:rsid w:val="001F1425"/>
    <w:rsid w:val="001F168D"/>
    <w:rsid w:val="001F18B6"/>
    <w:rsid w:val="001F2209"/>
    <w:rsid w:val="001F249A"/>
    <w:rsid w:val="001F2564"/>
    <w:rsid w:val="001F2A47"/>
    <w:rsid w:val="001F3A19"/>
    <w:rsid w:val="001F4147"/>
    <w:rsid w:val="001F437F"/>
    <w:rsid w:val="001F4730"/>
    <w:rsid w:val="001F4D4D"/>
    <w:rsid w:val="001F66E2"/>
    <w:rsid w:val="001F698A"/>
    <w:rsid w:val="001F6B1F"/>
    <w:rsid w:val="001F6C34"/>
    <w:rsid w:val="00200117"/>
    <w:rsid w:val="00200704"/>
    <w:rsid w:val="00200753"/>
    <w:rsid w:val="002007D2"/>
    <w:rsid w:val="002008FB"/>
    <w:rsid w:val="00200A79"/>
    <w:rsid w:val="0020164C"/>
    <w:rsid w:val="002017C1"/>
    <w:rsid w:val="002024C4"/>
    <w:rsid w:val="00203301"/>
    <w:rsid w:val="0020347F"/>
    <w:rsid w:val="00203B2C"/>
    <w:rsid w:val="00203E3F"/>
    <w:rsid w:val="0020405B"/>
    <w:rsid w:val="00204400"/>
    <w:rsid w:val="00204BA2"/>
    <w:rsid w:val="00204DFA"/>
    <w:rsid w:val="00205211"/>
    <w:rsid w:val="002057A6"/>
    <w:rsid w:val="00205A5F"/>
    <w:rsid w:val="00206790"/>
    <w:rsid w:val="00206B06"/>
    <w:rsid w:val="00206B53"/>
    <w:rsid w:val="00206DF1"/>
    <w:rsid w:val="0020708C"/>
    <w:rsid w:val="0020747C"/>
    <w:rsid w:val="0020772F"/>
    <w:rsid w:val="00207942"/>
    <w:rsid w:val="00207A32"/>
    <w:rsid w:val="00207F17"/>
    <w:rsid w:val="0021011F"/>
    <w:rsid w:val="0021023E"/>
    <w:rsid w:val="002108BE"/>
    <w:rsid w:val="00210AE4"/>
    <w:rsid w:val="00210AF9"/>
    <w:rsid w:val="002111D2"/>
    <w:rsid w:val="00211B19"/>
    <w:rsid w:val="002128FF"/>
    <w:rsid w:val="002137ED"/>
    <w:rsid w:val="00213864"/>
    <w:rsid w:val="00213882"/>
    <w:rsid w:val="00213BD3"/>
    <w:rsid w:val="002142F6"/>
    <w:rsid w:val="002145D5"/>
    <w:rsid w:val="00214DE8"/>
    <w:rsid w:val="002154B4"/>
    <w:rsid w:val="00215964"/>
    <w:rsid w:val="00215E58"/>
    <w:rsid w:val="0021620D"/>
    <w:rsid w:val="00216B7E"/>
    <w:rsid w:val="00216BBC"/>
    <w:rsid w:val="00217E28"/>
    <w:rsid w:val="002202EB"/>
    <w:rsid w:val="00220BCB"/>
    <w:rsid w:val="00221389"/>
    <w:rsid w:val="0022184F"/>
    <w:rsid w:val="00222444"/>
    <w:rsid w:val="00222729"/>
    <w:rsid w:val="002227E4"/>
    <w:rsid w:val="00222AD1"/>
    <w:rsid w:val="00222B12"/>
    <w:rsid w:val="00222C38"/>
    <w:rsid w:val="0022324C"/>
    <w:rsid w:val="0022343B"/>
    <w:rsid w:val="002235E5"/>
    <w:rsid w:val="00223E61"/>
    <w:rsid w:val="002254E9"/>
    <w:rsid w:val="002256BD"/>
    <w:rsid w:val="0022590A"/>
    <w:rsid w:val="00225922"/>
    <w:rsid w:val="00225A43"/>
    <w:rsid w:val="00225D9C"/>
    <w:rsid w:val="00225E74"/>
    <w:rsid w:val="00226171"/>
    <w:rsid w:val="00227960"/>
    <w:rsid w:val="002308E4"/>
    <w:rsid w:val="00231C99"/>
    <w:rsid w:val="00232279"/>
    <w:rsid w:val="00233773"/>
    <w:rsid w:val="00233CF6"/>
    <w:rsid w:val="00233F79"/>
    <w:rsid w:val="00234542"/>
    <w:rsid w:val="00234769"/>
    <w:rsid w:val="00234CCD"/>
    <w:rsid w:val="00234D3A"/>
    <w:rsid w:val="00235004"/>
    <w:rsid w:val="00235B21"/>
    <w:rsid w:val="00235D75"/>
    <w:rsid w:val="00237960"/>
    <w:rsid w:val="00240568"/>
    <w:rsid w:val="0024085D"/>
    <w:rsid w:val="00240DDF"/>
    <w:rsid w:val="002410FE"/>
    <w:rsid w:val="00241254"/>
    <w:rsid w:val="0024196D"/>
    <w:rsid w:val="00241D47"/>
    <w:rsid w:val="00241ED4"/>
    <w:rsid w:val="00242635"/>
    <w:rsid w:val="00242866"/>
    <w:rsid w:val="00242EAC"/>
    <w:rsid w:val="00242F09"/>
    <w:rsid w:val="00242F44"/>
    <w:rsid w:val="0024330E"/>
    <w:rsid w:val="00243662"/>
    <w:rsid w:val="002438FF"/>
    <w:rsid w:val="00243B9D"/>
    <w:rsid w:val="00243F28"/>
    <w:rsid w:val="00245070"/>
    <w:rsid w:val="002454AE"/>
    <w:rsid w:val="00245606"/>
    <w:rsid w:val="00245825"/>
    <w:rsid w:val="00245CCD"/>
    <w:rsid w:val="00245CE2"/>
    <w:rsid w:val="00245E83"/>
    <w:rsid w:val="00245EE3"/>
    <w:rsid w:val="00246599"/>
    <w:rsid w:val="00246D2A"/>
    <w:rsid w:val="002477EA"/>
    <w:rsid w:val="0024788F"/>
    <w:rsid w:val="00247A23"/>
    <w:rsid w:val="00247EC0"/>
    <w:rsid w:val="002500D4"/>
    <w:rsid w:val="002502B8"/>
    <w:rsid w:val="0025056B"/>
    <w:rsid w:val="00250B57"/>
    <w:rsid w:val="00250E42"/>
    <w:rsid w:val="002515F1"/>
    <w:rsid w:val="002519A2"/>
    <w:rsid w:val="00251BD5"/>
    <w:rsid w:val="00251DF8"/>
    <w:rsid w:val="00252AB1"/>
    <w:rsid w:val="0025330B"/>
    <w:rsid w:val="00253672"/>
    <w:rsid w:val="0025375E"/>
    <w:rsid w:val="0025379A"/>
    <w:rsid w:val="002539A7"/>
    <w:rsid w:val="00254FFE"/>
    <w:rsid w:val="00255ADB"/>
    <w:rsid w:val="00255FBF"/>
    <w:rsid w:val="002561B9"/>
    <w:rsid w:val="002563BA"/>
    <w:rsid w:val="00256B78"/>
    <w:rsid w:val="002575D0"/>
    <w:rsid w:val="00260D59"/>
    <w:rsid w:val="00261624"/>
    <w:rsid w:val="002616D3"/>
    <w:rsid w:val="00261DC2"/>
    <w:rsid w:val="0026233D"/>
    <w:rsid w:val="00262405"/>
    <w:rsid w:val="00262701"/>
    <w:rsid w:val="00262A1F"/>
    <w:rsid w:val="00263298"/>
    <w:rsid w:val="002634D7"/>
    <w:rsid w:val="0026490E"/>
    <w:rsid w:val="00264BCE"/>
    <w:rsid w:val="00264BE6"/>
    <w:rsid w:val="00264FD8"/>
    <w:rsid w:val="00265101"/>
    <w:rsid w:val="00265213"/>
    <w:rsid w:val="00265687"/>
    <w:rsid w:val="00265E80"/>
    <w:rsid w:val="00265EB4"/>
    <w:rsid w:val="00266248"/>
    <w:rsid w:val="002662C7"/>
    <w:rsid w:val="00266E5E"/>
    <w:rsid w:val="00266F09"/>
    <w:rsid w:val="00266F31"/>
    <w:rsid w:val="00267A19"/>
    <w:rsid w:val="002715AA"/>
    <w:rsid w:val="0027170F"/>
    <w:rsid w:val="00271925"/>
    <w:rsid w:val="00271CD1"/>
    <w:rsid w:val="00271FF1"/>
    <w:rsid w:val="00272440"/>
    <w:rsid w:val="002727BB"/>
    <w:rsid w:val="00272D35"/>
    <w:rsid w:val="002734CE"/>
    <w:rsid w:val="002734D5"/>
    <w:rsid w:val="00273C28"/>
    <w:rsid w:val="00273F49"/>
    <w:rsid w:val="002746A8"/>
    <w:rsid w:val="0027475C"/>
    <w:rsid w:val="00274B70"/>
    <w:rsid w:val="00275426"/>
    <w:rsid w:val="002756A0"/>
    <w:rsid w:val="002756DD"/>
    <w:rsid w:val="002757FA"/>
    <w:rsid w:val="002758E4"/>
    <w:rsid w:val="00275A7A"/>
    <w:rsid w:val="00275EDC"/>
    <w:rsid w:val="002762F0"/>
    <w:rsid w:val="00276A0F"/>
    <w:rsid w:val="00276FB4"/>
    <w:rsid w:val="0027789D"/>
    <w:rsid w:val="00280088"/>
    <w:rsid w:val="002801EB"/>
    <w:rsid w:val="00280244"/>
    <w:rsid w:val="00280458"/>
    <w:rsid w:val="00280C3C"/>
    <w:rsid w:val="00280CA6"/>
    <w:rsid w:val="00281696"/>
    <w:rsid w:val="00281734"/>
    <w:rsid w:val="00281E98"/>
    <w:rsid w:val="00281F91"/>
    <w:rsid w:val="00281FA1"/>
    <w:rsid w:val="00283291"/>
    <w:rsid w:val="002833C4"/>
    <w:rsid w:val="00283878"/>
    <w:rsid w:val="00283A37"/>
    <w:rsid w:val="00284512"/>
    <w:rsid w:val="00284583"/>
    <w:rsid w:val="002847B0"/>
    <w:rsid w:val="00285ED0"/>
    <w:rsid w:val="00285F67"/>
    <w:rsid w:val="00286154"/>
    <w:rsid w:val="00286160"/>
    <w:rsid w:val="00286206"/>
    <w:rsid w:val="0028645F"/>
    <w:rsid w:val="002864FB"/>
    <w:rsid w:val="00286582"/>
    <w:rsid w:val="00286FF6"/>
    <w:rsid w:val="002871A5"/>
    <w:rsid w:val="00287472"/>
    <w:rsid w:val="00287938"/>
    <w:rsid w:val="002901CE"/>
    <w:rsid w:val="00290604"/>
    <w:rsid w:val="002906CA"/>
    <w:rsid w:val="002909CC"/>
    <w:rsid w:val="00290ABF"/>
    <w:rsid w:val="00290BE3"/>
    <w:rsid w:val="00290E40"/>
    <w:rsid w:val="0029103A"/>
    <w:rsid w:val="00291999"/>
    <w:rsid w:val="00291F5A"/>
    <w:rsid w:val="00292B2B"/>
    <w:rsid w:val="00292FF6"/>
    <w:rsid w:val="0029304F"/>
    <w:rsid w:val="002931D6"/>
    <w:rsid w:val="002933FC"/>
    <w:rsid w:val="002937E2"/>
    <w:rsid w:val="00293D89"/>
    <w:rsid w:val="00294D35"/>
    <w:rsid w:val="00294D76"/>
    <w:rsid w:val="0029500A"/>
    <w:rsid w:val="00295080"/>
    <w:rsid w:val="002950E3"/>
    <w:rsid w:val="002958C9"/>
    <w:rsid w:val="00295B8C"/>
    <w:rsid w:val="00295E9A"/>
    <w:rsid w:val="00295EBC"/>
    <w:rsid w:val="00296492"/>
    <w:rsid w:val="002964A4"/>
    <w:rsid w:val="00296640"/>
    <w:rsid w:val="0029706A"/>
    <w:rsid w:val="00297678"/>
    <w:rsid w:val="00297DB8"/>
    <w:rsid w:val="002A00A3"/>
    <w:rsid w:val="002A013D"/>
    <w:rsid w:val="002A0CE3"/>
    <w:rsid w:val="002A0F61"/>
    <w:rsid w:val="002A1231"/>
    <w:rsid w:val="002A1E00"/>
    <w:rsid w:val="002A211A"/>
    <w:rsid w:val="002A23EF"/>
    <w:rsid w:val="002A2919"/>
    <w:rsid w:val="002A2DC4"/>
    <w:rsid w:val="002A3B02"/>
    <w:rsid w:val="002A3B3C"/>
    <w:rsid w:val="002A402D"/>
    <w:rsid w:val="002A41D6"/>
    <w:rsid w:val="002A43B3"/>
    <w:rsid w:val="002A4DAC"/>
    <w:rsid w:val="002A4F75"/>
    <w:rsid w:val="002A505A"/>
    <w:rsid w:val="002A5C6E"/>
    <w:rsid w:val="002A6CEF"/>
    <w:rsid w:val="002A6D9C"/>
    <w:rsid w:val="002A73C5"/>
    <w:rsid w:val="002A76F6"/>
    <w:rsid w:val="002A77EA"/>
    <w:rsid w:val="002A7A2A"/>
    <w:rsid w:val="002A7BAD"/>
    <w:rsid w:val="002A7CE5"/>
    <w:rsid w:val="002B012C"/>
    <w:rsid w:val="002B032F"/>
    <w:rsid w:val="002B04A9"/>
    <w:rsid w:val="002B098C"/>
    <w:rsid w:val="002B0A2C"/>
    <w:rsid w:val="002B0E95"/>
    <w:rsid w:val="002B103E"/>
    <w:rsid w:val="002B12CF"/>
    <w:rsid w:val="002B16AE"/>
    <w:rsid w:val="002B1B82"/>
    <w:rsid w:val="002B1C20"/>
    <w:rsid w:val="002B2161"/>
    <w:rsid w:val="002B27F3"/>
    <w:rsid w:val="002B285E"/>
    <w:rsid w:val="002B2947"/>
    <w:rsid w:val="002B2C9B"/>
    <w:rsid w:val="002B2F46"/>
    <w:rsid w:val="002B2F92"/>
    <w:rsid w:val="002B3895"/>
    <w:rsid w:val="002B408B"/>
    <w:rsid w:val="002B4165"/>
    <w:rsid w:val="002B4A65"/>
    <w:rsid w:val="002B4EEE"/>
    <w:rsid w:val="002B5233"/>
    <w:rsid w:val="002B5566"/>
    <w:rsid w:val="002B5959"/>
    <w:rsid w:val="002B5DA9"/>
    <w:rsid w:val="002B61F5"/>
    <w:rsid w:val="002B6F2D"/>
    <w:rsid w:val="002B73E7"/>
    <w:rsid w:val="002B7EED"/>
    <w:rsid w:val="002B7F59"/>
    <w:rsid w:val="002C05F9"/>
    <w:rsid w:val="002C0776"/>
    <w:rsid w:val="002C0908"/>
    <w:rsid w:val="002C0A4D"/>
    <w:rsid w:val="002C122A"/>
    <w:rsid w:val="002C1236"/>
    <w:rsid w:val="002C13A4"/>
    <w:rsid w:val="002C1D9D"/>
    <w:rsid w:val="002C20E5"/>
    <w:rsid w:val="002C24EF"/>
    <w:rsid w:val="002C265C"/>
    <w:rsid w:val="002C276B"/>
    <w:rsid w:val="002C27E6"/>
    <w:rsid w:val="002C2AB7"/>
    <w:rsid w:val="002C2E60"/>
    <w:rsid w:val="002C335F"/>
    <w:rsid w:val="002C349D"/>
    <w:rsid w:val="002C3587"/>
    <w:rsid w:val="002C3ABA"/>
    <w:rsid w:val="002C3C8F"/>
    <w:rsid w:val="002C4798"/>
    <w:rsid w:val="002C51D9"/>
    <w:rsid w:val="002C5478"/>
    <w:rsid w:val="002C54B5"/>
    <w:rsid w:val="002C5C11"/>
    <w:rsid w:val="002C5D6B"/>
    <w:rsid w:val="002C5EF5"/>
    <w:rsid w:val="002C679A"/>
    <w:rsid w:val="002C68B4"/>
    <w:rsid w:val="002C6B24"/>
    <w:rsid w:val="002C767B"/>
    <w:rsid w:val="002C7C7F"/>
    <w:rsid w:val="002C7CF9"/>
    <w:rsid w:val="002C7D02"/>
    <w:rsid w:val="002C7E36"/>
    <w:rsid w:val="002C7ED8"/>
    <w:rsid w:val="002C7F83"/>
    <w:rsid w:val="002C7FCC"/>
    <w:rsid w:val="002D037A"/>
    <w:rsid w:val="002D04A2"/>
    <w:rsid w:val="002D058E"/>
    <w:rsid w:val="002D0AFC"/>
    <w:rsid w:val="002D0CAD"/>
    <w:rsid w:val="002D2A7C"/>
    <w:rsid w:val="002D3992"/>
    <w:rsid w:val="002D3CC1"/>
    <w:rsid w:val="002D4711"/>
    <w:rsid w:val="002D4EDA"/>
    <w:rsid w:val="002D51A1"/>
    <w:rsid w:val="002D5372"/>
    <w:rsid w:val="002D5D59"/>
    <w:rsid w:val="002D6760"/>
    <w:rsid w:val="002D70E2"/>
    <w:rsid w:val="002D7656"/>
    <w:rsid w:val="002D781E"/>
    <w:rsid w:val="002E00F1"/>
    <w:rsid w:val="002E01E2"/>
    <w:rsid w:val="002E0761"/>
    <w:rsid w:val="002E07A9"/>
    <w:rsid w:val="002E09BF"/>
    <w:rsid w:val="002E0CC9"/>
    <w:rsid w:val="002E0E08"/>
    <w:rsid w:val="002E1055"/>
    <w:rsid w:val="002E1248"/>
    <w:rsid w:val="002E1880"/>
    <w:rsid w:val="002E24DB"/>
    <w:rsid w:val="002E27EE"/>
    <w:rsid w:val="002E3365"/>
    <w:rsid w:val="002E3559"/>
    <w:rsid w:val="002E3891"/>
    <w:rsid w:val="002E38DD"/>
    <w:rsid w:val="002E38FF"/>
    <w:rsid w:val="002E3EA5"/>
    <w:rsid w:val="002E428A"/>
    <w:rsid w:val="002E443E"/>
    <w:rsid w:val="002E4DC2"/>
    <w:rsid w:val="002E50EF"/>
    <w:rsid w:val="002E5B44"/>
    <w:rsid w:val="002E6205"/>
    <w:rsid w:val="002E6BE8"/>
    <w:rsid w:val="002E6CEE"/>
    <w:rsid w:val="002E6D9A"/>
    <w:rsid w:val="002E7752"/>
    <w:rsid w:val="002E78DE"/>
    <w:rsid w:val="002E7E72"/>
    <w:rsid w:val="002F09D0"/>
    <w:rsid w:val="002F0C81"/>
    <w:rsid w:val="002F0E38"/>
    <w:rsid w:val="002F0FCE"/>
    <w:rsid w:val="002F166E"/>
    <w:rsid w:val="002F18E6"/>
    <w:rsid w:val="002F1AB5"/>
    <w:rsid w:val="002F1EB8"/>
    <w:rsid w:val="002F2314"/>
    <w:rsid w:val="002F2C2E"/>
    <w:rsid w:val="002F2D00"/>
    <w:rsid w:val="002F2F1C"/>
    <w:rsid w:val="002F3541"/>
    <w:rsid w:val="002F3886"/>
    <w:rsid w:val="002F3ADA"/>
    <w:rsid w:val="002F3B57"/>
    <w:rsid w:val="002F3E40"/>
    <w:rsid w:val="002F49D4"/>
    <w:rsid w:val="002F4AD2"/>
    <w:rsid w:val="002F4D96"/>
    <w:rsid w:val="002F509F"/>
    <w:rsid w:val="002F51CE"/>
    <w:rsid w:val="002F55F3"/>
    <w:rsid w:val="002F57C8"/>
    <w:rsid w:val="002F583D"/>
    <w:rsid w:val="002F5B5F"/>
    <w:rsid w:val="002F5D06"/>
    <w:rsid w:val="002F5E65"/>
    <w:rsid w:val="002F6755"/>
    <w:rsid w:val="002F6878"/>
    <w:rsid w:val="002F6BA6"/>
    <w:rsid w:val="002F7424"/>
    <w:rsid w:val="002F7FD9"/>
    <w:rsid w:val="00300268"/>
    <w:rsid w:val="0030053D"/>
    <w:rsid w:val="003008B6"/>
    <w:rsid w:val="00300DC7"/>
    <w:rsid w:val="003013F6"/>
    <w:rsid w:val="003019BF"/>
    <w:rsid w:val="0030216B"/>
    <w:rsid w:val="003029AC"/>
    <w:rsid w:val="00303CBA"/>
    <w:rsid w:val="0030406A"/>
    <w:rsid w:val="003042E9"/>
    <w:rsid w:val="00304301"/>
    <w:rsid w:val="00304964"/>
    <w:rsid w:val="00304C06"/>
    <w:rsid w:val="00304E2F"/>
    <w:rsid w:val="0030505C"/>
    <w:rsid w:val="00305D85"/>
    <w:rsid w:val="00305FCB"/>
    <w:rsid w:val="0030607A"/>
    <w:rsid w:val="003060BB"/>
    <w:rsid w:val="00306CCA"/>
    <w:rsid w:val="00306EAC"/>
    <w:rsid w:val="003075B6"/>
    <w:rsid w:val="00307926"/>
    <w:rsid w:val="00307FCC"/>
    <w:rsid w:val="00310035"/>
    <w:rsid w:val="0031053D"/>
    <w:rsid w:val="003107A8"/>
    <w:rsid w:val="00310C51"/>
    <w:rsid w:val="00311073"/>
    <w:rsid w:val="003113D6"/>
    <w:rsid w:val="00311618"/>
    <w:rsid w:val="00311C4D"/>
    <w:rsid w:val="00311C79"/>
    <w:rsid w:val="003123F6"/>
    <w:rsid w:val="0031255C"/>
    <w:rsid w:val="003134EE"/>
    <w:rsid w:val="0031382B"/>
    <w:rsid w:val="00313CED"/>
    <w:rsid w:val="00314C9C"/>
    <w:rsid w:val="0031515C"/>
    <w:rsid w:val="003154F5"/>
    <w:rsid w:val="00315C05"/>
    <w:rsid w:val="003168EF"/>
    <w:rsid w:val="00316D97"/>
    <w:rsid w:val="00317188"/>
    <w:rsid w:val="003172FA"/>
    <w:rsid w:val="00317AF9"/>
    <w:rsid w:val="003202B1"/>
    <w:rsid w:val="00320C4B"/>
    <w:rsid w:val="00321104"/>
    <w:rsid w:val="0032191B"/>
    <w:rsid w:val="00322501"/>
    <w:rsid w:val="00322513"/>
    <w:rsid w:val="00322B6E"/>
    <w:rsid w:val="00322E5E"/>
    <w:rsid w:val="00322FCB"/>
    <w:rsid w:val="003230CA"/>
    <w:rsid w:val="003232DE"/>
    <w:rsid w:val="00323530"/>
    <w:rsid w:val="00323577"/>
    <w:rsid w:val="00323A97"/>
    <w:rsid w:val="00324238"/>
    <w:rsid w:val="00324A20"/>
    <w:rsid w:val="00324EF8"/>
    <w:rsid w:val="0032587E"/>
    <w:rsid w:val="00325A16"/>
    <w:rsid w:val="00325DB3"/>
    <w:rsid w:val="003263A6"/>
    <w:rsid w:val="003267FA"/>
    <w:rsid w:val="003268BA"/>
    <w:rsid w:val="00326C51"/>
    <w:rsid w:val="00326DC5"/>
    <w:rsid w:val="0032724B"/>
    <w:rsid w:val="00327CF8"/>
    <w:rsid w:val="003302C2"/>
    <w:rsid w:val="00330344"/>
    <w:rsid w:val="00330588"/>
    <w:rsid w:val="003316A1"/>
    <w:rsid w:val="003316D2"/>
    <w:rsid w:val="00332523"/>
    <w:rsid w:val="00332655"/>
    <w:rsid w:val="003329F5"/>
    <w:rsid w:val="00332A53"/>
    <w:rsid w:val="00332B94"/>
    <w:rsid w:val="00332C53"/>
    <w:rsid w:val="00333DF0"/>
    <w:rsid w:val="00334258"/>
    <w:rsid w:val="00334AC9"/>
    <w:rsid w:val="0033509D"/>
    <w:rsid w:val="00335131"/>
    <w:rsid w:val="00335407"/>
    <w:rsid w:val="0033552B"/>
    <w:rsid w:val="003356AB"/>
    <w:rsid w:val="003356F7"/>
    <w:rsid w:val="00335704"/>
    <w:rsid w:val="003359FD"/>
    <w:rsid w:val="003365AE"/>
    <w:rsid w:val="00336FD8"/>
    <w:rsid w:val="0033724A"/>
    <w:rsid w:val="00337590"/>
    <w:rsid w:val="00337E17"/>
    <w:rsid w:val="0034068C"/>
    <w:rsid w:val="00340728"/>
    <w:rsid w:val="00340A6E"/>
    <w:rsid w:val="00340FE4"/>
    <w:rsid w:val="00341D71"/>
    <w:rsid w:val="003424C2"/>
    <w:rsid w:val="0034273F"/>
    <w:rsid w:val="003427D7"/>
    <w:rsid w:val="00342CB7"/>
    <w:rsid w:val="00343202"/>
    <w:rsid w:val="003439DB"/>
    <w:rsid w:val="00343B69"/>
    <w:rsid w:val="00343FD2"/>
    <w:rsid w:val="00344220"/>
    <w:rsid w:val="00344336"/>
    <w:rsid w:val="003444AA"/>
    <w:rsid w:val="003448C9"/>
    <w:rsid w:val="00344E68"/>
    <w:rsid w:val="00345699"/>
    <w:rsid w:val="003457FC"/>
    <w:rsid w:val="003461FE"/>
    <w:rsid w:val="00346282"/>
    <w:rsid w:val="00346511"/>
    <w:rsid w:val="00346803"/>
    <w:rsid w:val="00346926"/>
    <w:rsid w:val="0034704A"/>
    <w:rsid w:val="00347A1F"/>
    <w:rsid w:val="003501E5"/>
    <w:rsid w:val="00350EDC"/>
    <w:rsid w:val="0035102F"/>
    <w:rsid w:val="003513C0"/>
    <w:rsid w:val="00351B5B"/>
    <w:rsid w:val="00351BD1"/>
    <w:rsid w:val="00351D65"/>
    <w:rsid w:val="00351E47"/>
    <w:rsid w:val="003527E4"/>
    <w:rsid w:val="00352F4E"/>
    <w:rsid w:val="00353048"/>
    <w:rsid w:val="00354D29"/>
    <w:rsid w:val="00354ECF"/>
    <w:rsid w:val="0035533E"/>
    <w:rsid w:val="00355DA4"/>
    <w:rsid w:val="003561BC"/>
    <w:rsid w:val="0035663D"/>
    <w:rsid w:val="00356BEB"/>
    <w:rsid w:val="0035739F"/>
    <w:rsid w:val="003601DD"/>
    <w:rsid w:val="0036021D"/>
    <w:rsid w:val="00360254"/>
    <w:rsid w:val="003607E5"/>
    <w:rsid w:val="00360FCF"/>
    <w:rsid w:val="00361651"/>
    <w:rsid w:val="0036289B"/>
    <w:rsid w:val="00362C0C"/>
    <w:rsid w:val="00363525"/>
    <w:rsid w:val="00363B1C"/>
    <w:rsid w:val="00363C8C"/>
    <w:rsid w:val="00364BBF"/>
    <w:rsid w:val="00364D45"/>
    <w:rsid w:val="003650F7"/>
    <w:rsid w:val="00365468"/>
    <w:rsid w:val="003655FD"/>
    <w:rsid w:val="003657B5"/>
    <w:rsid w:val="00365A8F"/>
    <w:rsid w:val="00365EED"/>
    <w:rsid w:val="00366288"/>
    <w:rsid w:val="00367409"/>
    <w:rsid w:val="003676F1"/>
    <w:rsid w:val="00367F61"/>
    <w:rsid w:val="003706B0"/>
    <w:rsid w:val="003707F4"/>
    <w:rsid w:val="00371D5D"/>
    <w:rsid w:val="0037280F"/>
    <w:rsid w:val="003728FF"/>
    <w:rsid w:val="00372A29"/>
    <w:rsid w:val="003735F6"/>
    <w:rsid w:val="0037399E"/>
    <w:rsid w:val="003739CE"/>
    <w:rsid w:val="003739ED"/>
    <w:rsid w:val="00373B74"/>
    <w:rsid w:val="00373BFB"/>
    <w:rsid w:val="00373E19"/>
    <w:rsid w:val="00374312"/>
    <w:rsid w:val="0037438C"/>
    <w:rsid w:val="003751CC"/>
    <w:rsid w:val="00375574"/>
    <w:rsid w:val="003763C4"/>
    <w:rsid w:val="00376672"/>
    <w:rsid w:val="00376925"/>
    <w:rsid w:val="00376FC0"/>
    <w:rsid w:val="003776C2"/>
    <w:rsid w:val="0037796E"/>
    <w:rsid w:val="00377A03"/>
    <w:rsid w:val="00380B9B"/>
    <w:rsid w:val="00380DAD"/>
    <w:rsid w:val="0038124A"/>
    <w:rsid w:val="00381375"/>
    <w:rsid w:val="0038159D"/>
    <w:rsid w:val="00381797"/>
    <w:rsid w:val="00381905"/>
    <w:rsid w:val="00381B03"/>
    <w:rsid w:val="0038332B"/>
    <w:rsid w:val="003845A3"/>
    <w:rsid w:val="0038470A"/>
    <w:rsid w:val="00384804"/>
    <w:rsid w:val="00384D44"/>
    <w:rsid w:val="00384D6C"/>
    <w:rsid w:val="00384D8F"/>
    <w:rsid w:val="00384F0C"/>
    <w:rsid w:val="0038579B"/>
    <w:rsid w:val="00385C4F"/>
    <w:rsid w:val="00386B39"/>
    <w:rsid w:val="0038739D"/>
    <w:rsid w:val="00387979"/>
    <w:rsid w:val="00391054"/>
    <w:rsid w:val="003911C7"/>
    <w:rsid w:val="00391238"/>
    <w:rsid w:val="00391302"/>
    <w:rsid w:val="00391315"/>
    <w:rsid w:val="003921AA"/>
    <w:rsid w:val="003923BE"/>
    <w:rsid w:val="00392D2D"/>
    <w:rsid w:val="0039320B"/>
    <w:rsid w:val="00393E92"/>
    <w:rsid w:val="00393F3B"/>
    <w:rsid w:val="00394143"/>
    <w:rsid w:val="0039442E"/>
    <w:rsid w:val="00394BB7"/>
    <w:rsid w:val="00395328"/>
    <w:rsid w:val="00395A1B"/>
    <w:rsid w:val="00395C6C"/>
    <w:rsid w:val="00396124"/>
    <w:rsid w:val="00396606"/>
    <w:rsid w:val="00396AF9"/>
    <w:rsid w:val="00396F11"/>
    <w:rsid w:val="0039727D"/>
    <w:rsid w:val="003A060B"/>
    <w:rsid w:val="003A07B7"/>
    <w:rsid w:val="003A0875"/>
    <w:rsid w:val="003A0BCD"/>
    <w:rsid w:val="003A0E0E"/>
    <w:rsid w:val="003A0EEE"/>
    <w:rsid w:val="003A155C"/>
    <w:rsid w:val="003A1D57"/>
    <w:rsid w:val="003A1E02"/>
    <w:rsid w:val="003A2084"/>
    <w:rsid w:val="003A241E"/>
    <w:rsid w:val="003A2B05"/>
    <w:rsid w:val="003A2F04"/>
    <w:rsid w:val="003A308E"/>
    <w:rsid w:val="003A31CD"/>
    <w:rsid w:val="003A374D"/>
    <w:rsid w:val="003A46B2"/>
    <w:rsid w:val="003A498E"/>
    <w:rsid w:val="003A4CC2"/>
    <w:rsid w:val="003A64A1"/>
    <w:rsid w:val="003A668C"/>
    <w:rsid w:val="003A726F"/>
    <w:rsid w:val="003A765C"/>
    <w:rsid w:val="003A7B3E"/>
    <w:rsid w:val="003B068B"/>
    <w:rsid w:val="003B07BF"/>
    <w:rsid w:val="003B09FB"/>
    <w:rsid w:val="003B0B91"/>
    <w:rsid w:val="003B0E0C"/>
    <w:rsid w:val="003B0E82"/>
    <w:rsid w:val="003B0FC8"/>
    <w:rsid w:val="003B1C3A"/>
    <w:rsid w:val="003B2273"/>
    <w:rsid w:val="003B23F6"/>
    <w:rsid w:val="003B295C"/>
    <w:rsid w:val="003B2BF0"/>
    <w:rsid w:val="003B2C2A"/>
    <w:rsid w:val="003B321B"/>
    <w:rsid w:val="003B328C"/>
    <w:rsid w:val="003B3649"/>
    <w:rsid w:val="003B38F1"/>
    <w:rsid w:val="003B3924"/>
    <w:rsid w:val="003B398C"/>
    <w:rsid w:val="003B4181"/>
    <w:rsid w:val="003B4434"/>
    <w:rsid w:val="003B4818"/>
    <w:rsid w:val="003B4942"/>
    <w:rsid w:val="003B51BC"/>
    <w:rsid w:val="003B55F3"/>
    <w:rsid w:val="003B5D2D"/>
    <w:rsid w:val="003B5FF7"/>
    <w:rsid w:val="003B630B"/>
    <w:rsid w:val="003B6713"/>
    <w:rsid w:val="003B6A82"/>
    <w:rsid w:val="003B6C53"/>
    <w:rsid w:val="003B6F1B"/>
    <w:rsid w:val="003B6F82"/>
    <w:rsid w:val="003B7590"/>
    <w:rsid w:val="003B7746"/>
    <w:rsid w:val="003B7B0F"/>
    <w:rsid w:val="003B7EA6"/>
    <w:rsid w:val="003C0256"/>
    <w:rsid w:val="003C0A0C"/>
    <w:rsid w:val="003C1606"/>
    <w:rsid w:val="003C1C89"/>
    <w:rsid w:val="003C1EDB"/>
    <w:rsid w:val="003C2076"/>
    <w:rsid w:val="003C20B3"/>
    <w:rsid w:val="003C268D"/>
    <w:rsid w:val="003C2734"/>
    <w:rsid w:val="003C35D4"/>
    <w:rsid w:val="003C375E"/>
    <w:rsid w:val="003C3E46"/>
    <w:rsid w:val="003C49C2"/>
    <w:rsid w:val="003C5C68"/>
    <w:rsid w:val="003C5E1E"/>
    <w:rsid w:val="003C633B"/>
    <w:rsid w:val="003C71F1"/>
    <w:rsid w:val="003C752B"/>
    <w:rsid w:val="003C773D"/>
    <w:rsid w:val="003C78C2"/>
    <w:rsid w:val="003C7EF0"/>
    <w:rsid w:val="003D07C2"/>
    <w:rsid w:val="003D0958"/>
    <w:rsid w:val="003D0A31"/>
    <w:rsid w:val="003D0DE0"/>
    <w:rsid w:val="003D0F35"/>
    <w:rsid w:val="003D1187"/>
    <w:rsid w:val="003D13D0"/>
    <w:rsid w:val="003D1858"/>
    <w:rsid w:val="003D2785"/>
    <w:rsid w:val="003D2D6C"/>
    <w:rsid w:val="003D30BA"/>
    <w:rsid w:val="003D3340"/>
    <w:rsid w:val="003D37FD"/>
    <w:rsid w:val="003D3DD3"/>
    <w:rsid w:val="003D3FEB"/>
    <w:rsid w:val="003D414E"/>
    <w:rsid w:val="003D4A2B"/>
    <w:rsid w:val="003D4A71"/>
    <w:rsid w:val="003D5291"/>
    <w:rsid w:val="003D5B35"/>
    <w:rsid w:val="003D5C0D"/>
    <w:rsid w:val="003D5E8D"/>
    <w:rsid w:val="003D655F"/>
    <w:rsid w:val="003D661C"/>
    <w:rsid w:val="003D6ABB"/>
    <w:rsid w:val="003D6BF8"/>
    <w:rsid w:val="003D6F7E"/>
    <w:rsid w:val="003D7277"/>
    <w:rsid w:val="003D76B6"/>
    <w:rsid w:val="003D7C84"/>
    <w:rsid w:val="003E0253"/>
    <w:rsid w:val="003E0F6D"/>
    <w:rsid w:val="003E1BF8"/>
    <w:rsid w:val="003E23D0"/>
    <w:rsid w:val="003E25F2"/>
    <w:rsid w:val="003E278B"/>
    <w:rsid w:val="003E30DF"/>
    <w:rsid w:val="003E345A"/>
    <w:rsid w:val="003E34E9"/>
    <w:rsid w:val="003E3800"/>
    <w:rsid w:val="003E3E76"/>
    <w:rsid w:val="003E4361"/>
    <w:rsid w:val="003E4760"/>
    <w:rsid w:val="003E4E97"/>
    <w:rsid w:val="003E53D0"/>
    <w:rsid w:val="003E5943"/>
    <w:rsid w:val="003E5A51"/>
    <w:rsid w:val="003E5C4C"/>
    <w:rsid w:val="003E6605"/>
    <w:rsid w:val="003E66D4"/>
    <w:rsid w:val="003E66E5"/>
    <w:rsid w:val="003E6E9B"/>
    <w:rsid w:val="003E722C"/>
    <w:rsid w:val="003E73D3"/>
    <w:rsid w:val="003E78B6"/>
    <w:rsid w:val="003E78DA"/>
    <w:rsid w:val="003E7ED8"/>
    <w:rsid w:val="003F00E2"/>
    <w:rsid w:val="003F0A39"/>
    <w:rsid w:val="003F110E"/>
    <w:rsid w:val="003F18A7"/>
    <w:rsid w:val="003F1D4B"/>
    <w:rsid w:val="003F1F4B"/>
    <w:rsid w:val="003F2015"/>
    <w:rsid w:val="003F2031"/>
    <w:rsid w:val="003F23B9"/>
    <w:rsid w:val="003F2959"/>
    <w:rsid w:val="003F373E"/>
    <w:rsid w:val="003F3AD9"/>
    <w:rsid w:val="003F3B0A"/>
    <w:rsid w:val="003F3EB9"/>
    <w:rsid w:val="003F4A5D"/>
    <w:rsid w:val="003F4B46"/>
    <w:rsid w:val="003F5C5D"/>
    <w:rsid w:val="003F61A7"/>
    <w:rsid w:val="003F6427"/>
    <w:rsid w:val="003F6521"/>
    <w:rsid w:val="003F6ACE"/>
    <w:rsid w:val="003F7C1D"/>
    <w:rsid w:val="003F7EF8"/>
    <w:rsid w:val="00400158"/>
    <w:rsid w:val="00400BF7"/>
    <w:rsid w:val="00400FB7"/>
    <w:rsid w:val="0040109C"/>
    <w:rsid w:val="0040170C"/>
    <w:rsid w:val="00401770"/>
    <w:rsid w:val="00401DDE"/>
    <w:rsid w:val="00401E95"/>
    <w:rsid w:val="00401FC3"/>
    <w:rsid w:val="00402591"/>
    <w:rsid w:val="0040286A"/>
    <w:rsid w:val="004029A3"/>
    <w:rsid w:val="004029FB"/>
    <w:rsid w:val="004029FE"/>
    <w:rsid w:val="004031FF"/>
    <w:rsid w:val="00403668"/>
    <w:rsid w:val="004037AC"/>
    <w:rsid w:val="004043A3"/>
    <w:rsid w:val="00404D58"/>
    <w:rsid w:val="00404EE0"/>
    <w:rsid w:val="0040572A"/>
    <w:rsid w:val="00405AD0"/>
    <w:rsid w:val="00405E9B"/>
    <w:rsid w:val="004060D0"/>
    <w:rsid w:val="0040630E"/>
    <w:rsid w:val="0040656D"/>
    <w:rsid w:val="00406647"/>
    <w:rsid w:val="00406A8C"/>
    <w:rsid w:val="00406F92"/>
    <w:rsid w:val="0040712B"/>
    <w:rsid w:val="004075F4"/>
    <w:rsid w:val="00407966"/>
    <w:rsid w:val="004102F4"/>
    <w:rsid w:val="004104BB"/>
    <w:rsid w:val="004106AD"/>
    <w:rsid w:val="004109DE"/>
    <w:rsid w:val="004109FA"/>
    <w:rsid w:val="00410A0F"/>
    <w:rsid w:val="00410EFB"/>
    <w:rsid w:val="0041194F"/>
    <w:rsid w:val="0041226A"/>
    <w:rsid w:val="00412537"/>
    <w:rsid w:val="00412678"/>
    <w:rsid w:val="00412880"/>
    <w:rsid w:val="00412A3C"/>
    <w:rsid w:val="00412D43"/>
    <w:rsid w:val="004132C5"/>
    <w:rsid w:val="004145D8"/>
    <w:rsid w:val="00414BB7"/>
    <w:rsid w:val="00415B20"/>
    <w:rsid w:val="00415DDB"/>
    <w:rsid w:val="004163B6"/>
    <w:rsid w:val="00416DCB"/>
    <w:rsid w:val="00417316"/>
    <w:rsid w:val="0041738B"/>
    <w:rsid w:val="0041783D"/>
    <w:rsid w:val="004178AA"/>
    <w:rsid w:val="004178F7"/>
    <w:rsid w:val="00417AEC"/>
    <w:rsid w:val="00417B77"/>
    <w:rsid w:val="00420172"/>
    <w:rsid w:val="00420244"/>
    <w:rsid w:val="00420A53"/>
    <w:rsid w:val="0042179A"/>
    <w:rsid w:val="00421819"/>
    <w:rsid w:val="00421AEE"/>
    <w:rsid w:val="00421B97"/>
    <w:rsid w:val="00421CB3"/>
    <w:rsid w:val="004223F7"/>
    <w:rsid w:val="00422925"/>
    <w:rsid w:val="00423903"/>
    <w:rsid w:val="00423FC1"/>
    <w:rsid w:val="00424594"/>
    <w:rsid w:val="004247E2"/>
    <w:rsid w:val="00424855"/>
    <w:rsid w:val="00424911"/>
    <w:rsid w:val="00424921"/>
    <w:rsid w:val="00424C6E"/>
    <w:rsid w:val="00424D46"/>
    <w:rsid w:val="0042500E"/>
    <w:rsid w:val="0042503E"/>
    <w:rsid w:val="0042520A"/>
    <w:rsid w:val="004254DE"/>
    <w:rsid w:val="0042552E"/>
    <w:rsid w:val="00425A3F"/>
    <w:rsid w:val="00425C7F"/>
    <w:rsid w:val="00425F47"/>
    <w:rsid w:val="00425FE4"/>
    <w:rsid w:val="00426489"/>
    <w:rsid w:val="00426D76"/>
    <w:rsid w:val="00426E43"/>
    <w:rsid w:val="00426F5F"/>
    <w:rsid w:val="00426F6D"/>
    <w:rsid w:val="00427845"/>
    <w:rsid w:val="00427B5D"/>
    <w:rsid w:val="00427C7C"/>
    <w:rsid w:val="00430214"/>
    <w:rsid w:val="004303AB"/>
    <w:rsid w:val="004303C7"/>
    <w:rsid w:val="004304D4"/>
    <w:rsid w:val="004307C6"/>
    <w:rsid w:val="00430A96"/>
    <w:rsid w:val="004313F2"/>
    <w:rsid w:val="004319A7"/>
    <w:rsid w:val="00431CA4"/>
    <w:rsid w:val="0043268F"/>
    <w:rsid w:val="00432E46"/>
    <w:rsid w:val="00433020"/>
    <w:rsid w:val="00433043"/>
    <w:rsid w:val="004331B2"/>
    <w:rsid w:val="004334D2"/>
    <w:rsid w:val="00434062"/>
    <w:rsid w:val="004348D6"/>
    <w:rsid w:val="00434AD5"/>
    <w:rsid w:val="00434B90"/>
    <w:rsid w:val="00434DD2"/>
    <w:rsid w:val="004356BC"/>
    <w:rsid w:val="0043579E"/>
    <w:rsid w:val="004361E6"/>
    <w:rsid w:val="004361FD"/>
    <w:rsid w:val="004362FB"/>
    <w:rsid w:val="0043642C"/>
    <w:rsid w:val="00436575"/>
    <w:rsid w:val="00436F06"/>
    <w:rsid w:val="00436F0E"/>
    <w:rsid w:val="0043785C"/>
    <w:rsid w:val="004378D5"/>
    <w:rsid w:val="00437D7F"/>
    <w:rsid w:val="0044069B"/>
    <w:rsid w:val="00441587"/>
    <w:rsid w:val="004417D5"/>
    <w:rsid w:val="00441991"/>
    <w:rsid w:val="0044209E"/>
    <w:rsid w:val="00442429"/>
    <w:rsid w:val="00442C4E"/>
    <w:rsid w:val="00442C9E"/>
    <w:rsid w:val="00442D17"/>
    <w:rsid w:val="004439A6"/>
    <w:rsid w:val="00443B09"/>
    <w:rsid w:val="004443A5"/>
    <w:rsid w:val="00444550"/>
    <w:rsid w:val="00444DE0"/>
    <w:rsid w:val="0044545E"/>
    <w:rsid w:val="00445524"/>
    <w:rsid w:val="004455FC"/>
    <w:rsid w:val="00445DC3"/>
    <w:rsid w:val="004463AD"/>
    <w:rsid w:val="00446540"/>
    <w:rsid w:val="004466F8"/>
    <w:rsid w:val="00446869"/>
    <w:rsid w:val="004472E5"/>
    <w:rsid w:val="00447DB5"/>
    <w:rsid w:val="0045009D"/>
    <w:rsid w:val="004500EE"/>
    <w:rsid w:val="004506B5"/>
    <w:rsid w:val="004507E5"/>
    <w:rsid w:val="00450889"/>
    <w:rsid w:val="004509EE"/>
    <w:rsid w:val="00451219"/>
    <w:rsid w:val="0045132B"/>
    <w:rsid w:val="00451DF1"/>
    <w:rsid w:val="00452E06"/>
    <w:rsid w:val="00452FF8"/>
    <w:rsid w:val="004532D7"/>
    <w:rsid w:val="0045443F"/>
    <w:rsid w:val="00454796"/>
    <w:rsid w:val="004547E8"/>
    <w:rsid w:val="00454D48"/>
    <w:rsid w:val="00454D53"/>
    <w:rsid w:val="00454EC2"/>
    <w:rsid w:val="00455031"/>
    <w:rsid w:val="00455747"/>
    <w:rsid w:val="00455CD0"/>
    <w:rsid w:val="00455E22"/>
    <w:rsid w:val="00455E77"/>
    <w:rsid w:val="00455EEC"/>
    <w:rsid w:val="00455F0E"/>
    <w:rsid w:val="00456039"/>
    <w:rsid w:val="00456FEA"/>
    <w:rsid w:val="0045701D"/>
    <w:rsid w:val="004576BA"/>
    <w:rsid w:val="0045781E"/>
    <w:rsid w:val="00457B21"/>
    <w:rsid w:val="00457D7A"/>
    <w:rsid w:val="00457DCA"/>
    <w:rsid w:val="00460E1A"/>
    <w:rsid w:val="004613AB"/>
    <w:rsid w:val="00461701"/>
    <w:rsid w:val="00462183"/>
    <w:rsid w:val="004623F3"/>
    <w:rsid w:val="0046242D"/>
    <w:rsid w:val="00462593"/>
    <w:rsid w:val="004625B0"/>
    <w:rsid w:val="00462A45"/>
    <w:rsid w:val="00462C0D"/>
    <w:rsid w:val="00462F2C"/>
    <w:rsid w:val="00462FA8"/>
    <w:rsid w:val="00463571"/>
    <w:rsid w:val="00463837"/>
    <w:rsid w:val="004639CC"/>
    <w:rsid w:val="00463CCC"/>
    <w:rsid w:val="00463D76"/>
    <w:rsid w:val="00463F93"/>
    <w:rsid w:val="00464020"/>
    <w:rsid w:val="004642A9"/>
    <w:rsid w:val="00464895"/>
    <w:rsid w:val="00464915"/>
    <w:rsid w:val="00464E6A"/>
    <w:rsid w:val="00464F79"/>
    <w:rsid w:val="0046573D"/>
    <w:rsid w:val="004658C9"/>
    <w:rsid w:val="0046598C"/>
    <w:rsid w:val="00465C13"/>
    <w:rsid w:val="00466264"/>
    <w:rsid w:val="004665F1"/>
    <w:rsid w:val="00466958"/>
    <w:rsid w:val="00466E14"/>
    <w:rsid w:val="00466F65"/>
    <w:rsid w:val="00467280"/>
    <w:rsid w:val="0047014C"/>
    <w:rsid w:val="004702E0"/>
    <w:rsid w:val="00470EE7"/>
    <w:rsid w:val="004713EB"/>
    <w:rsid w:val="004718B5"/>
    <w:rsid w:val="00471990"/>
    <w:rsid w:val="00471AF2"/>
    <w:rsid w:val="00471B3B"/>
    <w:rsid w:val="00471C20"/>
    <w:rsid w:val="004728B7"/>
    <w:rsid w:val="00472EA3"/>
    <w:rsid w:val="00472F13"/>
    <w:rsid w:val="00473D4E"/>
    <w:rsid w:val="004745B5"/>
    <w:rsid w:val="004751D0"/>
    <w:rsid w:val="0047536B"/>
    <w:rsid w:val="004754B7"/>
    <w:rsid w:val="004759CC"/>
    <w:rsid w:val="00475F48"/>
    <w:rsid w:val="0047606B"/>
    <w:rsid w:val="0047635E"/>
    <w:rsid w:val="0047672B"/>
    <w:rsid w:val="004769F2"/>
    <w:rsid w:val="00476BFE"/>
    <w:rsid w:val="00476E5F"/>
    <w:rsid w:val="00476FE8"/>
    <w:rsid w:val="0047722F"/>
    <w:rsid w:val="0047738D"/>
    <w:rsid w:val="00477474"/>
    <w:rsid w:val="00477783"/>
    <w:rsid w:val="00477A52"/>
    <w:rsid w:val="00477EE1"/>
    <w:rsid w:val="0048071F"/>
    <w:rsid w:val="00480746"/>
    <w:rsid w:val="00480E85"/>
    <w:rsid w:val="004812D3"/>
    <w:rsid w:val="0048173E"/>
    <w:rsid w:val="004819C4"/>
    <w:rsid w:val="00481DB0"/>
    <w:rsid w:val="00481F36"/>
    <w:rsid w:val="00482041"/>
    <w:rsid w:val="004823BD"/>
    <w:rsid w:val="004825B6"/>
    <w:rsid w:val="004826C6"/>
    <w:rsid w:val="0048276E"/>
    <w:rsid w:val="004829B2"/>
    <w:rsid w:val="00482D0A"/>
    <w:rsid w:val="004830AE"/>
    <w:rsid w:val="004830C0"/>
    <w:rsid w:val="00483225"/>
    <w:rsid w:val="004832FC"/>
    <w:rsid w:val="00483BBF"/>
    <w:rsid w:val="00483D62"/>
    <w:rsid w:val="00484744"/>
    <w:rsid w:val="00484D28"/>
    <w:rsid w:val="00485B63"/>
    <w:rsid w:val="00485DFF"/>
    <w:rsid w:val="004861F8"/>
    <w:rsid w:val="00486894"/>
    <w:rsid w:val="0048735D"/>
    <w:rsid w:val="004876E8"/>
    <w:rsid w:val="0049068C"/>
    <w:rsid w:val="0049075A"/>
    <w:rsid w:val="00490E8C"/>
    <w:rsid w:val="00490FBB"/>
    <w:rsid w:val="00491522"/>
    <w:rsid w:val="0049175C"/>
    <w:rsid w:val="00491A94"/>
    <w:rsid w:val="00491E90"/>
    <w:rsid w:val="00492156"/>
    <w:rsid w:val="004921AC"/>
    <w:rsid w:val="0049226C"/>
    <w:rsid w:val="004923B5"/>
    <w:rsid w:val="00492975"/>
    <w:rsid w:val="00492FC6"/>
    <w:rsid w:val="0049304C"/>
    <w:rsid w:val="004931FC"/>
    <w:rsid w:val="00493910"/>
    <w:rsid w:val="00493E63"/>
    <w:rsid w:val="004940C4"/>
    <w:rsid w:val="00494507"/>
    <w:rsid w:val="004953CE"/>
    <w:rsid w:val="00495FF5"/>
    <w:rsid w:val="0049679A"/>
    <w:rsid w:val="0049698C"/>
    <w:rsid w:val="0049754B"/>
    <w:rsid w:val="00497ABD"/>
    <w:rsid w:val="00497EE9"/>
    <w:rsid w:val="004A01C2"/>
    <w:rsid w:val="004A05BC"/>
    <w:rsid w:val="004A0775"/>
    <w:rsid w:val="004A08D1"/>
    <w:rsid w:val="004A0BC4"/>
    <w:rsid w:val="004A0FFA"/>
    <w:rsid w:val="004A1E7F"/>
    <w:rsid w:val="004A2C41"/>
    <w:rsid w:val="004A3261"/>
    <w:rsid w:val="004A3354"/>
    <w:rsid w:val="004A3BD4"/>
    <w:rsid w:val="004A3BDD"/>
    <w:rsid w:val="004A3F98"/>
    <w:rsid w:val="004A4004"/>
    <w:rsid w:val="004A49A5"/>
    <w:rsid w:val="004A4C55"/>
    <w:rsid w:val="004A5B34"/>
    <w:rsid w:val="004A5D34"/>
    <w:rsid w:val="004A5DB0"/>
    <w:rsid w:val="004A6D6F"/>
    <w:rsid w:val="004A6E0B"/>
    <w:rsid w:val="004A7026"/>
    <w:rsid w:val="004A752C"/>
    <w:rsid w:val="004B0D0F"/>
    <w:rsid w:val="004B1284"/>
    <w:rsid w:val="004B1557"/>
    <w:rsid w:val="004B15D0"/>
    <w:rsid w:val="004B165C"/>
    <w:rsid w:val="004B1D74"/>
    <w:rsid w:val="004B1E55"/>
    <w:rsid w:val="004B214C"/>
    <w:rsid w:val="004B2737"/>
    <w:rsid w:val="004B3217"/>
    <w:rsid w:val="004B38E9"/>
    <w:rsid w:val="004B4066"/>
    <w:rsid w:val="004B44D3"/>
    <w:rsid w:val="004B497A"/>
    <w:rsid w:val="004B62B3"/>
    <w:rsid w:val="004B66B1"/>
    <w:rsid w:val="004B6A41"/>
    <w:rsid w:val="004B6ED5"/>
    <w:rsid w:val="004B738D"/>
    <w:rsid w:val="004B7540"/>
    <w:rsid w:val="004B77D5"/>
    <w:rsid w:val="004B7AB7"/>
    <w:rsid w:val="004B7BB6"/>
    <w:rsid w:val="004B7BF9"/>
    <w:rsid w:val="004C078E"/>
    <w:rsid w:val="004C0900"/>
    <w:rsid w:val="004C0A89"/>
    <w:rsid w:val="004C0EDA"/>
    <w:rsid w:val="004C12B4"/>
    <w:rsid w:val="004C16A9"/>
    <w:rsid w:val="004C224C"/>
    <w:rsid w:val="004C272E"/>
    <w:rsid w:val="004C27A7"/>
    <w:rsid w:val="004C29E1"/>
    <w:rsid w:val="004C2C3A"/>
    <w:rsid w:val="004C2C5E"/>
    <w:rsid w:val="004C2DEB"/>
    <w:rsid w:val="004C3138"/>
    <w:rsid w:val="004C3328"/>
    <w:rsid w:val="004C33A7"/>
    <w:rsid w:val="004C35C6"/>
    <w:rsid w:val="004C3A1E"/>
    <w:rsid w:val="004C3A3F"/>
    <w:rsid w:val="004C3A5F"/>
    <w:rsid w:val="004C3FFC"/>
    <w:rsid w:val="004C401D"/>
    <w:rsid w:val="004C41A3"/>
    <w:rsid w:val="004C4200"/>
    <w:rsid w:val="004C4486"/>
    <w:rsid w:val="004C45C6"/>
    <w:rsid w:val="004C4736"/>
    <w:rsid w:val="004C4DE5"/>
    <w:rsid w:val="004C54A1"/>
    <w:rsid w:val="004C5675"/>
    <w:rsid w:val="004C56B1"/>
    <w:rsid w:val="004C58FE"/>
    <w:rsid w:val="004C5A26"/>
    <w:rsid w:val="004C5B87"/>
    <w:rsid w:val="004C5E49"/>
    <w:rsid w:val="004C62B2"/>
    <w:rsid w:val="004C67F6"/>
    <w:rsid w:val="004C6EFF"/>
    <w:rsid w:val="004C7458"/>
    <w:rsid w:val="004C77BB"/>
    <w:rsid w:val="004C7B98"/>
    <w:rsid w:val="004C7FB8"/>
    <w:rsid w:val="004D00F9"/>
    <w:rsid w:val="004D078B"/>
    <w:rsid w:val="004D1341"/>
    <w:rsid w:val="004D1835"/>
    <w:rsid w:val="004D22D0"/>
    <w:rsid w:val="004D2341"/>
    <w:rsid w:val="004D2632"/>
    <w:rsid w:val="004D2BC6"/>
    <w:rsid w:val="004D2DB7"/>
    <w:rsid w:val="004D2FDE"/>
    <w:rsid w:val="004D3381"/>
    <w:rsid w:val="004D3BC3"/>
    <w:rsid w:val="004D3D40"/>
    <w:rsid w:val="004D42A3"/>
    <w:rsid w:val="004D46EB"/>
    <w:rsid w:val="004D4F96"/>
    <w:rsid w:val="004D5363"/>
    <w:rsid w:val="004D5C19"/>
    <w:rsid w:val="004D6DEE"/>
    <w:rsid w:val="004D7318"/>
    <w:rsid w:val="004D73CA"/>
    <w:rsid w:val="004E04AE"/>
    <w:rsid w:val="004E0522"/>
    <w:rsid w:val="004E0743"/>
    <w:rsid w:val="004E0DEC"/>
    <w:rsid w:val="004E0EB5"/>
    <w:rsid w:val="004E1377"/>
    <w:rsid w:val="004E152C"/>
    <w:rsid w:val="004E1622"/>
    <w:rsid w:val="004E1A42"/>
    <w:rsid w:val="004E1A6D"/>
    <w:rsid w:val="004E1AE7"/>
    <w:rsid w:val="004E1CB3"/>
    <w:rsid w:val="004E1D0A"/>
    <w:rsid w:val="004E1F4B"/>
    <w:rsid w:val="004E1FC4"/>
    <w:rsid w:val="004E21AC"/>
    <w:rsid w:val="004E25C5"/>
    <w:rsid w:val="004E25F0"/>
    <w:rsid w:val="004E27C4"/>
    <w:rsid w:val="004E2ADC"/>
    <w:rsid w:val="004E2AE7"/>
    <w:rsid w:val="004E2D70"/>
    <w:rsid w:val="004E2FF3"/>
    <w:rsid w:val="004E3115"/>
    <w:rsid w:val="004E3402"/>
    <w:rsid w:val="004E3478"/>
    <w:rsid w:val="004E3ABF"/>
    <w:rsid w:val="004E3B35"/>
    <w:rsid w:val="004E446E"/>
    <w:rsid w:val="004E45EC"/>
    <w:rsid w:val="004E53FA"/>
    <w:rsid w:val="004E56EA"/>
    <w:rsid w:val="004E5ECB"/>
    <w:rsid w:val="004E60F4"/>
    <w:rsid w:val="004E65D7"/>
    <w:rsid w:val="004E72AB"/>
    <w:rsid w:val="004F00C4"/>
    <w:rsid w:val="004F01EA"/>
    <w:rsid w:val="004F0296"/>
    <w:rsid w:val="004F030E"/>
    <w:rsid w:val="004F06BB"/>
    <w:rsid w:val="004F06E2"/>
    <w:rsid w:val="004F118F"/>
    <w:rsid w:val="004F20FD"/>
    <w:rsid w:val="004F212A"/>
    <w:rsid w:val="004F22F6"/>
    <w:rsid w:val="004F274E"/>
    <w:rsid w:val="004F2C50"/>
    <w:rsid w:val="004F312B"/>
    <w:rsid w:val="004F37DD"/>
    <w:rsid w:val="004F3E60"/>
    <w:rsid w:val="004F41D3"/>
    <w:rsid w:val="004F4E51"/>
    <w:rsid w:val="004F4EB7"/>
    <w:rsid w:val="004F4ED6"/>
    <w:rsid w:val="004F62EF"/>
    <w:rsid w:val="004F642D"/>
    <w:rsid w:val="004F65D1"/>
    <w:rsid w:val="004F6722"/>
    <w:rsid w:val="004F78C3"/>
    <w:rsid w:val="004F7B31"/>
    <w:rsid w:val="004F7BF1"/>
    <w:rsid w:val="0050017E"/>
    <w:rsid w:val="0050048F"/>
    <w:rsid w:val="005005E1"/>
    <w:rsid w:val="005013C4"/>
    <w:rsid w:val="005013CD"/>
    <w:rsid w:val="005017CC"/>
    <w:rsid w:val="00501C2A"/>
    <w:rsid w:val="00502C26"/>
    <w:rsid w:val="0050370C"/>
    <w:rsid w:val="00503840"/>
    <w:rsid w:val="0050393E"/>
    <w:rsid w:val="00503C08"/>
    <w:rsid w:val="00504AED"/>
    <w:rsid w:val="00504BCC"/>
    <w:rsid w:val="00505629"/>
    <w:rsid w:val="005061BC"/>
    <w:rsid w:val="0050702A"/>
    <w:rsid w:val="0050718F"/>
    <w:rsid w:val="00507A49"/>
    <w:rsid w:val="005107B7"/>
    <w:rsid w:val="0051107D"/>
    <w:rsid w:val="00511A0B"/>
    <w:rsid w:val="00511E1F"/>
    <w:rsid w:val="00511F62"/>
    <w:rsid w:val="00512220"/>
    <w:rsid w:val="00512370"/>
    <w:rsid w:val="00512482"/>
    <w:rsid w:val="005128A0"/>
    <w:rsid w:val="005128C8"/>
    <w:rsid w:val="00512A9E"/>
    <w:rsid w:val="00512DF8"/>
    <w:rsid w:val="0051366A"/>
    <w:rsid w:val="00513752"/>
    <w:rsid w:val="00514114"/>
    <w:rsid w:val="00514BF0"/>
    <w:rsid w:val="00514E6F"/>
    <w:rsid w:val="00516073"/>
    <w:rsid w:val="00516158"/>
    <w:rsid w:val="005161D4"/>
    <w:rsid w:val="00516A4A"/>
    <w:rsid w:val="00517CAB"/>
    <w:rsid w:val="00517E88"/>
    <w:rsid w:val="0052028E"/>
    <w:rsid w:val="005203E8"/>
    <w:rsid w:val="00520BD2"/>
    <w:rsid w:val="005211F1"/>
    <w:rsid w:val="005213A8"/>
    <w:rsid w:val="00522213"/>
    <w:rsid w:val="005223D5"/>
    <w:rsid w:val="00522ABD"/>
    <w:rsid w:val="00522DEF"/>
    <w:rsid w:val="00522E81"/>
    <w:rsid w:val="00522FD8"/>
    <w:rsid w:val="005230F1"/>
    <w:rsid w:val="00523E58"/>
    <w:rsid w:val="00524191"/>
    <w:rsid w:val="00524E49"/>
    <w:rsid w:val="00524F1C"/>
    <w:rsid w:val="00525101"/>
    <w:rsid w:val="00525273"/>
    <w:rsid w:val="00525588"/>
    <w:rsid w:val="00525674"/>
    <w:rsid w:val="0052573B"/>
    <w:rsid w:val="00525D20"/>
    <w:rsid w:val="0052649C"/>
    <w:rsid w:val="00526569"/>
    <w:rsid w:val="005267AB"/>
    <w:rsid w:val="0053024C"/>
    <w:rsid w:val="005302D0"/>
    <w:rsid w:val="00530AB6"/>
    <w:rsid w:val="00530ABF"/>
    <w:rsid w:val="00530B8A"/>
    <w:rsid w:val="00530D55"/>
    <w:rsid w:val="0053151F"/>
    <w:rsid w:val="0053172F"/>
    <w:rsid w:val="00532A89"/>
    <w:rsid w:val="00532F77"/>
    <w:rsid w:val="00532FCA"/>
    <w:rsid w:val="0053400A"/>
    <w:rsid w:val="00534204"/>
    <w:rsid w:val="005342F8"/>
    <w:rsid w:val="00534353"/>
    <w:rsid w:val="005344AC"/>
    <w:rsid w:val="00534577"/>
    <w:rsid w:val="00534778"/>
    <w:rsid w:val="0053573D"/>
    <w:rsid w:val="00535E69"/>
    <w:rsid w:val="00536A83"/>
    <w:rsid w:val="00537021"/>
    <w:rsid w:val="00537459"/>
    <w:rsid w:val="0054029E"/>
    <w:rsid w:val="00540305"/>
    <w:rsid w:val="00540439"/>
    <w:rsid w:val="005404CB"/>
    <w:rsid w:val="00540B84"/>
    <w:rsid w:val="00540F1B"/>
    <w:rsid w:val="00541364"/>
    <w:rsid w:val="005418B8"/>
    <w:rsid w:val="00541A8D"/>
    <w:rsid w:val="00541C7D"/>
    <w:rsid w:val="00542445"/>
    <w:rsid w:val="00542C80"/>
    <w:rsid w:val="00542DE9"/>
    <w:rsid w:val="00543B45"/>
    <w:rsid w:val="00544027"/>
    <w:rsid w:val="00544207"/>
    <w:rsid w:val="005446AC"/>
    <w:rsid w:val="00544961"/>
    <w:rsid w:val="00544B12"/>
    <w:rsid w:val="005458CD"/>
    <w:rsid w:val="005460BF"/>
    <w:rsid w:val="005461B5"/>
    <w:rsid w:val="00546223"/>
    <w:rsid w:val="0054632C"/>
    <w:rsid w:val="00546370"/>
    <w:rsid w:val="005473F0"/>
    <w:rsid w:val="00547C20"/>
    <w:rsid w:val="00547E22"/>
    <w:rsid w:val="005500CC"/>
    <w:rsid w:val="00550653"/>
    <w:rsid w:val="0055093D"/>
    <w:rsid w:val="00550BE8"/>
    <w:rsid w:val="00550C5A"/>
    <w:rsid w:val="00550CA7"/>
    <w:rsid w:val="00551092"/>
    <w:rsid w:val="00551741"/>
    <w:rsid w:val="005519E4"/>
    <w:rsid w:val="00552006"/>
    <w:rsid w:val="0055231D"/>
    <w:rsid w:val="005527DF"/>
    <w:rsid w:val="00552938"/>
    <w:rsid w:val="005536DE"/>
    <w:rsid w:val="005538FC"/>
    <w:rsid w:val="00553E2D"/>
    <w:rsid w:val="00553E89"/>
    <w:rsid w:val="005542A5"/>
    <w:rsid w:val="005545E9"/>
    <w:rsid w:val="005547B4"/>
    <w:rsid w:val="005547E2"/>
    <w:rsid w:val="005548E9"/>
    <w:rsid w:val="00554A38"/>
    <w:rsid w:val="00554C19"/>
    <w:rsid w:val="00554E55"/>
    <w:rsid w:val="00555336"/>
    <w:rsid w:val="005554E5"/>
    <w:rsid w:val="00556BA2"/>
    <w:rsid w:val="005578A7"/>
    <w:rsid w:val="00557B36"/>
    <w:rsid w:val="00557DA5"/>
    <w:rsid w:val="00557FBD"/>
    <w:rsid w:val="005602B0"/>
    <w:rsid w:val="00561C39"/>
    <w:rsid w:val="00561D8C"/>
    <w:rsid w:val="00562976"/>
    <w:rsid w:val="00563601"/>
    <w:rsid w:val="005640E9"/>
    <w:rsid w:val="005643B8"/>
    <w:rsid w:val="00564B02"/>
    <w:rsid w:val="00565480"/>
    <w:rsid w:val="005658A7"/>
    <w:rsid w:val="00566107"/>
    <w:rsid w:val="005661A1"/>
    <w:rsid w:val="0056648A"/>
    <w:rsid w:val="005667C6"/>
    <w:rsid w:val="005668D4"/>
    <w:rsid w:val="00566F63"/>
    <w:rsid w:val="005672AE"/>
    <w:rsid w:val="0056758A"/>
    <w:rsid w:val="005676B4"/>
    <w:rsid w:val="005676F4"/>
    <w:rsid w:val="00567A7A"/>
    <w:rsid w:val="00567C6C"/>
    <w:rsid w:val="00567F71"/>
    <w:rsid w:val="00570398"/>
    <w:rsid w:val="00570CF9"/>
    <w:rsid w:val="005711C7"/>
    <w:rsid w:val="005716BD"/>
    <w:rsid w:val="00571887"/>
    <w:rsid w:val="005718BF"/>
    <w:rsid w:val="00571E3B"/>
    <w:rsid w:val="0057218D"/>
    <w:rsid w:val="0057248C"/>
    <w:rsid w:val="00572777"/>
    <w:rsid w:val="00573205"/>
    <w:rsid w:val="0057353F"/>
    <w:rsid w:val="00573E3F"/>
    <w:rsid w:val="00573FD6"/>
    <w:rsid w:val="005750F7"/>
    <w:rsid w:val="00575136"/>
    <w:rsid w:val="005754F3"/>
    <w:rsid w:val="00576A8F"/>
    <w:rsid w:val="00576D22"/>
    <w:rsid w:val="005771DC"/>
    <w:rsid w:val="0057722F"/>
    <w:rsid w:val="005773FB"/>
    <w:rsid w:val="005778FC"/>
    <w:rsid w:val="00577DB9"/>
    <w:rsid w:val="00577DD7"/>
    <w:rsid w:val="00580567"/>
    <w:rsid w:val="005805D9"/>
    <w:rsid w:val="00580868"/>
    <w:rsid w:val="0058096D"/>
    <w:rsid w:val="00581141"/>
    <w:rsid w:val="005813F9"/>
    <w:rsid w:val="0058164E"/>
    <w:rsid w:val="005817D6"/>
    <w:rsid w:val="005819BA"/>
    <w:rsid w:val="00581B9C"/>
    <w:rsid w:val="00581C87"/>
    <w:rsid w:val="00582049"/>
    <w:rsid w:val="0058209E"/>
    <w:rsid w:val="0058257E"/>
    <w:rsid w:val="00582BA2"/>
    <w:rsid w:val="00582BFC"/>
    <w:rsid w:val="00582E1D"/>
    <w:rsid w:val="00582E70"/>
    <w:rsid w:val="00582E82"/>
    <w:rsid w:val="00582F9E"/>
    <w:rsid w:val="00583778"/>
    <w:rsid w:val="00583C83"/>
    <w:rsid w:val="005842E9"/>
    <w:rsid w:val="005843B4"/>
    <w:rsid w:val="00584F10"/>
    <w:rsid w:val="0058506A"/>
    <w:rsid w:val="00585B72"/>
    <w:rsid w:val="0058694D"/>
    <w:rsid w:val="00586A54"/>
    <w:rsid w:val="00587E25"/>
    <w:rsid w:val="0059077B"/>
    <w:rsid w:val="005907EA"/>
    <w:rsid w:val="00591830"/>
    <w:rsid w:val="00591A07"/>
    <w:rsid w:val="00591C52"/>
    <w:rsid w:val="005924A7"/>
    <w:rsid w:val="00592719"/>
    <w:rsid w:val="005927F4"/>
    <w:rsid w:val="005938CC"/>
    <w:rsid w:val="00593C72"/>
    <w:rsid w:val="00593D31"/>
    <w:rsid w:val="00593F06"/>
    <w:rsid w:val="00594204"/>
    <w:rsid w:val="00594376"/>
    <w:rsid w:val="00594428"/>
    <w:rsid w:val="005945D5"/>
    <w:rsid w:val="00594747"/>
    <w:rsid w:val="00594A15"/>
    <w:rsid w:val="00594DB6"/>
    <w:rsid w:val="00595021"/>
    <w:rsid w:val="0059502F"/>
    <w:rsid w:val="00595325"/>
    <w:rsid w:val="00595882"/>
    <w:rsid w:val="00595FE3"/>
    <w:rsid w:val="0059644D"/>
    <w:rsid w:val="00596985"/>
    <w:rsid w:val="00596B13"/>
    <w:rsid w:val="00597269"/>
    <w:rsid w:val="0059730C"/>
    <w:rsid w:val="005974D9"/>
    <w:rsid w:val="005A0341"/>
    <w:rsid w:val="005A05A9"/>
    <w:rsid w:val="005A09BA"/>
    <w:rsid w:val="005A0A85"/>
    <w:rsid w:val="005A0C09"/>
    <w:rsid w:val="005A0C40"/>
    <w:rsid w:val="005A0E7B"/>
    <w:rsid w:val="005A11D3"/>
    <w:rsid w:val="005A1264"/>
    <w:rsid w:val="005A12C9"/>
    <w:rsid w:val="005A16F5"/>
    <w:rsid w:val="005A17F3"/>
    <w:rsid w:val="005A1DAF"/>
    <w:rsid w:val="005A1E11"/>
    <w:rsid w:val="005A23D1"/>
    <w:rsid w:val="005A25BB"/>
    <w:rsid w:val="005A2894"/>
    <w:rsid w:val="005A291D"/>
    <w:rsid w:val="005A2FC5"/>
    <w:rsid w:val="005A3277"/>
    <w:rsid w:val="005A3297"/>
    <w:rsid w:val="005A33BB"/>
    <w:rsid w:val="005A3903"/>
    <w:rsid w:val="005A3C9E"/>
    <w:rsid w:val="005A4424"/>
    <w:rsid w:val="005A4AE7"/>
    <w:rsid w:val="005A55CB"/>
    <w:rsid w:val="005A5610"/>
    <w:rsid w:val="005A5EB4"/>
    <w:rsid w:val="005A68EE"/>
    <w:rsid w:val="005A6B34"/>
    <w:rsid w:val="005A6B96"/>
    <w:rsid w:val="005A6EF8"/>
    <w:rsid w:val="005A712E"/>
    <w:rsid w:val="005A74EA"/>
    <w:rsid w:val="005A763B"/>
    <w:rsid w:val="005A7B1F"/>
    <w:rsid w:val="005B1104"/>
    <w:rsid w:val="005B1105"/>
    <w:rsid w:val="005B14B6"/>
    <w:rsid w:val="005B16C8"/>
    <w:rsid w:val="005B1BF2"/>
    <w:rsid w:val="005B1F28"/>
    <w:rsid w:val="005B2809"/>
    <w:rsid w:val="005B32A3"/>
    <w:rsid w:val="005B353F"/>
    <w:rsid w:val="005B367B"/>
    <w:rsid w:val="005B3919"/>
    <w:rsid w:val="005B39B4"/>
    <w:rsid w:val="005B3BD4"/>
    <w:rsid w:val="005B43E3"/>
    <w:rsid w:val="005B6006"/>
    <w:rsid w:val="005B631F"/>
    <w:rsid w:val="005B632B"/>
    <w:rsid w:val="005B65D9"/>
    <w:rsid w:val="005B6BA3"/>
    <w:rsid w:val="005B788D"/>
    <w:rsid w:val="005B7977"/>
    <w:rsid w:val="005C0207"/>
    <w:rsid w:val="005C0AA8"/>
    <w:rsid w:val="005C0B83"/>
    <w:rsid w:val="005C0C73"/>
    <w:rsid w:val="005C0CD6"/>
    <w:rsid w:val="005C0F52"/>
    <w:rsid w:val="005C119C"/>
    <w:rsid w:val="005C1AE7"/>
    <w:rsid w:val="005C1E1F"/>
    <w:rsid w:val="005C290A"/>
    <w:rsid w:val="005C2B5E"/>
    <w:rsid w:val="005C2EEA"/>
    <w:rsid w:val="005C3361"/>
    <w:rsid w:val="005C4335"/>
    <w:rsid w:val="005C4614"/>
    <w:rsid w:val="005C4693"/>
    <w:rsid w:val="005C472E"/>
    <w:rsid w:val="005C4C1E"/>
    <w:rsid w:val="005C4D9E"/>
    <w:rsid w:val="005C4DD1"/>
    <w:rsid w:val="005C5E75"/>
    <w:rsid w:val="005C67BC"/>
    <w:rsid w:val="005C6827"/>
    <w:rsid w:val="005C6C47"/>
    <w:rsid w:val="005C777E"/>
    <w:rsid w:val="005C795C"/>
    <w:rsid w:val="005C7DFD"/>
    <w:rsid w:val="005D0008"/>
    <w:rsid w:val="005D00B8"/>
    <w:rsid w:val="005D0600"/>
    <w:rsid w:val="005D073B"/>
    <w:rsid w:val="005D0BFD"/>
    <w:rsid w:val="005D146A"/>
    <w:rsid w:val="005D168E"/>
    <w:rsid w:val="005D203E"/>
    <w:rsid w:val="005D2101"/>
    <w:rsid w:val="005D24DF"/>
    <w:rsid w:val="005D2B79"/>
    <w:rsid w:val="005D2D38"/>
    <w:rsid w:val="005D358D"/>
    <w:rsid w:val="005D35CB"/>
    <w:rsid w:val="005D360E"/>
    <w:rsid w:val="005D364F"/>
    <w:rsid w:val="005D373C"/>
    <w:rsid w:val="005D3E5D"/>
    <w:rsid w:val="005D43CA"/>
    <w:rsid w:val="005D460C"/>
    <w:rsid w:val="005D4AB6"/>
    <w:rsid w:val="005D4F63"/>
    <w:rsid w:val="005D4F65"/>
    <w:rsid w:val="005D59DA"/>
    <w:rsid w:val="005D5C7D"/>
    <w:rsid w:val="005D5D79"/>
    <w:rsid w:val="005D636A"/>
    <w:rsid w:val="005D646E"/>
    <w:rsid w:val="005D6F7B"/>
    <w:rsid w:val="005D6FFC"/>
    <w:rsid w:val="005D71AB"/>
    <w:rsid w:val="005D72F8"/>
    <w:rsid w:val="005D77E0"/>
    <w:rsid w:val="005D7C63"/>
    <w:rsid w:val="005D7C74"/>
    <w:rsid w:val="005E01FC"/>
    <w:rsid w:val="005E0259"/>
    <w:rsid w:val="005E0A38"/>
    <w:rsid w:val="005E0AE1"/>
    <w:rsid w:val="005E0C36"/>
    <w:rsid w:val="005E11DE"/>
    <w:rsid w:val="005E140D"/>
    <w:rsid w:val="005E14AD"/>
    <w:rsid w:val="005E1621"/>
    <w:rsid w:val="005E1AC4"/>
    <w:rsid w:val="005E1BF3"/>
    <w:rsid w:val="005E1E2E"/>
    <w:rsid w:val="005E26A1"/>
    <w:rsid w:val="005E2872"/>
    <w:rsid w:val="005E2984"/>
    <w:rsid w:val="005E3117"/>
    <w:rsid w:val="005E3239"/>
    <w:rsid w:val="005E3D1A"/>
    <w:rsid w:val="005E4162"/>
    <w:rsid w:val="005E43D4"/>
    <w:rsid w:val="005E4569"/>
    <w:rsid w:val="005E4582"/>
    <w:rsid w:val="005E45CE"/>
    <w:rsid w:val="005E4F33"/>
    <w:rsid w:val="005E5447"/>
    <w:rsid w:val="005E5AEC"/>
    <w:rsid w:val="005E5B64"/>
    <w:rsid w:val="005E6009"/>
    <w:rsid w:val="005E606C"/>
    <w:rsid w:val="005E6472"/>
    <w:rsid w:val="005E6865"/>
    <w:rsid w:val="005E689B"/>
    <w:rsid w:val="005E68EB"/>
    <w:rsid w:val="005E6C36"/>
    <w:rsid w:val="005E742A"/>
    <w:rsid w:val="005E7755"/>
    <w:rsid w:val="005F036F"/>
    <w:rsid w:val="005F0662"/>
    <w:rsid w:val="005F0A1D"/>
    <w:rsid w:val="005F0EA7"/>
    <w:rsid w:val="005F11FC"/>
    <w:rsid w:val="005F15DB"/>
    <w:rsid w:val="005F1880"/>
    <w:rsid w:val="005F2A83"/>
    <w:rsid w:val="005F427D"/>
    <w:rsid w:val="005F50A7"/>
    <w:rsid w:val="005F53B3"/>
    <w:rsid w:val="005F58AF"/>
    <w:rsid w:val="005F5AF4"/>
    <w:rsid w:val="005F5D79"/>
    <w:rsid w:val="005F6384"/>
    <w:rsid w:val="005F63E0"/>
    <w:rsid w:val="005F6893"/>
    <w:rsid w:val="005F6DF7"/>
    <w:rsid w:val="005F7214"/>
    <w:rsid w:val="005F7281"/>
    <w:rsid w:val="005F76FC"/>
    <w:rsid w:val="005F7987"/>
    <w:rsid w:val="005F7A2E"/>
    <w:rsid w:val="00600263"/>
    <w:rsid w:val="0060026B"/>
    <w:rsid w:val="00600507"/>
    <w:rsid w:val="00600C2F"/>
    <w:rsid w:val="00600F25"/>
    <w:rsid w:val="0060103F"/>
    <w:rsid w:val="006013D9"/>
    <w:rsid w:val="00601842"/>
    <w:rsid w:val="00601898"/>
    <w:rsid w:val="006019DC"/>
    <w:rsid w:val="006019F8"/>
    <w:rsid w:val="006024E2"/>
    <w:rsid w:val="00602612"/>
    <w:rsid w:val="00603132"/>
    <w:rsid w:val="006032ED"/>
    <w:rsid w:val="00603B7E"/>
    <w:rsid w:val="00603CFC"/>
    <w:rsid w:val="00603E43"/>
    <w:rsid w:val="00604058"/>
    <w:rsid w:val="006043F0"/>
    <w:rsid w:val="006049D5"/>
    <w:rsid w:val="00604A4D"/>
    <w:rsid w:val="00604DBB"/>
    <w:rsid w:val="00605F67"/>
    <w:rsid w:val="00606131"/>
    <w:rsid w:val="0060619E"/>
    <w:rsid w:val="0060667A"/>
    <w:rsid w:val="00606852"/>
    <w:rsid w:val="00606F76"/>
    <w:rsid w:val="006075F3"/>
    <w:rsid w:val="00607A05"/>
    <w:rsid w:val="0061094A"/>
    <w:rsid w:val="00610A90"/>
    <w:rsid w:val="00610D25"/>
    <w:rsid w:val="00611390"/>
    <w:rsid w:val="00611938"/>
    <w:rsid w:val="00611DEB"/>
    <w:rsid w:val="00611E68"/>
    <w:rsid w:val="00611FA7"/>
    <w:rsid w:val="00613128"/>
    <w:rsid w:val="006133B5"/>
    <w:rsid w:val="0061376C"/>
    <w:rsid w:val="006140EE"/>
    <w:rsid w:val="006141B3"/>
    <w:rsid w:val="0061477C"/>
    <w:rsid w:val="0061490D"/>
    <w:rsid w:val="0061587E"/>
    <w:rsid w:val="00615D00"/>
    <w:rsid w:val="00615DB5"/>
    <w:rsid w:val="00615EBD"/>
    <w:rsid w:val="00615FAA"/>
    <w:rsid w:val="00616038"/>
    <w:rsid w:val="006169AF"/>
    <w:rsid w:val="00616E1F"/>
    <w:rsid w:val="0061774E"/>
    <w:rsid w:val="006203E3"/>
    <w:rsid w:val="00620E57"/>
    <w:rsid w:val="00621187"/>
    <w:rsid w:val="0062168F"/>
    <w:rsid w:val="0062176F"/>
    <w:rsid w:val="00621C23"/>
    <w:rsid w:val="006226CC"/>
    <w:rsid w:val="00622E66"/>
    <w:rsid w:val="0062311A"/>
    <w:rsid w:val="00623878"/>
    <w:rsid w:val="00623B02"/>
    <w:rsid w:val="00623BD3"/>
    <w:rsid w:val="00623F82"/>
    <w:rsid w:val="00624022"/>
    <w:rsid w:val="006241DC"/>
    <w:rsid w:val="00624676"/>
    <w:rsid w:val="0062467C"/>
    <w:rsid w:val="006248DA"/>
    <w:rsid w:val="006256CB"/>
    <w:rsid w:val="006264BD"/>
    <w:rsid w:val="00626F4E"/>
    <w:rsid w:val="00627025"/>
    <w:rsid w:val="00627222"/>
    <w:rsid w:val="0062735D"/>
    <w:rsid w:val="006276DF"/>
    <w:rsid w:val="006277C0"/>
    <w:rsid w:val="006279A9"/>
    <w:rsid w:val="006311E4"/>
    <w:rsid w:val="00631360"/>
    <w:rsid w:val="00632549"/>
    <w:rsid w:val="00632767"/>
    <w:rsid w:val="00632879"/>
    <w:rsid w:val="00632AB6"/>
    <w:rsid w:val="00632B45"/>
    <w:rsid w:val="00632BE8"/>
    <w:rsid w:val="00632E51"/>
    <w:rsid w:val="00632F21"/>
    <w:rsid w:val="0063318C"/>
    <w:rsid w:val="006333E8"/>
    <w:rsid w:val="0063349A"/>
    <w:rsid w:val="006345CB"/>
    <w:rsid w:val="0063471C"/>
    <w:rsid w:val="00634867"/>
    <w:rsid w:val="00634A8F"/>
    <w:rsid w:val="006365A3"/>
    <w:rsid w:val="00637434"/>
    <w:rsid w:val="006378E1"/>
    <w:rsid w:val="006409A5"/>
    <w:rsid w:val="00640B28"/>
    <w:rsid w:val="00640C91"/>
    <w:rsid w:val="00640F05"/>
    <w:rsid w:val="00641E68"/>
    <w:rsid w:val="00642731"/>
    <w:rsid w:val="006428B8"/>
    <w:rsid w:val="00642C2B"/>
    <w:rsid w:val="00643382"/>
    <w:rsid w:val="00643C05"/>
    <w:rsid w:val="0064440A"/>
    <w:rsid w:val="006446D3"/>
    <w:rsid w:val="006447FA"/>
    <w:rsid w:val="00645306"/>
    <w:rsid w:val="0064558D"/>
    <w:rsid w:val="00645629"/>
    <w:rsid w:val="00645995"/>
    <w:rsid w:val="00645B0A"/>
    <w:rsid w:val="006469DF"/>
    <w:rsid w:val="006478E7"/>
    <w:rsid w:val="00647BE7"/>
    <w:rsid w:val="00647E72"/>
    <w:rsid w:val="00650182"/>
    <w:rsid w:val="006508B2"/>
    <w:rsid w:val="006508E7"/>
    <w:rsid w:val="006519E9"/>
    <w:rsid w:val="0065205D"/>
    <w:rsid w:val="0065293C"/>
    <w:rsid w:val="00653098"/>
    <w:rsid w:val="006531D3"/>
    <w:rsid w:val="00653352"/>
    <w:rsid w:val="006533E6"/>
    <w:rsid w:val="006538E1"/>
    <w:rsid w:val="00654405"/>
    <w:rsid w:val="0065469F"/>
    <w:rsid w:val="00654A11"/>
    <w:rsid w:val="00654A34"/>
    <w:rsid w:val="00654B78"/>
    <w:rsid w:val="00654D96"/>
    <w:rsid w:val="00655261"/>
    <w:rsid w:val="00656513"/>
    <w:rsid w:val="0065680D"/>
    <w:rsid w:val="006572FB"/>
    <w:rsid w:val="00657591"/>
    <w:rsid w:val="0066064B"/>
    <w:rsid w:val="00660706"/>
    <w:rsid w:val="00660B7D"/>
    <w:rsid w:val="00660F0B"/>
    <w:rsid w:val="0066122D"/>
    <w:rsid w:val="0066186B"/>
    <w:rsid w:val="0066187C"/>
    <w:rsid w:val="006618A7"/>
    <w:rsid w:val="006618F6"/>
    <w:rsid w:val="00661C84"/>
    <w:rsid w:val="0066311E"/>
    <w:rsid w:val="0066314E"/>
    <w:rsid w:val="0066338C"/>
    <w:rsid w:val="00664981"/>
    <w:rsid w:val="00664A25"/>
    <w:rsid w:val="00664BEE"/>
    <w:rsid w:val="00664D31"/>
    <w:rsid w:val="00664E15"/>
    <w:rsid w:val="00665221"/>
    <w:rsid w:val="00665CF6"/>
    <w:rsid w:val="00665FF7"/>
    <w:rsid w:val="006660CC"/>
    <w:rsid w:val="006660F4"/>
    <w:rsid w:val="006663BD"/>
    <w:rsid w:val="006667A9"/>
    <w:rsid w:val="0066687D"/>
    <w:rsid w:val="00667C8D"/>
    <w:rsid w:val="00667DEC"/>
    <w:rsid w:val="00667F26"/>
    <w:rsid w:val="00670505"/>
    <w:rsid w:val="00670D8F"/>
    <w:rsid w:val="006713ED"/>
    <w:rsid w:val="006714FC"/>
    <w:rsid w:val="00671A0E"/>
    <w:rsid w:val="00671B07"/>
    <w:rsid w:val="00671BFB"/>
    <w:rsid w:val="00671F7F"/>
    <w:rsid w:val="006726B4"/>
    <w:rsid w:val="0067274B"/>
    <w:rsid w:val="006727DD"/>
    <w:rsid w:val="00672A58"/>
    <w:rsid w:val="006730B3"/>
    <w:rsid w:val="006736F4"/>
    <w:rsid w:val="0067393C"/>
    <w:rsid w:val="00673F70"/>
    <w:rsid w:val="00674003"/>
    <w:rsid w:val="0067438B"/>
    <w:rsid w:val="00674896"/>
    <w:rsid w:val="00675044"/>
    <w:rsid w:val="00675060"/>
    <w:rsid w:val="006752A6"/>
    <w:rsid w:val="006754F0"/>
    <w:rsid w:val="00676326"/>
    <w:rsid w:val="00676394"/>
    <w:rsid w:val="00676EFA"/>
    <w:rsid w:val="00676F12"/>
    <w:rsid w:val="00677046"/>
    <w:rsid w:val="00677319"/>
    <w:rsid w:val="006777F7"/>
    <w:rsid w:val="00677AE3"/>
    <w:rsid w:val="00677F01"/>
    <w:rsid w:val="00680D54"/>
    <w:rsid w:val="006810CE"/>
    <w:rsid w:val="00681357"/>
    <w:rsid w:val="00681373"/>
    <w:rsid w:val="0068207A"/>
    <w:rsid w:val="006828C2"/>
    <w:rsid w:val="00682947"/>
    <w:rsid w:val="00682B83"/>
    <w:rsid w:val="00682BE1"/>
    <w:rsid w:val="006830D6"/>
    <w:rsid w:val="00683C60"/>
    <w:rsid w:val="00683FB8"/>
    <w:rsid w:val="00684812"/>
    <w:rsid w:val="00685355"/>
    <w:rsid w:val="006862BE"/>
    <w:rsid w:val="006865AD"/>
    <w:rsid w:val="00686831"/>
    <w:rsid w:val="00686E4D"/>
    <w:rsid w:val="00686EED"/>
    <w:rsid w:val="006876C1"/>
    <w:rsid w:val="006877B3"/>
    <w:rsid w:val="0068794D"/>
    <w:rsid w:val="00687B50"/>
    <w:rsid w:val="00687C35"/>
    <w:rsid w:val="00687FAE"/>
    <w:rsid w:val="0069090F"/>
    <w:rsid w:val="00690A59"/>
    <w:rsid w:val="00690B29"/>
    <w:rsid w:val="0069115E"/>
    <w:rsid w:val="006918E4"/>
    <w:rsid w:val="00691DEF"/>
    <w:rsid w:val="0069259E"/>
    <w:rsid w:val="00692A0F"/>
    <w:rsid w:val="00693D63"/>
    <w:rsid w:val="006941AA"/>
    <w:rsid w:val="006943D7"/>
    <w:rsid w:val="006957C6"/>
    <w:rsid w:val="00695E71"/>
    <w:rsid w:val="00696A64"/>
    <w:rsid w:val="00696D35"/>
    <w:rsid w:val="00697748"/>
    <w:rsid w:val="006979CA"/>
    <w:rsid w:val="00697A54"/>
    <w:rsid w:val="006A0D7B"/>
    <w:rsid w:val="006A0EDD"/>
    <w:rsid w:val="006A1693"/>
    <w:rsid w:val="006A1CD6"/>
    <w:rsid w:val="006A220C"/>
    <w:rsid w:val="006A2294"/>
    <w:rsid w:val="006A24C9"/>
    <w:rsid w:val="006A2994"/>
    <w:rsid w:val="006A2BED"/>
    <w:rsid w:val="006A2DD5"/>
    <w:rsid w:val="006A2E41"/>
    <w:rsid w:val="006A3339"/>
    <w:rsid w:val="006A349D"/>
    <w:rsid w:val="006A3A39"/>
    <w:rsid w:val="006A4606"/>
    <w:rsid w:val="006A467F"/>
    <w:rsid w:val="006A4B7D"/>
    <w:rsid w:val="006A4FD6"/>
    <w:rsid w:val="006A506D"/>
    <w:rsid w:val="006A5438"/>
    <w:rsid w:val="006A577B"/>
    <w:rsid w:val="006A5C2B"/>
    <w:rsid w:val="006A614B"/>
    <w:rsid w:val="006A62B6"/>
    <w:rsid w:val="006A62FF"/>
    <w:rsid w:val="006A653F"/>
    <w:rsid w:val="006A6EC6"/>
    <w:rsid w:val="006A6F43"/>
    <w:rsid w:val="006A6FE0"/>
    <w:rsid w:val="006A72D4"/>
    <w:rsid w:val="006A74FC"/>
    <w:rsid w:val="006A769C"/>
    <w:rsid w:val="006A77F5"/>
    <w:rsid w:val="006A7974"/>
    <w:rsid w:val="006B0099"/>
    <w:rsid w:val="006B02B7"/>
    <w:rsid w:val="006B076F"/>
    <w:rsid w:val="006B07A5"/>
    <w:rsid w:val="006B0B09"/>
    <w:rsid w:val="006B0C0B"/>
    <w:rsid w:val="006B0F2D"/>
    <w:rsid w:val="006B0FCC"/>
    <w:rsid w:val="006B12B7"/>
    <w:rsid w:val="006B136E"/>
    <w:rsid w:val="006B1727"/>
    <w:rsid w:val="006B1877"/>
    <w:rsid w:val="006B18ED"/>
    <w:rsid w:val="006B1976"/>
    <w:rsid w:val="006B1F14"/>
    <w:rsid w:val="006B2705"/>
    <w:rsid w:val="006B28FB"/>
    <w:rsid w:val="006B2C4C"/>
    <w:rsid w:val="006B3233"/>
    <w:rsid w:val="006B349A"/>
    <w:rsid w:val="006B3631"/>
    <w:rsid w:val="006B3EEE"/>
    <w:rsid w:val="006B416A"/>
    <w:rsid w:val="006B47D8"/>
    <w:rsid w:val="006B4D84"/>
    <w:rsid w:val="006B51A8"/>
    <w:rsid w:val="006B51ED"/>
    <w:rsid w:val="006B51FF"/>
    <w:rsid w:val="006B52CD"/>
    <w:rsid w:val="006B66F5"/>
    <w:rsid w:val="006B7433"/>
    <w:rsid w:val="006B797B"/>
    <w:rsid w:val="006B7B6A"/>
    <w:rsid w:val="006B7EE6"/>
    <w:rsid w:val="006C01C4"/>
    <w:rsid w:val="006C01F3"/>
    <w:rsid w:val="006C0597"/>
    <w:rsid w:val="006C082B"/>
    <w:rsid w:val="006C0BE0"/>
    <w:rsid w:val="006C0DC9"/>
    <w:rsid w:val="006C0EBA"/>
    <w:rsid w:val="006C0F6B"/>
    <w:rsid w:val="006C1DD2"/>
    <w:rsid w:val="006C21AB"/>
    <w:rsid w:val="006C2FF2"/>
    <w:rsid w:val="006C330E"/>
    <w:rsid w:val="006C3443"/>
    <w:rsid w:val="006C34D2"/>
    <w:rsid w:val="006C3ABE"/>
    <w:rsid w:val="006C456B"/>
    <w:rsid w:val="006C46E2"/>
    <w:rsid w:val="006C493D"/>
    <w:rsid w:val="006C4DFD"/>
    <w:rsid w:val="006C4F23"/>
    <w:rsid w:val="006C4F2B"/>
    <w:rsid w:val="006C501F"/>
    <w:rsid w:val="006C5894"/>
    <w:rsid w:val="006C5C42"/>
    <w:rsid w:val="006C60AF"/>
    <w:rsid w:val="006C62E9"/>
    <w:rsid w:val="006C6553"/>
    <w:rsid w:val="006C6999"/>
    <w:rsid w:val="006C6E61"/>
    <w:rsid w:val="006C76AE"/>
    <w:rsid w:val="006C76CD"/>
    <w:rsid w:val="006C778A"/>
    <w:rsid w:val="006C781F"/>
    <w:rsid w:val="006C7BCB"/>
    <w:rsid w:val="006C7F2C"/>
    <w:rsid w:val="006D0A57"/>
    <w:rsid w:val="006D0D62"/>
    <w:rsid w:val="006D1BD2"/>
    <w:rsid w:val="006D1EF9"/>
    <w:rsid w:val="006D2DE6"/>
    <w:rsid w:val="006D4066"/>
    <w:rsid w:val="006D4585"/>
    <w:rsid w:val="006D4E73"/>
    <w:rsid w:val="006D4F35"/>
    <w:rsid w:val="006D5DDD"/>
    <w:rsid w:val="006D5F20"/>
    <w:rsid w:val="006D64DC"/>
    <w:rsid w:val="006D6590"/>
    <w:rsid w:val="006D667B"/>
    <w:rsid w:val="006D701C"/>
    <w:rsid w:val="006D70CF"/>
    <w:rsid w:val="006D70DF"/>
    <w:rsid w:val="006D72C4"/>
    <w:rsid w:val="006D7B80"/>
    <w:rsid w:val="006D7EAC"/>
    <w:rsid w:val="006E0810"/>
    <w:rsid w:val="006E0AEB"/>
    <w:rsid w:val="006E0E30"/>
    <w:rsid w:val="006E0F67"/>
    <w:rsid w:val="006E0FC4"/>
    <w:rsid w:val="006E0FEE"/>
    <w:rsid w:val="006E1377"/>
    <w:rsid w:val="006E137F"/>
    <w:rsid w:val="006E1782"/>
    <w:rsid w:val="006E17ED"/>
    <w:rsid w:val="006E1E36"/>
    <w:rsid w:val="006E2518"/>
    <w:rsid w:val="006E342E"/>
    <w:rsid w:val="006E3745"/>
    <w:rsid w:val="006E3C10"/>
    <w:rsid w:val="006E43A4"/>
    <w:rsid w:val="006E4C31"/>
    <w:rsid w:val="006E5C10"/>
    <w:rsid w:val="006E6511"/>
    <w:rsid w:val="006E6CD8"/>
    <w:rsid w:val="006E7186"/>
    <w:rsid w:val="006E73C3"/>
    <w:rsid w:val="006E7668"/>
    <w:rsid w:val="006E7C68"/>
    <w:rsid w:val="006E7E38"/>
    <w:rsid w:val="006F01BE"/>
    <w:rsid w:val="006F01C4"/>
    <w:rsid w:val="006F0AB6"/>
    <w:rsid w:val="006F0F06"/>
    <w:rsid w:val="006F115B"/>
    <w:rsid w:val="006F11E7"/>
    <w:rsid w:val="006F1434"/>
    <w:rsid w:val="006F1540"/>
    <w:rsid w:val="006F1871"/>
    <w:rsid w:val="006F250A"/>
    <w:rsid w:val="006F2A4E"/>
    <w:rsid w:val="006F2AF0"/>
    <w:rsid w:val="006F313B"/>
    <w:rsid w:val="006F3652"/>
    <w:rsid w:val="006F3FFD"/>
    <w:rsid w:val="006F4100"/>
    <w:rsid w:val="006F4218"/>
    <w:rsid w:val="006F4A47"/>
    <w:rsid w:val="006F4A6A"/>
    <w:rsid w:val="006F4B32"/>
    <w:rsid w:val="006F4F1C"/>
    <w:rsid w:val="006F54F2"/>
    <w:rsid w:val="006F6485"/>
    <w:rsid w:val="006F6944"/>
    <w:rsid w:val="006F6951"/>
    <w:rsid w:val="006F6D3D"/>
    <w:rsid w:val="006F7550"/>
    <w:rsid w:val="006F785E"/>
    <w:rsid w:val="006F7A48"/>
    <w:rsid w:val="006F7AD1"/>
    <w:rsid w:val="006F7D51"/>
    <w:rsid w:val="00700674"/>
    <w:rsid w:val="00700793"/>
    <w:rsid w:val="00700C75"/>
    <w:rsid w:val="00700D6F"/>
    <w:rsid w:val="00700EB9"/>
    <w:rsid w:val="00701566"/>
    <w:rsid w:val="0070194E"/>
    <w:rsid w:val="007019F5"/>
    <w:rsid w:val="00701D57"/>
    <w:rsid w:val="00701EEF"/>
    <w:rsid w:val="00702417"/>
    <w:rsid w:val="0070372B"/>
    <w:rsid w:val="00703CDD"/>
    <w:rsid w:val="00703DD2"/>
    <w:rsid w:val="0070417B"/>
    <w:rsid w:val="007042C8"/>
    <w:rsid w:val="00704317"/>
    <w:rsid w:val="00704384"/>
    <w:rsid w:val="007043D0"/>
    <w:rsid w:val="00704DF8"/>
    <w:rsid w:val="00704EDE"/>
    <w:rsid w:val="007053DF"/>
    <w:rsid w:val="00705E82"/>
    <w:rsid w:val="00706098"/>
    <w:rsid w:val="00706795"/>
    <w:rsid w:val="00706B05"/>
    <w:rsid w:val="0070757F"/>
    <w:rsid w:val="00707CF7"/>
    <w:rsid w:val="00710336"/>
    <w:rsid w:val="007106EF"/>
    <w:rsid w:val="007108CA"/>
    <w:rsid w:val="00710E96"/>
    <w:rsid w:val="00710FC3"/>
    <w:rsid w:val="00712246"/>
    <w:rsid w:val="00712827"/>
    <w:rsid w:val="00712BD8"/>
    <w:rsid w:val="00712C50"/>
    <w:rsid w:val="00713728"/>
    <w:rsid w:val="0071376A"/>
    <w:rsid w:val="00713964"/>
    <w:rsid w:val="00713D89"/>
    <w:rsid w:val="00713ED9"/>
    <w:rsid w:val="00713F0D"/>
    <w:rsid w:val="00714307"/>
    <w:rsid w:val="0071442F"/>
    <w:rsid w:val="007149F6"/>
    <w:rsid w:val="00714BA1"/>
    <w:rsid w:val="00715F7D"/>
    <w:rsid w:val="007167FF"/>
    <w:rsid w:val="00716A9F"/>
    <w:rsid w:val="00716CCA"/>
    <w:rsid w:val="00717443"/>
    <w:rsid w:val="00717A09"/>
    <w:rsid w:val="00717F74"/>
    <w:rsid w:val="007200A1"/>
    <w:rsid w:val="007200D8"/>
    <w:rsid w:val="00720214"/>
    <w:rsid w:val="00720564"/>
    <w:rsid w:val="00720B8C"/>
    <w:rsid w:val="0072132D"/>
    <w:rsid w:val="00722377"/>
    <w:rsid w:val="0072259C"/>
    <w:rsid w:val="007226E5"/>
    <w:rsid w:val="00722758"/>
    <w:rsid w:val="007229FF"/>
    <w:rsid w:val="00722B8E"/>
    <w:rsid w:val="00722C75"/>
    <w:rsid w:val="007239E0"/>
    <w:rsid w:val="00723C0A"/>
    <w:rsid w:val="007247DD"/>
    <w:rsid w:val="00725229"/>
    <w:rsid w:val="0072537C"/>
    <w:rsid w:val="00725941"/>
    <w:rsid w:val="00725956"/>
    <w:rsid w:val="007260D8"/>
    <w:rsid w:val="00726E95"/>
    <w:rsid w:val="00727762"/>
    <w:rsid w:val="0072778A"/>
    <w:rsid w:val="00727C27"/>
    <w:rsid w:val="00727D4B"/>
    <w:rsid w:val="0073035A"/>
    <w:rsid w:val="0073072F"/>
    <w:rsid w:val="00730B5E"/>
    <w:rsid w:val="007311C6"/>
    <w:rsid w:val="0073144D"/>
    <w:rsid w:val="00731841"/>
    <w:rsid w:val="00731E55"/>
    <w:rsid w:val="00731E62"/>
    <w:rsid w:val="00732108"/>
    <w:rsid w:val="00732713"/>
    <w:rsid w:val="007329F7"/>
    <w:rsid w:val="00732B57"/>
    <w:rsid w:val="00732D00"/>
    <w:rsid w:val="007333CA"/>
    <w:rsid w:val="00733705"/>
    <w:rsid w:val="00733920"/>
    <w:rsid w:val="00733AD8"/>
    <w:rsid w:val="00733C35"/>
    <w:rsid w:val="00733CE8"/>
    <w:rsid w:val="00734084"/>
    <w:rsid w:val="00734194"/>
    <w:rsid w:val="00734498"/>
    <w:rsid w:val="0073468E"/>
    <w:rsid w:val="007348FE"/>
    <w:rsid w:val="00734A4E"/>
    <w:rsid w:val="00734BCE"/>
    <w:rsid w:val="00734DC0"/>
    <w:rsid w:val="00735102"/>
    <w:rsid w:val="007357A4"/>
    <w:rsid w:val="007358D9"/>
    <w:rsid w:val="00735A3A"/>
    <w:rsid w:val="00735D90"/>
    <w:rsid w:val="007362B0"/>
    <w:rsid w:val="0073657E"/>
    <w:rsid w:val="00736884"/>
    <w:rsid w:val="00736B31"/>
    <w:rsid w:val="00736C3F"/>
    <w:rsid w:val="00736EA1"/>
    <w:rsid w:val="00737A8A"/>
    <w:rsid w:val="00737D5C"/>
    <w:rsid w:val="007402EF"/>
    <w:rsid w:val="00740FA7"/>
    <w:rsid w:val="007410A6"/>
    <w:rsid w:val="00741A64"/>
    <w:rsid w:val="00741D76"/>
    <w:rsid w:val="00742D39"/>
    <w:rsid w:val="00742F0F"/>
    <w:rsid w:val="00743793"/>
    <w:rsid w:val="00743B38"/>
    <w:rsid w:val="00743C93"/>
    <w:rsid w:val="00743D56"/>
    <w:rsid w:val="0074465B"/>
    <w:rsid w:val="00744E0B"/>
    <w:rsid w:val="00745631"/>
    <w:rsid w:val="00745FF6"/>
    <w:rsid w:val="00746FBB"/>
    <w:rsid w:val="007472D8"/>
    <w:rsid w:val="007472E0"/>
    <w:rsid w:val="0074799E"/>
    <w:rsid w:val="007479C9"/>
    <w:rsid w:val="00750643"/>
    <w:rsid w:val="0075068E"/>
    <w:rsid w:val="0075099E"/>
    <w:rsid w:val="00750CA8"/>
    <w:rsid w:val="00750EC3"/>
    <w:rsid w:val="00751422"/>
    <w:rsid w:val="00751AD9"/>
    <w:rsid w:val="007524C2"/>
    <w:rsid w:val="00752960"/>
    <w:rsid w:val="00752E01"/>
    <w:rsid w:val="00753110"/>
    <w:rsid w:val="007535E6"/>
    <w:rsid w:val="007537CA"/>
    <w:rsid w:val="00753919"/>
    <w:rsid w:val="00753B76"/>
    <w:rsid w:val="00753C5C"/>
    <w:rsid w:val="00754294"/>
    <w:rsid w:val="007543AC"/>
    <w:rsid w:val="00754ECE"/>
    <w:rsid w:val="0075569E"/>
    <w:rsid w:val="00755812"/>
    <w:rsid w:val="0075591B"/>
    <w:rsid w:val="00755CAC"/>
    <w:rsid w:val="00756771"/>
    <w:rsid w:val="00756CCF"/>
    <w:rsid w:val="00756F80"/>
    <w:rsid w:val="007573EF"/>
    <w:rsid w:val="00760B37"/>
    <w:rsid w:val="00760C0B"/>
    <w:rsid w:val="00760E0B"/>
    <w:rsid w:val="007614FE"/>
    <w:rsid w:val="0076191C"/>
    <w:rsid w:val="00761951"/>
    <w:rsid w:val="00762445"/>
    <w:rsid w:val="007628FB"/>
    <w:rsid w:val="00762BB6"/>
    <w:rsid w:val="00762CC7"/>
    <w:rsid w:val="00763679"/>
    <w:rsid w:val="007636C7"/>
    <w:rsid w:val="007637D0"/>
    <w:rsid w:val="00763E9C"/>
    <w:rsid w:val="00763F50"/>
    <w:rsid w:val="0076402A"/>
    <w:rsid w:val="007641D6"/>
    <w:rsid w:val="00764219"/>
    <w:rsid w:val="007646B0"/>
    <w:rsid w:val="00764E4F"/>
    <w:rsid w:val="00766013"/>
    <w:rsid w:val="00766D43"/>
    <w:rsid w:val="007672C6"/>
    <w:rsid w:val="0076740E"/>
    <w:rsid w:val="00767DA2"/>
    <w:rsid w:val="007704C7"/>
    <w:rsid w:val="00770A78"/>
    <w:rsid w:val="00770C36"/>
    <w:rsid w:val="007712F0"/>
    <w:rsid w:val="007713CA"/>
    <w:rsid w:val="007716DB"/>
    <w:rsid w:val="0077170C"/>
    <w:rsid w:val="0077260A"/>
    <w:rsid w:val="0077265B"/>
    <w:rsid w:val="007729D6"/>
    <w:rsid w:val="00772C2A"/>
    <w:rsid w:val="00772D80"/>
    <w:rsid w:val="00773275"/>
    <w:rsid w:val="0077330A"/>
    <w:rsid w:val="0077342D"/>
    <w:rsid w:val="00773712"/>
    <w:rsid w:val="00773730"/>
    <w:rsid w:val="00773C4D"/>
    <w:rsid w:val="00773E82"/>
    <w:rsid w:val="00773EB3"/>
    <w:rsid w:val="007743EF"/>
    <w:rsid w:val="00774D4F"/>
    <w:rsid w:val="00774DB7"/>
    <w:rsid w:val="00774EDF"/>
    <w:rsid w:val="00775422"/>
    <w:rsid w:val="007754AF"/>
    <w:rsid w:val="00775568"/>
    <w:rsid w:val="007755DE"/>
    <w:rsid w:val="00775941"/>
    <w:rsid w:val="00775D95"/>
    <w:rsid w:val="0077628E"/>
    <w:rsid w:val="00776784"/>
    <w:rsid w:val="00776A0E"/>
    <w:rsid w:val="00776D27"/>
    <w:rsid w:val="00777247"/>
    <w:rsid w:val="007776BC"/>
    <w:rsid w:val="007779F5"/>
    <w:rsid w:val="00777B6C"/>
    <w:rsid w:val="00780FE0"/>
    <w:rsid w:val="00781AE8"/>
    <w:rsid w:val="00782112"/>
    <w:rsid w:val="00782BBD"/>
    <w:rsid w:val="00783476"/>
    <w:rsid w:val="00783521"/>
    <w:rsid w:val="00785063"/>
    <w:rsid w:val="007857A4"/>
    <w:rsid w:val="00786867"/>
    <w:rsid w:val="0078691B"/>
    <w:rsid w:val="00786AFB"/>
    <w:rsid w:val="00786C61"/>
    <w:rsid w:val="00786D6F"/>
    <w:rsid w:val="0078707B"/>
    <w:rsid w:val="007870EB"/>
    <w:rsid w:val="00787661"/>
    <w:rsid w:val="0078794D"/>
    <w:rsid w:val="007908D6"/>
    <w:rsid w:val="00790E66"/>
    <w:rsid w:val="007911CB"/>
    <w:rsid w:val="007913F5"/>
    <w:rsid w:val="0079179A"/>
    <w:rsid w:val="00791F0C"/>
    <w:rsid w:val="00791F66"/>
    <w:rsid w:val="007925E8"/>
    <w:rsid w:val="00792AF4"/>
    <w:rsid w:val="00792D5E"/>
    <w:rsid w:val="00792E5E"/>
    <w:rsid w:val="007941C7"/>
    <w:rsid w:val="00794360"/>
    <w:rsid w:val="0079446A"/>
    <w:rsid w:val="007948C8"/>
    <w:rsid w:val="007949FD"/>
    <w:rsid w:val="0079533B"/>
    <w:rsid w:val="0079560A"/>
    <w:rsid w:val="00795BB1"/>
    <w:rsid w:val="00795FD4"/>
    <w:rsid w:val="00796538"/>
    <w:rsid w:val="0079672A"/>
    <w:rsid w:val="00796F45"/>
    <w:rsid w:val="00797798"/>
    <w:rsid w:val="00797D64"/>
    <w:rsid w:val="007A05DD"/>
    <w:rsid w:val="007A06FD"/>
    <w:rsid w:val="007A0D9D"/>
    <w:rsid w:val="007A0E44"/>
    <w:rsid w:val="007A1595"/>
    <w:rsid w:val="007A1B57"/>
    <w:rsid w:val="007A2668"/>
    <w:rsid w:val="007A26E9"/>
    <w:rsid w:val="007A2809"/>
    <w:rsid w:val="007A2A34"/>
    <w:rsid w:val="007A2ABD"/>
    <w:rsid w:val="007A3297"/>
    <w:rsid w:val="007A3DD3"/>
    <w:rsid w:val="007A3E02"/>
    <w:rsid w:val="007A3E69"/>
    <w:rsid w:val="007A4778"/>
    <w:rsid w:val="007A4D74"/>
    <w:rsid w:val="007A5140"/>
    <w:rsid w:val="007A599E"/>
    <w:rsid w:val="007A5B2B"/>
    <w:rsid w:val="007A5FAF"/>
    <w:rsid w:val="007A633A"/>
    <w:rsid w:val="007A66C8"/>
    <w:rsid w:val="007A6E4A"/>
    <w:rsid w:val="007A79AD"/>
    <w:rsid w:val="007A7C30"/>
    <w:rsid w:val="007B00FC"/>
    <w:rsid w:val="007B04B1"/>
    <w:rsid w:val="007B0A82"/>
    <w:rsid w:val="007B0F75"/>
    <w:rsid w:val="007B1550"/>
    <w:rsid w:val="007B19A4"/>
    <w:rsid w:val="007B1A00"/>
    <w:rsid w:val="007B1CDD"/>
    <w:rsid w:val="007B1EE9"/>
    <w:rsid w:val="007B22B9"/>
    <w:rsid w:val="007B24B6"/>
    <w:rsid w:val="007B25FE"/>
    <w:rsid w:val="007B2D20"/>
    <w:rsid w:val="007B349E"/>
    <w:rsid w:val="007B49AB"/>
    <w:rsid w:val="007B5248"/>
    <w:rsid w:val="007B549B"/>
    <w:rsid w:val="007B5881"/>
    <w:rsid w:val="007B5910"/>
    <w:rsid w:val="007B62F4"/>
    <w:rsid w:val="007B6466"/>
    <w:rsid w:val="007B7881"/>
    <w:rsid w:val="007B7A4A"/>
    <w:rsid w:val="007B7BCC"/>
    <w:rsid w:val="007C022D"/>
    <w:rsid w:val="007C0632"/>
    <w:rsid w:val="007C0D01"/>
    <w:rsid w:val="007C1689"/>
    <w:rsid w:val="007C2331"/>
    <w:rsid w:val="007C2C76"/>
    <w:rsid w:val="007C2EBB"/>
    <w:rsid w:val="007C36F7"/>
    <w:rsid w:val="007C38A3"/>
    <w:rsid w:val="007C3CD3"/>
    <w:rsid w:val="007C509D"/>
    <w:rsid w:val="007C5CBC"/>
    <w:rsid w:val="007C654A"/>
    <w:rsid w:val="007C68B3"/>
    <w:rsid w:val="007C69DD"/>
    <w:rsid w:val="007C6A88"/>
    <w:rsid w:val="007C6CF3"/>
    <w:rsid w:val="007C6DEE"/>
    <w:rsid w:val="007C71B2"/>
    <w:rsid w:val="007C7454"/>
    <w:rsid w:val="007C7874"/>
    <w:rsid w:val="007C78DF"/>
    <w:rsid w:val="007D03DE"/>
    <w:rsid w:val="007D0F0A"/>
    <w:rsid w:val="007D1083"/>
    <w:rsid w:val="007D11C2"/>
    <w:rsid w:val="007D1312"/>
    <w:rsid w:val="007D1551"/>
    <w:rsid w:val="007D15F9"/>
    <w:rsid w:val="007D196C"/>
    <w:rsid w:val="007D1C40"/>
    <w:rsid w:val="007D1D30"/>
    <w:rsid w:val="007D1E42"/>
    <w:rsid w:val="007D24D7"/>
    <w:rsid w:val="007D26D5"/>
    <w:rsid w:val="007D2BB5"/>
    <w:rsid w:val="007D2C59"/>
    <w:rsid w:val="007D426E"/>
    <w:rsid w:val="007D4591"/>
    <w:rsid w:val="007D4BC0"/>
    <w:rsid w:val="007D4EBC"/>
    <w:rsid w:val="007D5989"/>
    <w:rsid w:val="007D5A9E"/>
    <w:rsid w:val="007D5C74"/>
    <w:rsid w:val="007D5C85"/>
    <w:rsid w:val="007D649D"/>
    <w:rsid w:val="007D6725"/>
    <w:rsid w:val="007D67BB"/>
    <w:rsid w:val="007D6879"/>
    <w:rsid w:val="007D691B"/>
    <w:rsid w:val="007D6B83"/>
    <w:rsid w:val="007D7652"/>
    <w:rsid w:val="007D7B20"/>
    <w:rsid w:val="007E01D4"/>
    <w:rsid w:val="007E0249"/>
    <w:rsid w:val="007E060B"/>
    <w:rsid w:val="007E1244"/>
    <w:rsid w:val="007E1DBE"/>
    <w:rsid w:val="007E1EDA"/>
    <w:rsid w:val="007E37A6"/>
    <w:rsid w:val="007E3FC3"/>
    <w:rsid w:val="007E400F"/>
    <w:rsid w:val="007E403E"/>
    <w:rsid w:val="007E40F3"/>
    <w:rsid w:val="007E433B"/>
    <w:rsid w:val="007E4A69"/>
    <w:rsid w:val="007E4E8D"/>
    <w:rsid w:val="007E5B64"/>
    <w:rsid w:val="007E5B7B"/>
    <w:rsid w:val="007E5DC3"/>
    <w:rsid w:val="007E6AB7"/>
    <w:rsid w:val="007E6E64"/>
    <w:rsid w:val="007E7D09"/>
    <w:rsid w:val="007F0522"/>
    <w:rsid w:val="007F05D3"/>
    <w:rsid w:val="007F0BEE"/>
    <w:rsid w:val="007F0F72"/>
    <w:rsid w:val="007F13D7"/>
    <w:rsid w:val="007F140E"/>
    <w:rsid w:val="007F1621"/>
    <w:rsid w:val="007F1D56"/>
    <w:rsid w:val="007F1D8E"/>
    <w:rsid w:val="007F2D3F"/>
    <w:rsid w:val="007F2EF8"/>
    <w:rsid w:val="007F3650"/>
    <w:rsid w:val="007F38A5"/>
    <w:rsid w:val="007F38FB"/>
    <w:rsid w:val="007F3A43"/>
    <w:rsid w:val="007F4108"/>
    <w:rsid w:val="007F4B44"/>
    <w:rsid w:val="007F5264"/>
    <w:rsid w:val="007F5806"/>
    <w:rsid w:val="007F620E"/>
    <w:rsid w:val="007F63F4"/>
    <w:rsid w:val="007F66C4"/>
    <w:rsid w:val="007F6CC7"/>
    <w:rsid w:val="007F6E3E"/>
    <w:rsid w:val="007F732F"/>
    <w:rsid w:val="007F77FA"/>
    <w:rsid w:val="008001C1"/>
    <w:rsid w:val="0080020F"/>
    <w:rsid w:val="00800492"/>
    <w:rsid w:val="008004A8"/>
    <w:rsid w:val="00800950"/>
    <w:rsid w:val="00800C6F"/>
    <w:rsid w:val="00800F86"/>
    <w:rsid w:val="008014F1"/>
    <w:rsid w:val="00801BFF"/>
    <w:rsid w:val="00801FDD"/>
    <w:rsid w:val="00802178"/>
    <w:rsid w:val="00802441"/>
    <w:rsid w:val="0080258B"/>
    <w:rsid w:val="00802F4F"/>
    <w:rsid w:val="008037D7"/>
    <w:rsid w:val="00803AC3"/>
    <w:rsid w:val="00804496"/>
    <w:rsid w:val="008048B0"/>
    <w:rsid w:val="00804D69"/>
    <w:rsid w:val="00805159"/>
    <w:rsid w:val="00805315"/>
    <w:rsid w:val="008059EC"/>
    <w:rsid w:val="00806068"/>
    <w:rsid w:val="00806069"/>
    <w:rsid w:val="0080623D"/>
    <w:rsid w:val="008065E1"/>
    <w:rsid w:val="00806680"/>
    <w:rsid w:val="008067B7"/>
    <w:rsid w:val="00806875"/>
    <w:rsid w:val="008068CE"/>
    <w:rsid w:val="00806914"/>
    <w:rsid w:val="00806952"/>
    <w:rsid w:val="00806982"/>
    <w:rsid w:val="008072E3"/>
    <w:rsid w:val="00807730"/>
    <w:rsid w:val="0081038C"/>
    <w:rsid w:val="0081078C"/>
    <w:rsid w:val="008108DD"/>
    <w:rsid w:val="00811880"/>
    <w:rsid w:val="00811FEA"/>
    <w:rsid w:val="00811FFC"/>
    <w:rsid w:val="00812947"/>
    <w:rsid w:val="00812AFE"/>
    <w:rsid w:val="008131F1"/>
    <w:rsid w:val="00813958"/>
    <w:rsid w:val="00813A13"/>
    <w:rsid w:val="00813D36"/>
    <w:rsid w:val="008141B5"/>
    <w:rsid w:val="00814434"/>
    <w:rsid w:val="0081469B"/>
    <w:rsid w:val="008147EF"/>
    <w:rsid w:val="008151E7"/>
    <w:rsid w:val="00815275"/>
    <w:rsid w:val="0081639A"/>
    <w:rsid w:val="00816542"/>
    <w:rsid w:val="00816863"/>
    <w:rsid w:val="00816A93"/>
    <w:rsid w:val="008173FE"/>
    <w:rsid w:val="00817544"/>
    <w:rsid w:val="008177F1"/>
    <w:rsid w:val="00817A08"/>
    <w:rsid w:val="00817E3C"/>
    <w:rsid w:val="00820038"/>
    <w:rsid w:val="0082041C"/>
    <w:rsid w:val="008204BF"/>
    <w:rsid w:val="0082128F"/>
    <w:rsid w:val="008213C4"/>
    <w:rsid w:val="0082178B"/>
    <w:rsid w:val="00821ED5"/>
    <w:rsid w:val="00822A24"/>
    <w:rsid w:val="00822A46"/>
    <w:rsid w:val="00822EDF"/>
    <w:rsid w:val="0082302E"/>
    <w:rsid w:val="008236C8"/>
    <w:rsid w:val="008236E9"/>
    <w:rsid w:val="00823744"/>
    <w:rsid w:val="008239E6"/>
    <w:rsid w:val="00823CCD"/>
    <w:rsid w:val="00823D9A"/>
    <w:rsid w:val="00823E1B"/>
    <w:rsid w:val="00823FCB"/>
    <w:rsid w:val="008242AF"/>
    <w:rsid w:val="00824688"/>
    <w:rsid w:val="00825090"/>
    <w:rsid w:val="00827823"/>
    <w:rsid w:val="00827C78"/>
    <w:rsid w:val="0083003F"/>
    <w:rsid w:val="00830167"/>
    <w:rsid w:val="00830276"/>
    <w:rsid w:val="008302F2"/>
    <w:rsid w:val="0083030A"/>
    <w:rsid w:val="00830547"/>
    <w:rsid w:val="0083057C"/>
    <w:rsid w:val="0083058A"/>
    <w:rsid w:val="00830841"/>
    <w:rsid w:val="00830B33"/>
    <w:rsid w:val="00830D99"/>
    <w:rsid w:val="00830FCF"/>
    <w:rsid w:val="0083108C"/>
    <w:rsid w:val="008310B1"/>
    <w:rsid w:val="008312BD"/>
    <w:rsid w:val="008314C3"/>
    <w:rsid w:val="008317E3"/>
    <w:rsid w:val="00831B4D"/>
    <w:rsid w:val="00831E56"/>
    <w:rsid w:val="00832125"/>
    <w:rsid w:val="0083226D"/>
    <w:rsid w:val="00832D95"/>
    <w:rsid w:val="00832ED5"/>
    <w:rsid w:val="00832F32"/>
    <w:rsid w:val="00832FB6"/>
    <w:rsid w:val="008337E8"/>
    <w:rsid w:val="008338E9"/>
    <w:rsid w:val="00834726"/>
    <w:rsid w:val="00835B50"/>
    <w:rsid w:val="0083625A"/>
    <w:rsid w:val="00836433"/>
    <w:rsid w:val="00836440"/>
    <w:rsid w:val="008365DA"/>
    <w:rsid w:val="00836B0C"/>
    <w:rsid w:val="0083717F"/>
    <w:rsid w:val="00837379"/>
    <w:rsid w:val="00837BA0"/>
    <w:rsid w:val="008401E9"/>
    <w:rsid w:val="008402D4"/>
    <w:rsid w:val="008403E5"/>
    <w:rsid w:val="008407FF"/>
    <w:rsid w:val="00840A7C"/>
    <w:rsid w:val="00840B6E"/>
    <w:rsid w:val="00841485"/>
    <w:rsid w:val="00841E74"/>
    <w:rsid w:val="00842418"/>
    <w:rsid w:val="0084267D"/>
    <w:rsid w:val="00842E56"/>
    <w:rsid w:val="008430B7"/>
    <w:rsid w:val="0084383B"/>
    <w:rsid w:val="008438BF"/>
    <w:rsid w:val="008439D8"/>
    <w:rsid w:val="00843C88"/>
    <w:rsid w:val="00843D83"/>
    <w:rsid w:val="00843F0F"/>
    <w:rsid w:val="008444EB"/>
    <w:rsid w:val="0084491A"/>
    <w:rsid w:val="00844F0C"/>
    <w:rsid w:val="008450CE"/>
    <w:rsid w:val="008456FC"/>
    <w:rsid w:val="008457F1"/>
    <w:rsid w:val="00845894"/>
    <w:rsid w:val="00845CB0"/>
    <w:rsid w:val="00846792"/>
    <w:rsid w:val="00846A27"/>
    <w:rsid w:val="00846B56"/>
    <w:rsid w:val="00846E8D"/>
    <w:rsid w:val="00847F59"/>
    <w:rsid w:val="0085011A"/>
    <w:rsid w:val="00850135"/>
    <w:rsid w:val="00850554"/>
    <w:rsid w:val="0085069C"/>
    <w:rsid w:val="00850BC1"/>
    <w:rsid w:val="00850C6E"/>
    <w:rsid w:val="00850EE5"/>
    <w:rsid w:val="0085133F"/>
    <w:rsid w:val="00851354"/>
    <w:rsid w:val="00851649"/>
    <w:rsid w:val="00851910"/>
    <w:rsid w:val="00851BBF"/>
    <w:rsid w:val="00851E1F"/>
    <w:rsid w:val="00852748"/>
    <w:rsid w:val="008527D2"/>
    <w:rsid w:val="00852EFB"/>
    <w:rsid w:val="008531AB"/>
    <w:rsid w:val="00853EBB"/>
    <w:rsid w:val="00854075"/>
    <w:rsid w:val="0085430D"/>
    <w:rsid w:val="0085479C"/>
    <w:rsid w:val="0085480B"/>
    <w:rsid w:val="008548F6"/>
    <w:rsid w:val="008554C7"/>
    <w:rsid w:val="00855509"/>
    <w:rsid w:val="00855896"/>
    <w:rsid w:val="0085593E"/>
    <w:rsid w:val="00855EB5"/>
    <w:rsid w:val="0085623E"/>
    <w:rsid w:val="00856782"/>
    <w:rsid w:val="00856C0E"/>
    <w:rsid w:val="008578C8"/>
    <w:rsid w:val="00857ACD"/>
    <w:rsid w:val="00857C56"/>
    <w:rsid w:val="00860D0A"/>
    <w:rsid w:val="00860D5A"/>
    <w:rsid w:val="0086136D"/>
    <w:rsid w:val="00861640"/>
    <w:rsid w:val="0086171A"/>
    <w:rsid w:val="00861873"/>
    <w:rsid w:val="00861AA2"/>
    <w:rsid w:val="008628CF"/>
    <w:rsid w:val="00862D67"/>
    <w:rsid w:val="00863065"/>
    <w:rsid w:val="0086363A"/>
    <w:rsid w:val="008636D7"/>
    <w:rsid w:val="00863A98"/>
    <w:rsid w:val="00863C2B"/>
    <w:rsid w:val="00863EAC"/>
    <w:rsid w:val="00863F41"/>
    <w:rsid w:val="0086425A"/>
    <w:rsid w:val="00864353"/>
    <w:rsid w:val="0086475D"/>
    <w:rsid w:val="008652B4"/>
    <w:rsid w:val="00865378"/>
    <w:rsid w:val="008656FC"/>
    <w:rsid w:val="008663C7"/>
    <w:rsid w:val="00866822"/>
    <w:rsid w:val="00866E00"/>
    <w:rsid w:val="00866FB6"/>
    <w:rsid w:val="00867458"/>
    <w:rsid w:val="00867A3B"/>
    <w:rsid w:val="00870343"/>
    <w:rsid w:val="00870A86"/>
    <w:rsid w:val="00870AF3"/>
    <w:rsid w:val="00870C14"/>
    <w:rsid w:val="00870D7B"/>
    <w:rsid w:val="00870FCD"/>
    <w:rsid w:val="00871222"/>
    <w:rsid w:val="00871F92"/>
    <w:rsid w:val="00872E41"/>
    <w:rsid w:val="00873F35"/>
    <w:rsid w:val="0087446C"/>
    <w:rsid w:val="00874F8E"/>
    <w:rsid w:val="00875D76"/>
    <w:rsid w:val="008763E7"/>
    <w:rsid w:val="0087649D"/>
    <w:rsid w:val="00876574"/>
    <w:rsid w:val="008768E8"/>
    <w:rsid w:val="00877B49"/>
    <w:rsid w:val="00877C51"/>
    <w:rsid w:val="00877E03"/>
    <w:rsid w:val="00880017"/>
    <w:rsid w:val="008803F1"/>
    <w:rsid w:val="00880CA5"/>
    <w:rsid w:val="0088158E"/>
    <w:rsid w:val="00881629"/>
    <w:rsid w:val="008823D6"/>
    <w:rsid w:val="0088253F"/>
    <w:rsid w:val="00882677"/>
    <w:rsid w:val="00882CD5"/>
    <w:rsid w:val="008832F7"/>
    <w:rsid w:val="00883BBD"/>
    <w:rsid w:val="00883BC7"/>
    <w:rsid w:val="00883D07"/>
    <w:rsid w:val="00883EB6"/>
    <w:rsid w:val="008840BD"/>
    <w:rsid w:val="00884693"/>
    <w:rsid w:val="0088515A"/>
    <w:rsid w:val="008853ED"/>
    <w:rsid w:val="0088621C"/>
    <w:rsid w:val="00886877"/>
    <w:rsid w:val="00886889"/>
    <w:rsid w:val="00886A36"/>
    <w:rsid w:val="00886E6B"/>
    <w:rsid w:val="0088747C"/>
    <w:rsid w:val="00887C35"/>
    <w:rsid w:val="00890663"/>
    <w:rsid w:val="00890D3C"/>
    <w:rsid w:val="00890E2F"/>
    <w:rsid w:val="00890E59"/>
    <w:rsid w:val="00891488"/>
    <w:rsid w:val="0089161C"/>
    <w:rsid w:val="008916A1"/>
    <w:rsid w:val="00891E31"/>
    <w:rsid w:val="008925D1"/>
    <w:rsid w:val="00892996"/>
    <w:rsid w:val="00892A7D"/>
    <w:rsid w:val="008930F9"/>
    <w:rsid w:val="00893A66"/>
    <w:rsid w:val="00894189"/>
    <w:rsid w:val="0089423C"/>
    <w:rsid w:val="008945E2"/>
    <w:rsid w:val="00894DE0"/>
    <w:rsid w:val="008956EA"/>
    <w:rsid w:val="008959BC"/>
    <w:rsid w:val="00895D64"/>
    <w:rsid w:val="00895ECB"/>
    <w:rsid w:val="00896301"/>
    <w:rsid w:val="008967C2"/>
    <w:rsid w:val="00896DA3"/>
    <w:rsid w:val="00896FF5"/>
    <w:rsid w:val="00897868"/>
    <w:rsid w:val="00897CDF"/>
    <w:rsid w:val="008A0066"/>
    <w:rsid w:val="008A0978"/>
    <w:rsid w:val="008A09B3"/>
    <w:rsid w:val="008A118F"/>
    <w:rsid w:val="008A1289"/>
    <w:rsid w:val="008A14D5"/>
    <w:rsid w:val="008A16C5"/>
    <w:rsid w:val="008A1FA3"/>
    <w:rsid w:val="008A20D6"/>
    <w:rsid w:val="008A244F"/>
    <w:rsid w:val="008A2858"/>
    <w:rsid w:val="008A295A"/>
    <w:rsid w:val="008A2C0F"/>
    <w:rsid w:val="008A2FFC"/>
    <w:rsid w:val="008A3626"/>
    <w:rsid w:val="008A3C4B"/>
    <w:rsid w:val="008A4221"/>
    <w:rsid w:val="008A447D"/>
    <w:rsid w:val="008A4AE4"/>
    <w:rsid w:val="008A51FC"/>
    <w:rsid w:val="008A55C6"/>
    <w:rsid w:val="008A6024"/>
    <w:rsid w:val="008A64A3"/>
    <w:rsid w:val="008A65A3"/>
    <w:rsid w:val="008A6612"/>
    <w:rsid w:val="008A6851"/>
    <w:rsid w:val="008A7ACF"/>
    <w:rsid w:val="008A7BA0"/>
    <w:rsid w:val="008B00B8"/>
    <w:rsid w:val="008B118B"/>
    <w:rsid w:val="008B135B"/>
    <w:rsid w:val="008B1686"/>
    <w:rsid w:val="008B1AC0"/>
    <w:rsid w:val="008B1E2F"/>
    <w:rsid w:val="008B1E63"/>
    <w:rsid w:val="008B20C9"/>
    <w:rsid w:val="008B2178"/>
    <w:rsid w:val="008B270C"/>
    <w:rsid w:val="008B2841"/>
    <w:rsid w:val="008B2A83"/>
    <w:rsid w:val="008B3054"/>
    <w:rsid w:val="008B3098"/>
    <w:rsid w:val="008B347C"/>
    <w:rsid w:val="008B3795"/>
    <w:rsid w:val="008B395A"/>
    <w:rsid w:val="008B3C09"/>
    <w:rsid w:val="008B3D51"/>
    <w:rsid w:val="008B4032"/>
    <w:rsid w:val="008B454B"/>
    <w:rsid w:val="008B4726"/>
    <w:rsid w:val="008B5B10"/>
    <w:rsid w:val="008B607F"/>
    <w:rsid w:val="008B63C4"/>
    <w:rsid w:val="008B6478"/>
    <w:rsid w:val="008B6B66"/>
    <w:rsid w:val="008B6E92"/>
    <w:rsid w:val="008B78DE"/>
    <w:rsid w:val="008B7953"/>
    <w:rsid w:val="008B7A9C"/>
    <w:rsid w:val="008B7CB4"/>
    <w:rsid w:val="008C00FC"/>
    <w:rsid w:val="008C093F"/>
    <w:rsid w:val="008C10B3"/>
    <w:rsid w:val="008C116F"/>
    <w:rsid w:val="008C142B"/>
    <w:rsid w:val="008C31AC"/>
    <w:rsid w:val="008C3759"/>
    <w:rsid w:val="008C39B7"/>
    <w:rsid w:val="008C39E8"/>
    <w:rsid w:val="008C3D49"/>
    <w:rsid w:val="008C4534"/>
    <w:rsid w:val="008C492A"/>
    <w:rsid w:val="008C4B3C"/>
    <w:rsid w:val="008C4BCA"/>
    <w:rsid w:val="008C51DE"/>
    <w:rsid w:val="008C5581"/>
    <w:rsid w:val="008C5724"/>
    <w:rsid w:val="008C6372"/>
    <w:rsid w:val="008C6972"/>
    <w:rsid w:val="008C6B64"/>
    <w:rsid w:val="008C6DEB"/>
    <w:rsid w:val="008C6E67"/>
    <w:rsid w:val="008C6EAF"/>
    <w:rsid w:val="008C7C73"/>
    <w:rsid w:val="008D0CF6"/>
    <w:rsid w:val="008D0EB6"/>
    <w:rsid w:val="008D10E1"/>
    <w:rsid w:val="008D1DE8"/>
    <w:rsid w:val="008D2757"/>
    <w:rsid w:val="008D2AC4"/>
    <w:rsid w:val="008D35E0"/>
    <w:rsid w:val="008D3604"/>
    <w:rsid w:val="008D3C9E"/>
    <w:rsid w:val="008D428D"/>
    <w:rsid w:val="008D42AC"/>
    <w:rsid w:val="008D49B4"/>
    <w:rsid w:val="008D4E8E"/>
    <w:rsid w:val="008D531B"/>
    <w:rsid w:val="008D533F"/>
    <w:rsid w:val="008D56E4"/>
    <w:rsid w:val="008D63D6"/>
    <w:rsid w:val="008D76B2"/>
    <w:rsid w:val="008E002B"/>
    <w:rsid w:val="008E0DAA"/>
    <w:rsid w:val="008E10C8"/>
    <w:rsid w:val="008E1395"/>
    <w:rsid w:val="008E1465"/>
    <w:rsid w:val="008E1962"/>
    <w:rsid w:val="008E30B8"/>
    <w:rsid w:val="008E4D5E"/>
    <w:rsid w:val="008E55CD"/>
    <w:rsid w:val="008E5734"/>
    <w:rsid w:val="008E5B1F"/>
    <w:rsid w:val="008E5E0C"/>
    <w:rsid w:val="008E67A1"/>
    <w:rsid w:val="008E72C1"/>
    <w:rsid w:val="008E77D7"/>
    <w:rsid w:val="008E7BB7"/>
    <w:rsid w:val="008E7CF5"/>
    <w:rsid w:val="008F008D"/>
    <w:rsid w:val="008F05A5"/>
    <w:rsid w:val="008F0739"/>
    <w:rsid w:val="008F0925"/>
    <w:rsid w:val="008F0973"/>
    <w:rsid w:val="008F0A28"/>
    <w:rsid w:val="008F0BA9"/>
    <w:rsid w:val="008F0E04"/>
    <w:rsid w:val="008F0F3A"/>
    <w:rsid w:val="008F1532"/>
    <w:rsid w:val="008F1818"/>
    <w:rsid w:val="008F25FC"/>
    <w:rsid w:val="008F266D"/>
    <w:rsid w:val="008F26C0"/>
    <w:rsid w:val="008F2B48"/>
    <w:rsid w:val="008F2DB9"/>
    <w:rsid w:val="008F36B9"/>
    <w:rsid w:val="008F423E"/>
    <w:rsid w:val="008F454F"/>
    <w:rsid w:val="008F4E12"/>
    <w:rsid w:val="008F5285"/>
    <w:rsid w:val="008F53B9"/>
    <w:rsid w:val="008F5D36"/>
    <w:rsid w:val="008F5F49"/>
    <w:rsid w:val="008F66B3"/>
    <w:rsid w:val="008F6B2C"/>
    <w:rsid w:val="008F6FF9"/>
    <w:rsid w:val="008F73EE"/>
    <w:rsid w:val="008F7575"/>
    <w:rsid w:val="008F75B0"/>
    <w:rsid w:val="008F78D2"/>
    <w:rsid w:val="008F7978"/>
    <w:rsid w:val="008F7C0E"/>
    <w:rsid w:val="008F7F21"/>
    <w:rsid w:val="0090047C"/>
    <w:rsid w:val="009005BD"/>
    <w:rsid w:val="00900DF8"/>
    <w:rsid w:val="009011A9"/>
    <w:rsid w:val="00901296"/>
    <w:rsid w:val="009012F0"/>
    <w:rsid w:val="009014F0"/>
    <w:rsid w:val="00901680"/>
    <w:rsid w:val="009017E9"/>
    <w:rsid w:val="00901ACD"/>
    <w:rsid w:val="00901FB3"/>
    <w:rsid w:val="00902775"/>
    <w:rsid w:val="00902B1E"/>
    <w:rsid w:val="00902F95"/>
    <w:rsid w:val="00902FC5"/>
    <w:rsid w:val="00902FF3"/>
    <w:rsid w:val="0090311B"/>
    <w:rsid w:val="00903491"/>
    <w:rsid w:val="00903587"/>
    <w:rsid w:val="0090378C"/>
    <w:rsid w:val="009037A5"/>
    <w:rsid w:val="00903B27"/>
    <w:rsid w:val="00904BF6"/>
    <w:rsid w:val="00904F00"/>
    <w:rsid w:val="00905106"/>
    <w:rsid w:val="00905133"/>
    <w:rsid w:val="00905489"/>
    <w:rsid w:val="00906D06"/>
    <w:rsid w:val="009074BD"/>
    <w:rsid w:val="00907955"/>
    <w:rsid w:val="00910037"/>
    <w:rsid w:val="0091043B"/>
    <w:rsid w:val="0091170B"/>
    <w:rsid w:val="0091199B"/>
    <w:rsid w:val="00911C7F"/>
    <w:rsid w:val="00912660"/>
    <w:rsid w:val="009127D2"/>
    <w:rsid w:val="009127D7"/>
    <w:rsid w:val="00912B6B"/>
    <w:rsid w:val="00913286"/>
    <w:rsid w:val="00913426"/>
    <w:rsid w:val="00914093"/>
    <w:rsid w:val="00914126"/>
    <w:rsid w:val="00914487"/>
    <w:rsid w:val="00915009"/>
    <w:rsid w:val="0091520F"/>
    <w:rsid w:val="009152DD"/>
    <w:rsid w:val="00915362"/>
    <w:rsid w:val="009153D3"/>
    <w:rsid w:val="0091543D"/>
    <w:rsid w:val="00915612"/>
    <w:rsid w:val="009156A9"/>
    <w:rsid w:val="00915F5D"/>
    <w:rsid w:val="0091627B"/>
    <w:rsid w:val="00916867"/>
    <w:rsid w:val="00916A59"/>
    <w:rsid w:val="00917174"/>
    <w:rsid w:val="00917504"/>
    <w:rsid w:val="00917601"/>
    <w:rsid w:val="00917858"/>
    <w:rsid w:val="00917B44"/>
    <w:rsid w:val="00920058"/>
    <w:rsid w:val="00920178"/>
    <w:rsid w:val="0092036B"/>
    <w:rsid w:val="0092042D"/>
    <w:rsid w:val="0092042F"/>
    <w:rsid w:val="00920885"/>
    <w:rsid w:val="00920944"/>
    <w:rsid w:val="00920EA0"/>
    <w:rsid w:val="0092127F"/>
    <w:rsid w:val="00921723"/>
    <w:rsid w:val="0092256A"/>
    <w:rsid w:val="00922593"/>
    <w:rsid w:val="0092279C"/>
    <w:rsid w:val="00922DD4"/>
    <w:rsid w:val="00923826"/>
    <w:rsid w:val="0092472E"/>
    <w:rsid w:val="009248E5"/>
    <w:rsid w:val="00924AF7"/>
    <w:rsid w:val="00924E5E"/>
    <w:rsid w:val="00925027"/>
    <w:rsid w:val="009258CA"/>
    <w:rsid w:val="00926589"/>
    <w:rsid w:val="00926C92"/>
    <w:rsid w:val="00926F2F"/>
    <w:rsid w:val="0092758F"/>
    <w:rsid w:val="00927A77"/>
    <w:rsid w:val="00930F46"/>
    <w:rsid w:val="00930F78"/>
    <w:rsid w:val="009311F1"/>
    <w:rsid w:val="009318C4"/>
    <w:rsid w:val="00931E28"/>
    <w:rsid w:val="00931EC0"/>
    <w:rsid w:val="00932617"/>
    <w:rsid w:val="0093282E"/>
    <w:rsid w:val="00932D9A"/>
    <w:rsid w:val="00932E90"/>
    <w:rsid w:val="00932FF1"/>
    <w:rsid w:val="009335D4"/>
    <w:rsid w:val="00933860"/>
    <w:rsid w:val="009345DE"/>
    <w:rsid w:val="0093489F"/>
    <w:rsid w:val="00934D28"/>
    <w:rsid w:val="0093504A"/>
    <w:rsid w:val="0093535A"/>
    <w:rsid w:val="00935EF3"/>
    <w:rsid w:val="0093647B"/>
    <w:rsid w:val="00936C50"/>
    <w:rsid w:val="00936DC2"/>
    <w:rsid w:val="0093762A"/>
    <w:rsid w:val="00937A50"/>
    <w:rsid w:val="00937E11"/>
    <w:rsid w:val="00937F69"/>
    <w:rsid w:val="009407D0"/>
    <w:rsid w:val="009411DE"/>
    <w:rsid w:val="009419A5"/>
    <w:rsid w:val="00942BFF"/>
    <w:rsid w:val="00943578"/>
    <w:rsid w:val="00943AEF"/>
    <w:rsid w:val="00943D09"/>
    <w:rsid w:val="00944640"/>
    <w:rsid w:val="0094484A"/>
    <w:rsid w:val="009449AD"/>
    <w:rsid w:val="009449C2"/>
    <w:rsid w:val="00944A72"/>
    <w:rsid w:val="00944DFD"/>
    <w:rsid w:val="00944EC8"/>
    <w:rsid w:val="00945A02"/>
    <w:rsid w:val="00945B4D"/>
    <w:rsid w:val="00945DFB"/>
    <w:rsid w:val="00946510"/>
    <w:rsid w:val="009465F0"/>
    <w:rsid w:val="00946900"/>
    <w:rsid w:val="00946AC2"/>
    <w:rsid w:val="00947818"/>
    <w:rsid w:val="00950138"/>
    <w:rsid w:val="0095038A"/>
    <w:rsid w:val="00950524"/>
    <w:rsid w:val="0095065B"/>
    <w:rsid w:val="00950FDD"/>
    <w:rsid w:val="009511ED"/>
    <w:rsid w:val="0095176F"/>
    <w:rsid w:val="00951798"/>
    <w:rsid w:val="0095220B"/>
    <w:rsid w:val="009522E7"/>
    <w:rsid w:val="009522FA"/>
    <w:rsid w:val="0095249A"/>
    <w:rsid w:val="00952BEE"/>
    <w:rsid w:val="00952F1D"/>
    <w:rsid w:val="009533C7"/>
    <w:rsid w:val="00953427"/>
    <w:rsid w:val="009535F7"/>
    <w:rsid w:val="00953D5E"/>
    <w:rsid w:val="009542D3"/>
    <w:rsid w:val="00954FFC"/>
    <w:rsid w:val="0095519A"/>
    <w:rsid w:val="0095536D"/>
    <w:rsid w:val="0095599A"/>
    <w:rsid w:val="00955BC8"/>
    <w:rsid w:val="00955DFD"/>
    <w:rsid w:val="00956BFB"/>
    <w:rsid w:val="00956DD0"/>
    <w:rsid w:val="00961627"/>
    <w:rsid w:val="009616CD"/>
    <w:rsid w:val="00961FDA"/>
    <w:rsid w:val="00962075"/>
    <w:rsid w:val="009622B2"/>
    <w:rsid w:val="00962A45"/>
    <w:rsid w:val="00962BEF"/>
    <w:rsid w:val="0096300A"/>
    <w:rsid w:val="009631C7"/>
    <w:rsid w:val="00963D4D"/>
    <w:rsid w:val="00963E93"/>
    <w:rsid w:val="0096426A"/>
    <w:rsid w:val="00964E0E"/>
    <w:rsid w:val="0096552A"/>
    <w:rsid w:val="0096553A"/>
    <w:rsid w:val="00965C8E"/>
    <w:rsid w:val="00965D31"/>
    <w:rsid w:val="0096694D"/>
    <w:rsid w:val="00966B2D"/>
    <w:rsid w:val="00966B95"/>
    <w:rsid w:val="009678B0"/>
    <w:rsid w:val="00967F9E"/>
    <w:rsid w:val="00970445"/>
    <w:rsid w:val="0097049F"/>
    <w:rsid w:val="0097060A"/>
    <w:rsid w:val="00970E0E"/>
    <w:rsid w:val="00971649"/>
    <w:rsid w:val="009718C7"/>
    <w:rsid w:val="00971FA3"/>
    <w:rsid w:val="009728A3"/>
    <w:rsid w:val="0097299E"/>
    <w:rsid w:val="0097388D"/>
    <w:rsid w:val="009742C6"/>
    <w:rsid w:val="009747C2"/>
    <w:rsid w:val="00974BBD"/>
    <w:rsid w:val="009751E1"/>
    <w:rsid w:val="00975EC9"/>
    <w:rsid w:val="00976437"/>
    <w:rsid w:val="00976453"/>
    <w:rsid w:val="009771C5"/>
    <w:rsid w:val="009774E8"/>
    <w:rsid w:val="00977EF8"/>
    <w:rsid w:val="00980727"/>
    <w:rsid w:val="0098075E"/>
    <w:rsid w:val="00980D86"/>
    <w:rsid w:val="00981191"/>
    <w:rsid w:val="0098128D"/>
    <w:rsid w:val="0098139C"/>
    <w:rsid w:val="00981BE2"/>
    <w:rsid w:val="009822FA"/>
    <w:rsid w:val="00982C6A"/>
    <w:rsid w:val="00982C7E"/>
    <w:rsid w:val="00982CE6"/>
    <w:rsid w:val="00983C04"/>
    <w:rsid w:val="00983E1D"/>
    <w:rsid w:val="00984A96"/>
    <w:rsid w:val="00985C99"/>
    <w:rsid w:val="00985CA9"/>
    <w:rsid w:val="009861E0"/>
    <w:rsid w:val="0098628A"/>
    <w:rsid w:val="00986427"/>
    <w:rsid w:val="0098649D"/>
    <w:rsid w:val="009868C6"/>
    <w:rsid w:val="00986B2C"/>
    <w:rsid w:val="0098768B"/>
    <w:rsid w:val="00987988"/>
    <w:rsid w:val="00987FD0"/>
    <w:rsid w:val="009903B4"/>
    <w:rsid w:val="00990C08"/>
    <w:rsid w:val="0099106D"/>
    <w:rsid w:val="009911E3"/>
    <w:rsid w:val="00991349"/>
    <w:rsid w:val="00991633"/>
    <w:rsid w:val="00991CBB"/>
    <w:rsid w:val="00991DE8"/>
    <w:rsid w:val="0099272F"/>
    <w:rsid w:val="00992B4A"/>
    <w:rsid w:val="00993354"/>
    <w:rsid w:val="00993427"/>
    <w:rsid w:val="00993538"/>
    <w:rsid w:val="00993A72"/>
    <w:rsid w:val="00994447"/>
    <w:rsid w:val="009944C2"/>
    <w:rsid w:val="009945AB"/>
    <w:rsid w:val="00994726"/>
    <w:rsid w:val="00994EE1"/>
    <w:rsid w:val="009957D7"/>
    <w:rsid w:val="00995B93"/>
    <w:rsid w:val="0099688A"/>
    <w:rsid w:val="00996981"/>
    <w:rsid w:val="00997064"/>
    <w:rsid w:val="009973E0"/>
    <w:rsid w:val="00997797"/>
    <w:rsid w:val="00997AB2"/>
    <w:rsid w:val="00997BA6"/>
    <w:rsid w:val="00997F28"/>
    <w:rsid w:val="009A020C"/>
    <w:rsid w:val="009A075C"/>
    <w:rsid w:val="009A0AE4"/>
    <w:rsid w:val="009A0FB2"/>
    <w:rsid w:val="009A1337"/>
    <w:rsid w:val="009A1634"/>
    <w:rsid w:val="009A1C10"/>
    <w:rsid w:val="009A1FED"/>
    <w:rsid w:val="009A2607"/>
    <w:rsid w:val="009A28CB"/>
    <w:rsid w:val="009A2ABE"/>
    <w:rsid w:val="009A30B1"/>
    <w:rsid w:val="009A37D7"/>
    <w:rsid w:val="009A3FAF"/>
    <w:rsid w:val="009A4078"/>
    <w:rsid w:val="009A408B"/>
    <w:rsid w:val="009A40BE"/>
    <w:rsid w:val="009A44E4"/>
    <w:rsid w:val="009A4E08"/>
    <w:rsid w:val="009A4FFB"/>
    <w:rsid w:val="009A57CE"/>
    <w:rsid w:val="009A59A9"/>
    <w:rsid w:val="009A5D82"/>
    <w:rsid w:val="009A6499"/>
    <w:rsid w:val="009A67CD"/>
    <w:rsid w:val="009A6E50"/>
    <w:rsid w:val="009A71F5"/>
    <w:rsid w:val="009A75BA"/>
    <w:rsid w:val="009B029C"/>
    <w:rsid w:val="009B068B"/>
    <w:rsid w:val="009B0792"/>
    <w:rsid w:val="009B0DFD"/>
    <w:rsid w:val="009B10FE"/>
    <w:rsid w:val="009B1162"/>
    <w:rsid w:val="009B126A"/>
    <w:rsid w:val="009B1720"/>
    <w:rsid w:val="009B213F"/>
    <w:rsid w:val="009B23F4"/>
    <w:rsid w:val="009B2912"/>
    <w:rsid w:val="009B2DB1"/>
    <w:rsid w:val="009B2DF5"/>
    <w:rsid w:val="009B31CC"/>
    <w:rsid w:val="009B3884"/>
    <w:rsid w:val="009B38B1"/>
    <w:rsid w:val="009B49A5"/>
    <w:rsid w:val="009B4A09"/>
    <w:rsid w:val="009B4CE7"/>
    <w:rsid w:val="009B50C5"/>
    <w:rsid w:val="009B53FD"/>
    <w:rsid w:val="009B5731"/>
    <w:rsid w:val="009B5A3C"/>
    <w:rsid w:val="009B5B76"/>
    <w:rsid w:val="009B5FA5"/>
    <w:rsid w:val="009B7045"/>
    <w:rsid w:val="009B73AA"/>
    <w:rsid w:val="009B7C39"/>
    <w:rsid w:val="009B7F40"/>
    <w:rsid w:val="009C0545"/>
    <w:rsid w:val="009C07A8"/>
    <w:rsid w:val="009C11A3"/>
    <w:rsid w:val="009C1E7A"/>
    <w:rsid w:val="009C2251"/>
    <w:rsid w:val="009C22C3"/>
    <w:rsid w:val="009C238D"/>
    <w:rsid w:val="009C2592"/>
    <w:rsid w:val="009C27EE"/>
    <w:rsid w:val="009C3913"/>
    <w:rsid w:val="009C406E"/>
    <w:rsid w:val="009C47F5"/>
    <w:rsid w:val="009C4960"/>
    <w:rsid w:val="009C4AF2"/>
    <w:rsid w:val="009C4B5D"/>
    <w:rsid w:val="009C51C8"/>
    <w:rsid w:val="009C58F6"/>
    <w:rsid w:val="009C593E"/>
    <w:rsid w:val="009C5D0F"/>
    <w:rsid w:val="009C5FCD"/>
    <w:rsid w:val="009C6364"/>
    <w:rsid w:val="009C667C"/>
    <w:rsid w:val="009C6BF4"/>
    <w:rsid w:val="009C7065"/>
    <w:rsid w:val="009C79F7"/>
    <w:rsid w:val="009C7FBE"/>
    <w:rsid w:val="009D0471"/>
    <w:rsid w:val="009D074C"/>
    <w:rsid w:val="009D0BC4"/>
    <w:rsid w:val="009D10A0"/>
    <w:rsid w:val="009D1989"/>
    <w:rsid w:val="009D1E74"/>
    <w:rsid w:val="009D1FE1"/>
    <w:rsid w:val="009D284A"/>
    <w:rsid w:val="009D2F7E"/>
    <w:rsid w:val="009D2FC8"/>
    <w:rsid w:val="009D3297"/>
    <w:rsid w:val="009D388B"/>
    <w:rsid w:val="009D4248"/>
    <w:rsid w:val="009D42E2"/>
    <w:rsid w:val="009D452C"/>
    <w:rsid w:val="009D4EC6"/>
    <w:rsid w:val="009D50FA"/>
    <w:rsid w:val="009D5879"/>
    <w:rsid w:val="009D5B6A"/>
    <w:rsid w:val="009D5FA7"/>
    <w:rsid w:val="009D60F2"/>
    <w:rsid w:val="009D6EC7"/>
    <w:rsid w:val="009D6EE0"/>
    <w:rsid w:val="009D7306"/>
    <w:rsid w:val="009D7340"/>
    <w:rsid w:val="009D7875"/>
    <w:rsid w:val="009D7C38"/>
    <w:rsid w:val="009D7E89"/>
    <w:rsid w:val="009D7E92"/>
    <w:rsid w:val="009D7EC4"/>
    <w:rsid w:val="009E048E"/>
    <w:rsid w:val="009E060C"/>
    <w:rsid w:val="009E0CB2"/>
    <w:rsid w:val="009E0ECA"/>
    <w:rsid w:val="009E16C7"/>
    <w:rsid w:val="009E1DE4"/>
    <w:rsid w:val="009E1E40"/>
    <w:rsid w:val="009E2590"/>
    <w:rsid w:val="009E270C"/>
    <w:rsid w:val="009E2FF4"/>
    <w:rsid w:val="009E34DB"/>
    <w:rsid w:val="009E3653"/>
    <w:rsid w:val="009E37AA"/>
    <w:rsid w:val="009E40DB"/>
    <w:rsid w:val="009E4A25"/>
    <w:rsid w:val="009E4B48"/>
    <w:rsid w:val="009E4F40"/>
    <w:rsid w:val="009E5344"/>
    <w:rsid w:val="009E565D"/>
    <w:rsid w:val="009E59E7"/>
    <w:rsid w:val="009E5F40"/>
    <w:rsid w:val="009E635F"/>
    <w:rsid w:val="009E6994"/>
    <w:rsid w:val="009E6D45"/>
    <w:rsid w:val="009E70A9"/>
    <w:rsid w:val="009E7215"/>
    <w:rsid w:val="009E748B"/>
    <w:rsid w:val="009E7588"/>
    <w:rsid w:val="009E7865"/>
    <w:rsid w:val="009E7CE9"/>
    <w:rsid w:val="009F04EF"/>
    <w:rsid w:val="009F0AE3"/>
    <w:rsid w:val="009F0C2A"/>
    <w:rsid w:val="009F1316"/>
    <w:rsid w:val="009F1818"/>
    <w:rsid w:val="009F1CEC"/>
    <w:rsid w:val="009F3466"/>
    <w:rsid w:val="009F4366"/>
    <w:rsid w:val="009F440C"/>
    <w:rsid w:val="009F45A1"/>
    <w:rsid w:val="009F47D2"/>
    <w:rsid w:val="009F4ADE"/>
    <w:rsid w:val="009F599C"/>
    <w:rsid w:val="009F5F91"/>
    <w:rsid w:val="009F62B7"/>
    <w:rsid w:val="009F640F"/>
    <w:rsid w:val="009F675A"/>
    <w:rsid w:val="009F6F76"/>
    <w:rsid w:val="00A00176"/>
    <w:rsid w:val="00A00484"/>
    <w:rsid w:val="00A004DC"/>
    <w:rsid w:val="00A0194E"/>
    <w:rsid w:val="00A021EB"/>
    <w:rsid w:val="00A0226C"/>
    <w:rsid w:val="00A02C6B"/>
    <w:rsid w:val="00A035E3"/>
    <w:rsid w:val="00A03AA4"/>
    <w:rsid w:val="00A03BA0"/>
    <w:rsid w:val="00A03D49"/>
    <w:rsid w:val="00A04149"/>
    <w:rsid w:val="00A044E9"/>
    <w:rsid w:val="00A0519F"/>
    <w:rsid w:val="00A051C6"/>
    <w:rsid w:val="00A05306"/>
    <w:rsid w:val="00A05907"/>
    <w:rsid w:val="00A05E1A"/>
    <w:rsid w:val="00A060D4"/>
    <w:rsid w:val="00A062ED"/>
    <w:rsid w:val="00A063A6"/>
    <w:rsid w:val="00A06510"/>
    <w:rsid w:val="00A06D11"/>
    <w:rsid w:val="00A0701B"/>
    <w:rsid w:val="00A07174"/>
    <w:rsid w:val="00A07271"/>
    <w:rsid w:val="00A0743F"/>
    <w:rsid w:val="00A078DE"/>
    <w:rsid w:val="00A11A25"/>
    <w:rsid w:val="00A11F3F"/>
    <w:rsid w:val="00A11FF3"/>
    <w:rsid w:val="00A12127"/>
    <w:rsid w:val="00A1217C"/>
    <w:rsid w:val="00A12AED"/>
    <w:rsid w:val="00A12B69"/>
    <w:rsid w:val="00A12B74"/>
    <w:rsid w:val="00A12F77"/>
    <w:rsid w:val="00A1305B"/>
    <w:rsid w:val="00A13A2C"/>
    <w:rsid w:val="00A1429D"/>
    <w:rsid w:val="00A14A3C"/>
    <w:rsid w:val="00A1505B"/>
    <w:rsid w:val="00A152D9"/>
    <w:rsid w:val="00A1543B"/>
    <w:rsid w:val="00A157B0"/>
    <w:rsid w:val="00A15AE9"/>
    <w:rsid w:val="00A15F5E"/>
    <w:rsid w:val="00A1657F"/>
    <w:rsid w:val="00A16B2E"/>
    <w:rsid w:val="00A16BF2"/>
    <w:rsid w:val="00A176FC"/>
    <w:rsid w:val="00A17CE5"/>
    <w:rsid w:val="00A17D42"/>
    <w:rsid w:val="00A20698"/>
    <w:rsid w:val="00A20883"/>
    <w:rsid w:val="00A20B7E"/>
    <w:rsid w:val="00A20CF9"/>
    <w:rsid w:val="00A20E1D"/>
    <w:rsid w:val="00A20ECF"/>
    <w:rsid w:val="00A21173"/>
    <w:rsid w:val="00A2156B"/>
    <w:rsid w:val="00A21BC0"/>
    <w:rsid w:val="00A21EAD"/>
    <w:rsid w:val="00A22B98"/>
    <w:rsid w:val="00A22BCA"/>
    <w:rsid w:val="00A230BE"/>
    <w:rsid w:val="00A234E2"/>
    <w:rsid w:val="00A239D3"/>
    <w:rsid w:val="00A23B36"/>
    <w:rsid w:val="00A23BEE"/>
    <w:rsid w:val="00A23E30"/>
    <w:rsid w:val="00A2441B"/>
    <w:rsid w:val="00A2447A"/>
    <w:rsid w:val="00A24553"/>
    <w:rsid w:val="00A2465F"/>
    <w:rsid w:val="00A24B49"/>
    <w:rsid w:val="00A24E72"/>
    <w:rsid w:val="00A254CE"/>
    <w:rsid w:val="00A2551C"/>
    <w:rsid w:val="00A25A42"/>
    <w:rsid w:val="00A267A1"/>
    <w:rsid w:val="00A269F0"/>
    <w:rsid w:val="00A26CE8"/>
    <w:rsid w:val="00A26EAE"/>
    <w:rsid w:val="00A26EB4"/>
    <w:rsid w:val="00A276A3"/>
    <w:rsid w:val="00A276FE"/>
    <w:rsid w:val="00A2784B"/>
    <w:rsid w:val="00A31954"/>
    <w:rsid w:val="00A31BA1"/>
    <w:rsid w:val="00A31C35"/>
    <w:rsid w:val="00A31E46"/>
    <w:rsid w:val="00A31EF0"/>
    <w:rsid w:val="00A325D1"/>
    <w:rsid w:val="00A32737"/>
    <w:rsid w:val="00A32C19"/>
    <w:rsid w:val="00A33126"/>
    <w:rsid w:val="00A33A91"/>
    <w:rsid w:val="00A33A9A"/>
    <w:rsid w:val="00A33EDE"/>
    <w:rsid w:val="00A344CA"/>
    <w:rsid w:val="00A3476B"/>
    <w:rsid w:val="00A3492D"/>
    <w:rsid w:val="00A34F6E"/>
    <w:rsid w:val="00A350A6"/>
    <w:rsid w:val="00A351F1"/>
    <w:rsid w:val="00A361F6"/>
    <w:rsid w:val="00A36DCE"/>
    <w:rsid w:val="00A371FD"/>
    <w:rsid w:val="00A37682"/>
    <w:rsid w:val="00A376C4"/>
    <w:rsid w:val="00A378C4"/>
    <w:rsid w:val="00A40080"/>
    <w:rsid w:val="00A40193"/>
    <w:rsid w:val="00A4049B"/>
    <w:rsid w:val="00A404DD"/>
    <w:rsid w:val="00A40827"/>
    <w:rsid w:val="00A410D5"/>
    <w:rsid w:val="00A4159A"/>
    <w:rsid w:val="00A41B47"/>
    <w:rsid w:val="00A423E1"/>
    <w:rsid w:val="00A42716"/>
    <w:rsid w:val="00A429A8"/>
    <w:rsid w:val="00A42D9F"/>
    <w:rsid w:val="00A42F8E"/>
    <w:rsid w:val="00A44049"/>
    <w:rsid w:val="00A443BE"/>
    <w:rsid w:val="00A4449B"/>
    <w:rsid w:val="00A45540"/>
    <w:rsid w:val="00A466D3"/>
    <w:rsid w:val="00A46862"/>
    <w:rsid w:val="00A46A80"/>
    <w:rsid w:val="00A46AA2"/>
    <w:rsid w:val="00A47063"/>
    <w:rsid w:val="00A4707C"/>
    <w:rsid w:val="00A47751"/>
    <w:rsid w:val="00A47C24"/>
    <w:rsid w:val="00A47F48"/>
    <w:rsid w:val="00A50276"/>
    <w:rsid w:val="00A506A5"/>
    <w:rsid w:val="00A5083E"/>
    <w:rsid w:val="00A51152"/>
    <w:rsid w:val="00A512CE"/>
    <w:rsid w:val="00A51534"/>
    <w:rsid w:val="00A51746"/>
    <w:rsid w:val="00A51808"/>
    <w:rsid w:val="00A518E2"/>
    <w:rsid w:val="00A51C35"/>
    <w:rsid w:val="00A5201D"/>
    <w:rsid w:val="00A52970"/>
    <w:rsid w:val="00A53000"/>
    <w:rsid w:val="00A5302B"/>
    <w:rsid w:val="00A5315B"/>
    <w:rsid w:val="00A53847"/>
    <w:rsid w:val="00A53993"/>
    <w:rsid w:val="00A53E36"/>
    <w:rsid w:val="00A54150"/>
    <w:rsid w:val="00A5446E"/>
    <w:rsid w:val="00A544CB"/>
    <w:rsid w:val="00A546DA"/>
    <w:rsid w:val="00A54CA8"/>
    <w:rsid w:val="00A56B10"/>
    <w:rsid w:val="00A5771C"/>
    <w:rsid w:val="00A604BC"/>
    <w:rsid w:val="00A604EB"/>
    <w:rsid w:val="00A60793"/>
    <w:rsid w:val="00A60E71"/>
    <w:rsid w:val="00A61093"/>
    <w:rsid w:val="00A61460"/>
    <w:rsid w:val="00A61733"/>
    <w:rsid w:val="00A6178D"/>
    <w:rsid w:val="00A61AD3"/>
    <w:rsid w:val="00A61FBB"/>
    <w:rsid w:val="00A62049"/>
    <w:rsid w:val="00A62163"/>
    <w:rsid w:val="00A62414"/>
    <w:rsid w:val="00A62B84"/>
    <w:rsid w:val="00A62F84"/>
    <w:rsid w:val="00A631A1"/>
    <w:rsid w:val="00A6341E"/>
    <w:rsid w:val="00A6377B"/>
    <w:rsid w:val="00A63B66"/>
    <w:rsid w:val="00A64632"/>
    <w:rsid w:val="00A64762"/>
    <w:rsid w:val="00A647AF"/>
    <w:rsid w:val="00A64D5F"/>
    <w:rsid w:val="00A64E40"/>
    <w:rsid w:val="00A653AB"/>
    <w:rsid w:val="00A65838"/>
    <w:rsid w:val="00A65B04"/>
    <w:rsid w:val="00A65CF2"/>
    <w:rsid w:val="00A66367"/>
    <w:rsid w:val="00A6643C"/>
    <w:rsid w:val="00A668BA"/>
    <w:rsid w:val="00A66946"/>
    <w:rsid w:val="00A66F00"/>
    <w:rsid w:val="00A67162"/>
    <w:rsid w:val="00A6792B"/>
    <w:rsid w:val="00A70111"/>
    <w:rsid w:val="00A701AE"/>
    <w:rsid w:val="00A7044A"/>
    <w:rsid w:val="00A7058A"/>
    <w:rsid w:val="00A7058C"/>
    <w:rsid w:val="00A71C1A"/>
    <w:rsid w:val="00A71CEF"/>
    <w:rsid w:val="00A7287C"/>
    <w:rsid w:val="00A73763"/>
    <w:rsid w:val="00A73D21"/>
    <w:rsid w:val="00A7403F"/>
    <w:rsid w:val="00A74AB0"/>
    <w:rsid w:val="00A75489"/>
    <w:rsid w:val="00A75572"/>
    <w:rsid w:val="00A75610"/>
    <w:rsid w:val="00A760D7"/>
    <w:rsid w:val="00A7639A"/>
    <w:rsid w:val="00A7640E"/>
    <w:rsid w:val="00A76BCD"/>
    <w:rsid w:val="00A76FD9"/>
    <w:rsid w:val="00A77B45"/>
    <w:rsid w:val="00A77BD1"/>
    <w:rsid w:val="00A80291"/>
    <w:rsid w:val="00A8089A"/>
    <w:rsid w:val="00A80C73"/>
    <w:rsid w:val="00A80EF6"/>
    <w:rsid w:val="00A81FA9"/>
    <w:rsid w:val="00A82517"/>
    <w:rsid w:val="00A82FF7"/>
    <w:rsid w:val="00A83342"/>
    <w:rsid w:val="00A83CB1"/>
    <w:rsid w:val="00A845BE"/>
    <w:rsid w:val="00A84CDF"/>
    <w:rsid w:val="00A85023"/>
    <w:rsid w:val="00A850EF"/>
    <w:rsid w:val="00A85602"/>
    <w:rsid w:val="00A85814"/>
    <w:rsid w:val="00A85A0E"/>
    <w:rsid w:val="00A85CFF"/>
    <w:rsid w:val="00A864C8"/>
    <w:rsid w:val="00A86E95"/>
    <w:rsid w:val="00A8735F"/>
    <w:rsid w:val="00A87460"/>
    <w:rsid w:val="00A902CD"/>
    <w:rsid w:val="00A9036D"/>
    <w:rsid w:val="00A906FF"/>
    <w:rsid w:val="00A90A3F"/>
    <w:rsid w:val="00A90A40"/>
    <w:rsid w:val="00A90B62"/>
    <w:rsid w:val="00A90CD3"/>
    <w:rsid w:val="00A90EE6"/>
    <w:rsid w:val="00A91AA8"/>
    <w:rsid w:val="00A92199"/>
    <w:rsid w:val="00A929C0"/>
    <w:rsid w:val="00A92D20"/>
    <w:rsid w:val="00A92F32"/>
    <w:rsid w:val="00A93A2F"/>
    <w:rsid w:val="00A93CE0"/>
    <w:rsid w:val="00A942F3"/>
    <w:rsid w:val="00A946AC"/>
    <w:rsid w:val="00A94779"/>
    <w:rsid w:val="00A94E20"/>
    <w:rsid w:val="00A95668"/>
    <w:rsid w:val="00A956E1"/>
    <w:rsid w:val="00A95950"/>
    <w:rsid w:val="00A95B9B"/>
    <w:rsid w:val="00A95CB8"/>
    <w:rsid w:val="00A95F2A"/>
    <w:rsid w:val="00A96289"/>
    <w:rsid w:val="00A9693A"/>
    <w:rsid w:val="00A969BD"/>
    <w:rsid w:val="00A96A8C"/>
    <w:rsid w:val="00A973AD"/>
    <w:rsid w:val="00A975AD"/>
    <w:rsid w:val="00A979AD"/>
    <w:rsid w:val="00A97C1F"/>
    <w:rsid w:val="00AA1F5D"/>
    <w:rsid w:val="00AA26CA"/>
    <w:rsid w:val="00AA2880"/>
    <w:rsid w:val="00AA2C1F"/>
    <w:rsid w:val="00AA2C31"/>
    <w:rsid w:val="00AA382B"/>
    <w:rsid w:val="00AA389E"/>
    <w:rsid w:val="00AA4121"/>
    <w:rsid w:val="00AA4558"/>
    <w:rsid w:val="00AA46BF"/>
    <w:rsid w:val="00AA4D19"/>
    <w:rsid w:val="00AA5047"/>
    <w:rsid w:val="00AA5A94"/>
    <w:rsid w:val="00AA5F1E"/>
    <w:rsid w:val="00AA61AD"/>
    <w:rsid w:val="00AA61E4"/>
    <w:rsid w:val="00AA6B68"/>
    <w:rsid w:val="00AA6F63"/>
    <w:rsid w:val="00AA7073"/>
    <w:rsid w:val="00AA717C"/>
    <w:rsid w:val="00AA7CC5"/>
    <w:rsid w:val="00AA7E13"/>
    <w:rsid w:val="00AB03D8"/>
    <w:rsid w:val="00AB0466"/>
    <w:rsid w:val="00AB0608"/>
    <w:rsid w:val="00AB06FB"/>
    <w:rsid w:val="00AB08CF"/>
    <w:rsid w:val="00AB0DCD"/>
    <w:rsid w:val="00AB0E65"/>
    <w:rsid w:val="00AB20C6"/>
    <w:rsid w:val="00AB2182"/>
    <w:rsid w:val="00AB218E"/>
    <w:rsid w:val="00AB226B"/>
    <w:rsid w:val="00AB2C9D"/>
    <w:rsid w:val="00AB3504"/>
    <w:rsid w:val="00AB372F"/>
    <w:rsid w:val="00AB4067"/>
    <w:rsid w:val="00AB4E6A"/>
    <w:rsid w:val="00AB4EDB"/>
    <w:rsid w:val="00AB4F9B"/>
    <w:rsid w:val="00AB5300"/>
    <w:rsid w:val="00AB54CA"/>
    <w:rsid w:val="00AB59E0"/>
    <w:rsid w:val="00AB5BD3"/>
    <w:rsid w:val="00AB5E34"/>
    <w:rsid w:val="00AB62C0"/>
    <w:rsid w:val="00AB646B"/>
    <w:rsid w:val="00AB6847"/>
    <w:rsid w:val="00AB6E5F"/>
    <w:rsid w:val="00AB7405"/>
    <w:rsid w:val="00AB76B8"/>
    <w:rsid w:val="00AB7CFC"/>
    <w:rsid w:val="00AC00E3"/>
    <w:rsid w:val="00AC00F2"/>
    <w:rsid w:val="00AC0D4B"/>
    <w:rsid w:val="00AC11BF"/>
    <w:rsid w:val="00AC1D2F"/>
    <w:rsid w:val="00AC1E6B"/>
    <w:rsid w:val="00AC25C7"/>
    <w:rsid w:val="00AC2883"/>
    <w:rsid w:val="00AC2A81"/>
    <w:rsid w:val="00AC2FDB"/>
    <w:rsid w:val="00AC387B"/>
    <w:rsid w:val="00AC3A65"/>
    <w:rsid w:val="00AC3E52"/>
    <w:rsid w:val="00AC4ABC"/>
    <w:rsid w:val="00AC4AC6"/>
    <w:rsid w:val="00AC4B12"/>
    <w:rsid w:val="00AC53A1"/>
    <w:rsid w:val="00AC6AFA"/>
    <w:rsid w:val="00AC7137"/>
    <w:rsid w:val="00AC7B44"/>
    <w:rsid w:val="00AC7FA6"/>
    <w:rsid w:val="00AC7FBE"/>
    <w:rsid w:val="00AD0645"/>
    <w:rsid w:val="00AD085E"/>
    <w:rsid w:val="00AD09E7"/>
    <w:rsid w:val="00AD0A65"/>
    <w:rsid w:val="00AD109B"/>
    <w:rsid w:val="00AD122D"/>
    <w:rsid w:val="00AD14BA"/>
    <w:rsid w:val="00AD2329"/>
    <w:rsid w:val="00AD2590"/>
    <w:rsid w:val="00AD268C"/>
    <w:rsid w:val="00AD26D1"/>
    <w:rsid w:val="00AD2A10"/>
    <w:rsid w:val="00AD2A5F"/>
    <w:rsid w:val="00AD32E5"/>
    <w:rsid w:val="00AD3E65"/>
    <w:rsid w:val="00AD3FD4"/>
    <w:rsid w:val="00AD4D8E"/>
    <w:rsid w:val="00AD50ED"/>
    <w:rsid w:val="00AD520C"/>
    <w:rsid w:val="00AD6075"/>
    <w:rsid w:val="00AD6422"/>
    <w:rsid w:val="00AE04B8"/>
    <w:rsid w:val="00AE1084"/>
    <w:rsid w:val="00AE1A5A"/>
    <w:rsid w:val="00AE1B3A"/>
    <w:rsid w:val="00AE2363"/>
    <w:rsid w:val="00AE2C53"/>
    <w:rsid w:val="00AE3573"/>
    <w:rsid w:val="00AE3585"/>
    <w:rsid w:val="00AE3EDF"/>
    <w:rsid w:val="00AE40BD"/>
    <w:rsid w:val="00AE4110"/>
    <w:rsid w:val="00AE44E3"/>
    <w:rsid w:val="00AE4AC9"/>
    <w:rsid w:val="00AE4F7A"/>
    <w:rsid w:val="00AE51CD"/>
    <w:rsid w:val="00AE53D6"/>
    <w:rsid w:val="00AE54C6"/>
    <w:rsid w:val="00AE679E"/>
    <w:rsid w:val="00AE6D20"/>
    <w:rsid w:val="00AE6FE0"/>
    <w:rsid w:val="00AE7590"/>
    <w:rsid w:val="00AE7F7B"/>
    <w:rsid w:val="00AF0054"/>
    <w:rsid w:val="00AF043C"/>
    <w:rsid w:val="00AF0D5B"/>
    <w:rsid w:val="00AF0E6C"/>
    <w:rsid w:val="00AF1000"/>
    <w:rsid w:val="00AF1366"/>
    <w:rsid w:val="00AF188E"/>
    <w:rsid w:val="00AF29DC"/>
    <w:rsid w:val="00AF336F"/>
    <w:rsid w:val="00AF3D41"/>
    <w:rsid w:val="00AF3D62"/>
    <w:rsid w:val="00AF4548"/>
    <w:rsid w:val="00AF461B"/>
    <w:rsid w:val="00AF469A"/>
    <w:rsid w:val="00AF4803"/>
    <w:rsid w:val="00AF4F67"/>
    <w:rsid w:val="00AF50E3"/>
    <w:rsid w:val="00AF6211"/>
    <w:rsid w:val="00AF6219"/>
    <w:rsid w:val="00AF62BE"/>
    <w:rsid w:val="00AF7645"/>
    <w:rsid w:val="00AF7932"/>
    <w:rsid w:val="00B0062A"/>
    <w:rsid w:val="00B00B9A"/>
    <w:rsid w:val="00B00BEE"/>
    <w:rsid w:val="00B01102"/>
    <w:rsid w:val="00B012CA"/>
    <w:rsid w:val="00B01BF0"/>
    <w:rsid w:val="00B01C04"/>
    <w:rsid w:val="00B01D28"/>
    <w:rsid w:val="00B01F88"/>
    <w:rsid w:val="00B025A7"/>
    <w:rsid w:val="00B02894"/>
    <w:rsid w:val="00B02FFD"/>
    <w:rsid w:val="00B03198"/>
    <w:rsid w:val="00B0371F"/>
    <w:rsid w:val="00B03746"/>
    <w:rsid w:val="00B03C66"/>
    <w:rsid w:val="00B04275"/>
    <w:rsid w:val="00B0437D"/>
    <w:rsid w:val="00B04C3C"/>
    <w:rsid w:val="00B04FCB"/>
    <w:rsid w:val="00B058F4"/>
    <w:rsid w:val="00B05DF4"/>
    <w:rsid w:val="00B062B6"/>
    <w:rsid w:val="00B065AC"/>
    <w:rsid w:val="00B06A27"/>
    <w:rsid w:val="00B06EFA"/>
    <w:rsid w:val="00B07672"/>
    <w:rsid w:val="00B07695"/>
    <w:rsid w:val="00B077C8"/>
    <w:rsid w:val="00B07B21"/>
    <w:rsid w:val="00B07CA4"/>
    <w:rsid w:val="00B1121E"/>
    <w:rsid w:val="00B1165B"/>
    <w:rsid w:val="00B11FB4"/>
    <w:rsid w:val="00B13052"/>
    <w:rsid w:val="00B13272"/>
    <w:rsid w:val="00B14051"/>
    <w:rsid w:val="00B140FF"/>
    <w:rsid w:val="00B1413D"/>
    <w:rsid w:val="00B14646"/>
    <w:rsid w:val="00B14956"/>
    <w:rsid w:val="00B155E0"/>
    <w:rsid w:val="00B16419"/>
    <w:rsid w:val="00B168F5"/>
    <w:rsid w:val="00B1724A"/>
    <w:rsid w:val="00B1761B"/>
    <w:rsid w:val="00B176B0"/>
    <w:rsid w:val="00B176FA"/>
    <w:rsid w:val="00B178C8"/>
    <w:rsid w:val="00B17B75"/>
    <w:rsid w:val="00B17E65"/>
    <w:rsid w:val="00B17EE3"/>
    <w:rsid w:val="00B20602"/>
    <w:rsid w:val="00B20759"/>
    <w:rsid w:val="00B20847"/>
    <w:rsid w:val="00B20E05"/>
    <w:rsid w:val="00B216E7"/>
    <w:rsid w:val="00B21FFC"/>
    <w:rsid w:val="00B2280B"/>
    <w:rsid w:val="00B2298D"/>
    <w:rsid w:val="00B22B6D"/>
    <w:rsid w:val="00B22E89"/>
    <w:rsid w:val="00B230AC"/>
    <w:rsid w:val="00B234FF"/>
    <w:rsid w:val="00B23804"/>
    <w:rsid w:val="00B24684"/>
    <w:rsid w:val="00B248AB"/>
    <w:rsid w:val="00B24930"/>
    <w:rsid w:val="00B24FE3"/>
    <w:rsid w:val="00B252FF"/>
    <w:rsid w:val="00B254D7"/>
    <w:rsid w:val="00B257BE"/>
    <w:rsid w:val="00B25E3E"/>
    <w:rsid w:val="00B261FE"/>
    <w:rsid w:val="00B269A5"/>
    <w:rsid w:val="00B26C35"/>
    <w:rsid w:val="00B2718D"/>
    <w:rsid w:val="00B27375"/>
    <w:rsid w:val="00B27CA2"/>
    <w:rsid w:val="00B27CD9"/>
    <w:rsid w:val="00B27DB6"/>
    <w:rsid w:val="00B30346"/>
    <w:rsid w:val="00B3058A"/>
    <w:rsid w:val="00B30B61"/>
    <w:rsid w:val="00B30DFC"/>
    <w:rsid w:val="00B31774"/>
    <w:rsid w:val="00B31B48"/>
    <w:rsid w:val="00B329BB"/>
    <w:rsid w:val="00B32A24"/>
    <w:rsid w:val="00B33782"/>
    <w:rsid w:val="00B33D00"/>
    <w:rsid w:val="00B33E78"/>
    <w:rsid w:val="00B33F24"/>
    <w:rsid w:val="00B3438C"/>
    <w:rsid w:val="00B3453B"/>
    <w:rsid w:val="00B345B4"/>
    <w:rsid w:val="00B347E1"/>
    <w:rsid w:val="00B34A9A"/>
    <w:rsid w:val="00B34B20"/>
    <w:rsid w:val="00B34FB0"/>
    <w:rsid w:val="00B35316"/>
    <w:rsid w:val="00B354E2"/>
    <w:rsid w:val="00B3551C"/>
    <w:rsid w:val="00B35627"/>
    <w:rsid w:val="00B35EBD"/>
    <w:rsid w:val="00B35F00"/>
    <w:rsid w:val="00B36152"/>
    <w:rsid w:val="00B369DF"/>
    <w:rsid w:val="00B36CD9"/>
    <w:rsid w:val="00B36E65"/>
    <w:rsid w:val="00B375B3"/>
    <w:rsid w:val="00B400A4"/>
    <w:rsid w:val="00B4015A"/>
    <w:rsid w:val="00B40361"/>
    <w:rsid w:val="00B408FE"/>
    <w:rsid w:val="00B40A01"/>
    <w:rsid w:val="00B40E8B"/>
    <w:rsid w:val="00B41595"/>
    <w:rsid w:val="00B41E1C"/>
    <w:rsid w:val="00B425AE"/>
    <w:rsid w:val="00B42B38"/>
    <w:rsid w:val="00B433CB"/>
    <w:rsid w:val="00B438BE"/>
    <w:rsid w:val="00B43C1D"/>
    <w:rsid w:val="00B443E5"/>
    <w:rsid w:val="00B44562"/>
    <w:rsid w:val="00B445CB"/>
    <w:rsid w:val="00B44F89"/>
    <w:rsid w:val="00B462DF"/>
    <w:rsid w:val="00B466AF"/>
    <w:rsid w:val="00B46842"/>
    <w:rsid w:val="00B46DFA"/>
    <w:rsid w:val="00B47061"/>
    <w:rsid w:val="00B47365"/>
    <w:rsid w:val="00B477A2"/>
    <w:rsid w:val="00B5004E"/>
    <w:rsid w:val="00B51088"/>
    <w:rsid w:val="00B5113C"/>
    <w:rsid w:val="00B512DD"/>
    <w:rsid w:val="00B51424"/>
    <w:rsid w:val="00B5185E"/>
    <w:rsid w:val="00B519A2"/>
    <w:rsid w:val="00B51DF3"/>
    <w:rsid w:val="00B5233C"/>
    <w:rsid w:val="00B52747"/>
    <w:rsid w:val="00B5282B"/>
    <w:rsid w:val="00B52BBF"/>
    <w:rsid w:val="00B53246"/>
    <w:rsid w:val="00B53B59"/>
    <w:rsid w:val="00B53BBC"/>
    <w:rsid w:val="00B54207"/>
    <w:rsid w:val="00B54E41"/>
    <w:rsid w:val="00B54E46"/>
    <w:rsid w:val="00B553A7"/>
    <w:rsid w:val="00B55477"/>
    <w:rsid w:val="00B55A3C"/>
    <w:rsid w:val="00B56950"/>
    <w:rsid w:val="00B56B50"/>
    <w:rsid w:val="00B56BD6"/>
    <w:rsid w:val="00B56CCD"/>
    <w:rsid w:val="00B57104"/>
    <w:rsid w:val="00B572DC"/>
    <w:rsid w:val="00B57471"/>
    <w:rsid w:val="00B577D8"/>
    <w:rsid w:val="00B578C8"/>
    <w:rsid w:val="00B57A9E"/>
    <w:rsid w:val="00B57B04"/>
    <w:rsid w:val="00B57BB9"/>
    <w:rsid w:val="00B57C0F"/>
    <w:rsid w:val="00B57F24"/>
    <w:rsid w:val="00B604B5"/>
    <w:rsid w:val="00B608BD"/>
    <w:rsid w:val="00B609CE"/>
    <w:rsid w:val="00B60CB8"/>
    <w:rsid w:val="00B60D66"/>
    <w:rsid w:val="00B61142"/>
    <w:rsid w:val="00B61186"/>
    <w:rsid w:val="00B611DB"/>
    <w:rsid w:val="00B6134B"/>
    <w:rsid w:val="00B61AB2"/>
    <w:rsid w:val="00B625DC"/>
    <w:rsid w:val="00B6392C"/>
    <w:rsid w:val="00B63B02"/>
    <w:rsid w:val="00B63DFA"/>
    <w:rsid w:val="00B645EA"/>
    <w:rsid w:val="00B64AF0"/>
    <w:rsid w:val="00B64E51"/>
    <w:rsid w:val="00B65C13"/>
    <w:rsid w:val="00B664A6"/>
    <w:rsid w:val="00B667B8"/>
    <w:rsid w:val="00B66B98"/>
    <w:rsid w:val="00B67076"/>
    <w:rsid w:val="00B67531"/>
    <w:rsid w:val="00B67711"/>
    <w:rsid w:val="00B67B24"/>
    <w:rsid w:val="00B67C6E"/>
    <w:rsid w:val="00B70496"/>
    <w:rsid w:val="00B70B92"/>
    <w:rsid w:val="00B710DE"/>
    <w:rsid w:val="00B7134C"/>
    <w:rsid w:val="00B71797"/>
    <w:rsid w:val="00B71F28"/>
    <w:rsid w:val="00B72410"/>
    <w:rsid w:val="00B72A1B"/>
    <w:rsid w:val="00B72A2F"/>
    <w:rsid w:val="00B72F16"/>
    <w:rsid w:val="00B72FA0"/>
    <w:rsid w:val="00B73028"/>
    <w:rsid w:val="00B73357"/>
    <w:rsid w:val="00B73AD1"/>
    <w:rsid w:val="00B73B0C"/>
    <w:rsid w:val="00B73BAC"/>
    <w:rsid w:val="00B73CCB"/>
    <w:rsid w:val="00B747CE"/>
    <w:rsid w:val="00B75070"/>
    <w:rsid w:val="00B7596F"/>
    <w:rsid w:val="00B75AF9"/>
    <w:rsid w:val="00B75CA1"/>
    <w:rsid w:val="00B75DA9"/>
    <w:rsid w:val="00B76A38"/>
    <w:rsid w:val="00B77CD6"/>
    <w:rsid w:val="00B80F31"/>
    <w:rsid w:val="00B810EF"/>
    <w:rsid w:val="00B8177E"/>
    <w:rsid w:val="00B8183C"/>
    <w:rsid w:val="00B81AD4"/>
    <w:rsid w:val="00B81D49"/>
    <w:rsid w:val="00B820DE"/>
    <w:rsid w:val="00B82508"/>
    <w:rsid w:val="00B8251D"/>
    <w:rsid w:val="00B8264D"/>
    <w:rsid w:val="00B82992"/>
    <w:rsid w:val="00B82A03"/>
    <w:rsid w:val="00B82D84"/>
    <w:rsid w:val="00B84109"/>
    <w:rsid w:val="00B84696"/>
    <w:rsid w:val="00B85112"/>
    <w:rsid w:val="00B8535F"/>
    <w:rsid w:val="00B85555"/>
    <w:rsid w:val="00B85941"/>
    <w:rsid w:val="00B86587"/>
    <w:rsid w:val="00B86602"/>
    <w:rsid w:val="00B86BF2"/>
    <w:rsid w:val="00B86EEC"/>
    <w:rsid w:val="00B87405"/>
    <w:rsid w:val="00B875E3"/>
    <w:rsid w:val="00B87CE7"/>
    <w:rsid w:val="00B90307"/>
    <w:rsid w:val="00B90ECC"/>
    <w:rsid w:val="00B90FB2"/>
    <w:rsid w:val="00B91B53"/>
    <w:rsid w:val="00B91BD2"/>
    <w:rsid w:val="00B92786"/>
    <w:rsid w:val="00B928C5"/>
    <w:rsid w:val="00B936D8"/>
    <w:rsid w:val="00B93C54"/>
    <w:rsid w:val="00B94047"/>
    <w:rsid w:val="00B9443F"/>
    <w:rsid w:val="00B94D52"/>
    <w:rsid w:val="00B94F09"/>
    <w:rsid w:val="00B9508A"/>
    <w:rsid w:val="00B952BD"/>
    <w:rsid w:val="00B956C7"/>
    <w:rsid w:val="00B95756"/>
    <w:rsid w:val="00B958E8"/>
    <w:rsid w:val="00B95A96"/>
    <w:rsid w:val="00B95B8C"/>
    <w:rsid w:val="00B96142"/>
    <w:rsid w:val="00B9662B"/>
    <w:rsid w:val="00B97792"/>
    <w:rsid w:val="00B97E0F"/>
    <w:rsid w:val="00BA0005"/>
    <w:rsid w:val="00BA0109"/>
    <w:rsid w:val="00BA0732"/>
    <w:rsid w:val="00BA0967"/>
    <w:rsid w:val="00BA1E1E"/>
    <w:rsid w:val="00BA260C"/>
    <w:rsid w:val="00BA2DD9"/>
    <w:rsid w:val="00BA2EA0"/>
    <w:rsid w:val="00BA301E"/>
    <w:rsid w:val="00BA329F"/>
    <w:rsid w:val="00BA37DF"/>
    <w:rsid w:val="00BA3A6E"/>
    <w:rsid w:val="00BA4092"/>
    <w:rsid w:val="00BA4279"/>
    <w:rsid w:val="00BA4700"/>
    <w:rsid w:val="00BA5BB7"/>
    <w:rsid w:val="00BA5EE1"/>
    <w:rsid w:val="00BA60E2"/>
    <w:rsid w:val="00BA62E6"/>
    <w:rsid w:val="00BA6906"/>
    <w:rsid w:val="00BA7120"/>
    <w:rsid w:val="00BA714C"/>
    <w:rsid w:val="00BA732A"/>
    <w:rsid w:val="00BA7E51"/>
    <w:rsid w:val="00BB0FFB"/>
    <w:rsid w:val="00BB107C"/>
    <w:rsid w:val="00BB1698"/>
    <w:rsid w:val="00BB19AF"/>
    <w:rsid w:val="00BB1F2E"/>
    <w:rsid w:val="00BB2896"/>
    <w:rsid w:val="00BB29D9"/>
    <w:rsid w:val="00BB2F4E"/>
    <w:rsid w:val="00BB309C"/>
    <w:rsid w:val="00BB3207"/>
    <w:rsid w:val="00BB39D5"/>
    <w:rsid w:val="00BB4033"/>
    <w:rsid w:val="00BB4113"/>
    <w:rsid w:val="00BB43A1"/>
    <w:rsid w:val="00BB4916"/>
    <w:rsid w:val="00BB49B3"/>
    <w:rsid w:val="00BB5071"/>
    <w:rsid w:val="00BB57EC"/>
    <w:rsid w:val="00BB5D50"/>
    <w:rsid w:val="00BB60FE"/>
    <w:rsid w:val="00BB6AFD"/>
    <w:rsid w:val="00BB6BD4"/>
    <w:rsid w:val="00BB709D"/>
    <w:rsid w:val="00BB70A9"/>
    <w:rsid w:val="00BB7742"/>
    <w:rsid w:val="00BB78E7"/>
    <w:rsid w:val="00BC0056"/>
    <w:rsid w:val="00BC01AE"/>
    <w:rsid w:val="00BC0A52"/>
    <w:rsid w:val="00BC0B68"/>
    <w:rsid w:val="00BC0BB0"/>
    <w:rsid w:val="00BC14A2"/>
    <w:rsid w:val="00BC1D71"/>
    <w:rsid w:val="00BC2215"/>
    <w:rsid w:val="00BC222C"/>
    <w:rsid w:val="00BC2565"/>
    <w:rsid w:val="00BC292D"/>
    <w:rsid w:val="00BC29F5"/>
    <w:rsid w:val="00BC3038"/>
    <w:rsid w:val="00BC35C6"/>
    <w:rsid w:val="00BC3935"/>
    <w:rsid w:val="00BC3F87"/>
    <w:rsid w:val="00BC420A"/>
    <w:rsid w:val="00BC4576"/>
    <w:rsid w:val="00BC47E5"/>
    <w:rsid w:val="00BC482D"/>
    <w:rsid w:val="00BC4A74"/>
    <w:rsid w:val="00BC4E88"/>
    <w:rsid w:val="00BC4E91"/>
    <w:rsid w:val="00BC545B"/>
    <w:rsid w:val="00BC54C2"/>
    <w:rsid w:val="00BC5C47"/>
    <w:rsid w:val="00BC6B81"/>
    <w:rsid w:val="00BC720C"/>
    <w:rsid w:val="00BC7DD4"/>
    <w:rsid w:val="00BD024B"/>
    <w:rsid w:val="00BD041E"/>
    <w:rsid w:val="00BD0871"/>
    <w:rsid w:val="00BD09C0"/>
    <w:rsid w:val="00BD0DA1"/>
    <w:rsid w:val="00BD1212"/>
    <w:rsid w:val="00BD145A"/>
    <w:rsid w:val="00BD152A"/>
    <w:rsid w:val="00BD1D4E"/>
    <w:rsid w:val="00BD333E"/>
    <w:rsid w:val="00BD3B05"/>
    <w:rsid w:val="00BD3DA7"/>
    <w:rsid w:val="00BD3E7F"/>
    <w:rsid w:val="00BD4526"/>
    <w:rsid w:val="00BD498D"/>
    <w:rsid w:val="00BD4B47"/>
    <w:rsid w:val="00BD4CAF"/>
    <w:rsid w:val="00BD4E14"/>
    <w:rsid w:val="00BD4E80"/>
    <w:rsid w:val="00BD5301"/>
    <w:rsid w:val="00BD531E"/>
    <w:rsid w:val="00BD56F1"/>
    <w:rsid w:val="00BD596E"/>
    <w:rsid w:val="00BD5C65"/>
    <w:rsid w:val="00BD5DF6"/>
    <w:rsid w:val="00BD68C7"/>
    <w:rsid w:val="00BD6BA2"/>
    <w:rsid w:val="00BD6BFE"/>
    <w:rsid w:val="00BD6CF0"/>
    <w:rsid w:val="00BD7476"/>
    <w:rsid w:val="00BD74B5"/>
    <w:rsid w:val="00BD7C38"/>
    <w:rsid w:val="00BD7F17"/>
    <w:rsid w:val="00BE0F31"/>
    <w:rsid w:val="00BE1292"/>
    <w:rsid w:val="00BE12C4"/>
    <w:rsid w:val="00BE14B5"/>
    <w:rsid w:val="00BE16B2"/>
    <w:rsid w:val="00BE19F5"/>
    <w:rsid w:val="00BE1D78"/>
    <w:rsid w:val="00BE22DD"/>
    <w:rsid w:val="00BE245D"/>
    <w:rsid w:val="00BE2512"/>
    <w:rsid w:val="00BE28C8"/>
    <w:rsid w:val="00BE3016"/>
    <w:rsid w:val="00BE30C9"/>
    <w:rsid w:val="00BE34F1"/>
    <w:rsid w:val="00BE3A4B"/>
    <w:rsid w:val="00BE459C"/>
    <w:rsid w:val="00BE4EDF"/>
    <w:rsid w:val="00BE5351"/>
    <w:rsid w:val="00BE55EC"/>
    <w:rsid w:val="00BE6B3B"/>
    <w:rsid w:val="00BE71C4"/>
    <w:rsid w:val="00BE78FC"/>
    <w:rsid w:val="00BE7DB2"/>
    <w:rsid w:val="00BE7FA8"/>
    <w:rsid w:val="00BE7FF5"/>
    <w:rsid w:val="00BF00F6"/>
    <w:rsid w:val="00BF0467"/>
    <w:rsid w:val="00BF08FF"/>
    <w:rsid w:val="00BF0ECF"/>
    <w:rsid w:val="00BF126F"/>
    <w:rsid w:val="00BF1BCD"/>
    <w:rsid w:val="00BF1D04"/>
    <w:rsid w:val="00BF1D2C"/>
    <w:rsid w:val="00BF2521"/>
    <w:rsid w:val="00BF2901"/>
    <w:rsid w:val="00BF2D91"/>
    <w:rsid w:val="00BF2EA3"/>
    <w:rsid w:val="00BF3A21"/>
    <w:rsid w:val="00BF4BB8"/>
    <w:rsid w:val="00BF5651"/>
    <w:rsid w:val="00BF5C3A"/>
    <w:rsid w:val="00BF6EAB"/>
    <w:rsid w:val="00BF75E1"/>
    <w:rsid w:val="00BF7AFD"/>
    <w:rsid w:val="00BF7CA7"/>
    <w:rsid w:val="00C0040C"/>
    <w:rsid w:val="00C00A1E"/>
    <w:rsid w:val="00C00A5B"/>
    <w:rsid w:val="00C00A8E"/>
    <w:rsid w:val="00C00C5F"/>
    <w:rsid w:val="00C0117E"/>
    <w:rsid w:val="00C0125E"/>
    <w:rsid w:val="00C012A8"/>
    <w:rsid w:val="00C01809"/>
    <w:rsid w:val="00C01DF9"/>
    <w:rsid w:val="00C02314"/>
    <w:rsid w:val="00C036FF"/>
    <w:rsid w:val="00C037DB"/>
    <w:rsid w:val="00C044C4"/>
    <w:rsid w:val="00C045B3"/>
    <w:rsid w:val="00C04A04"/>
    <w:rsid w:val="00C053CD"/>
    <w:rsid w:val="00C0555F"/>
    <w:rsid w:val="00C05C89"/>
    <w:rsid w:val="00C06305"/>
    <w:rsid w:val="00C0649D"/>
    <w:rsid w:val="00C06C90"/>
    <w:rsid w:val="00C06CDE"/>
    <w:rsid w:val="00C0755E"/>
    <w:rsid w:val="00C07659"/>
    <w:rsid w:val="00C076FA"/>
    <w:rsid w:val="00C076FF"/>
    <w:rsid w:val="00C07FCC"/>
    <w:rsid w:val="00C10A8D"/>
    <w:rsid w:val="00C10E54"/>
    <w:rsid w:val="00C114C6"/>
    <w:rsid w:val="00C119BA"/>
    <w:rsid w:val="00C11AA2"/>
    <w:rsid w:val="00C11C6D"/>
    <w:rsid w:val="00C1260F"/>
    <w:rsid w:val="00C13650"/>
    <w:rsid w:val="00C138C3"/>
    <w:rsid w:val="00C13AFA"/>
    <w:rsid w:val="00C158B8"/>
    <w:rsid w:val="00C158BE"/>
    <w:rsid w:val="00C159FB"/>
    <w:rsid w:val="00C16238"/>
    <w:rsid w:val="00C16A2D"/>
    <w:rsid w:val="00C17C4B"/>
    <w:rsid w:val="00C17DC4"/>
    <w:rsid w:val="00C20163"/>
    <w:rsid w:val="00C201DD"/>
    <w:rsid w:val="00C204E7"/>
    <w:rsid w:val="00C20C37"/>
    <w:rsid w:val="00C20D41"/>
    <w:rsid w:val="00C20EB7"/>
    <w:rsid w:val="00C20F2D"/>
    <w:rsid w:val="00C210D5"/>
    <w:rsid w:val="00C213FB"/>
    <w:rsid w:val="00C215F9"/>
    <w:rsid w:val="00C21631"/>
    <w:rsid w:val="00C217B3"/>
    <w:rsid w:val="00C225E6"/>
    <w:rsid w:val="00C22763"/>
    <w:rsid w:val="00C227B8"/>
    <w:rsid w:val="00C2284C"/>
    <w:rsid w:val="00C22A6B"/>
    <w:rsid w:val="00C22A7F"/>
    <w:rsid w:val="00C23866"/>
    <w:rsid w:val="00C23BBF"/>
    <w:rsid w:val="00C23C90"/>
    <w:rsid w:val="00C23FD1"/>
    <w:rsid w:val="00C24299"/>
    <w:rsid w:val="00C24F1C"/>
    <w:rsid w:val="00C2512A"/>
    <w:rsid w:val="00C25867"/>
    <w:rsid w:val="00C25CDF"/>
    <w:rsid w:val="00C263BF"/>
    <w:rsid w:val="00C26DAD"/>
    <w:rsid w:val="00C26E15"/>
    <w:rsid w:val="00C277F7"/>
    <w:rsid w:val="00C30638"/>
    <w:rsid w:val="00C30898"/>
    <w:rsid w:val="00C309AD"/>
    <w:rsid w:val="00C309C1"/>
    <w:rsid w:val="00C30C9E"/>
    <w:rsid w:val="00C3101B"/>
    <w:rsid w:val="00C310FB"/>
    <w:rsid w:val="00C316E3"/>
    <w:rsid w:val="00C31703"/>
    <w:rsid w:val="00C32028"/>
    <w:rsid w:val="00C33748"/>
    <w:rsid w:val="00C33A88"/>
    <w:rsid w:val="00C33E7E"/>
    <w:rsid w:val="00C34014"/>
    <w:rsid w:val="00C34022"/>
    <w:rsid w:val="00C34170"/>
    <w:rsid w:val="00C34933"/>
    <w:rsid w:val="00C34B09"/>
    <w:rsid w:val="00C34CB8"/>
    <w:rsid w:val="00C34E38"/>
    <w:rsid w:val="00C35305"/>
    <w:rsid w:val="00C3554D"/>
    <w:rsid w:val="00C359DF"/>
    <w:rsid w:val="00C365D9"/>
    <w:rsid w:val="00C366D5"/>
    <w:rsid w:val="00C36945"/>
    <w:rsid w:val="00C36AD6"/>
    <w:rsid w:val="00C37167"/>
    <w:rsid w:val="00C375BF"/>
    <w:rsid w:val="00C37703"/>
    <w:rsid w:val="00C37B2D"/>
    <w:rsid w:val="00C37E48"/>
    <w:rsid w:val="00C37F8F"/>
    <w:rsid w:val="00C4031D"/>
    <w:rsid w:val="00C40610"/>
    <w:rsid w:val="00C40653"/>
    <w:rsid w:val="00C40B4E"/>
    <w:rsid w:val="00C40CC4"/>
    <w:rsid w:val="00C41BC4"/>
    <w:rsid w:val="00C41CBE"/>
    <w:rsid w:val="00C41F23"/>
    <w:rsid w:val="00C42200"/>
    <w:rsid w:val="00C427AD"/>
    <w:rsid w:val="00C42C71"/>
    <w:rsid w:val="00C42F84"/>
    <w:rsid w:val="00C4331F"/>
    <w:rsid w:val="00C43623"/>
    <w:rsid w:val="00C444C2"/>
    <w:rsid w:val="00C445C1"/>
    <w:rsid w:val="00C44640"/>
    <w:rsid w:val="00C447DA"/>
    <w:rsid w:val="00C44C7F"/>
    <w:rsid w:val="00C44CF7"/>
    <w:rsid w:val="00C44E5D"/>
    <w:rsid w:val="00C44EDD"/>
    <w:rsid w:val="00C44F14"/>
    <w:rsid w:val="00C45BD5"/>
    <w:rsid w:val="00C45CF4"/>
    <w:rsid w:val="00C47041"/>
    <w:rsid w:val="00C47901"/>
    <w:rsid w:val="00C47D38"/>
    <w:rsid w:val="00C47EB9"/>
    <w:rsid w:val="00C504E2"/>
    <w:rsid w:val="00C50764"/>
    <w:rsid w:val="00C50E57"/>
    <w:rsid w:val="00C51030"/>
    <w:rsid w:val="00C511A4"/>
    <w:rsid w:val="00C51626"/>
    <w:rsid w:val="00C516D2"/>
    <w:rsid w:val="00C51D2D"/>
    <w:rsid w:val="00C52874"/>
    <w:rsid w:val="00C52A5C"/>
    <w:rsid w:val="00C52D69"/>
    <w:rsid w:val="00C52ECE"/>
    <w:rsid w:val="00C52ED0"/>
    <w:rsid w:val="00C539DE"/>
    <w:rsid w:val="00C53B06"/>
    <w:rsid w:val="00C5410D"/>
    <w:rsid w:val="00C541CA"/>
    <w:rsid w:val="00C54349"/>
    <w:rsid w:val="00C54450"/>
    <w:rsid w:val="00C548CC"/>
    <w:rsid w:val="00C54FA7"/>
    <w:rsid w:val="00C557A3"/>
    <w:rsid w:val="00C55E2F"/>
    <w:rsid w:val="00C56077"/>
    <w:rsid w:val="00C56E4C"/>
    <w:rsid w:val="00C57228"/>
    <w:rsid w:val="00C578C3"/>
    <w:rsid w:val="00C6024E"/>
    <w:rsid w:val="00C6031F"/>
    <w:rsid w:val="00C60B4C"/>
    <w:rsid w:val="00C60EA4"/>
    <w:rsid w:val="00C60F24"/>
    <w:rsid w:val="00C6163D"/>
    <w:rsid w:val="00C61816"/>
    <w:rsid w:val="00C619AE"/>
    <w:rsid w:val="00C61E24"/>
    <w:rsid w:val="00C621D2"/>
    <w:rsid w:val="00C62702"/>
    <w:rsid w:val="00C62EBC"/>
    <w:rsid w:val="00C6300A"/>
    <w:rsid w:val="00C63542"/>
    <w:rsid w:val="00C635AC"/>
    <w:rsid w:val="00C635E9"/>
    <w:rsid w:val="00C635F5"/>
    <w:rsid w:val="00C64764"/>
    <w:rsid w:val="00C651BE"/>
    <w:rsid w:val="00C65465"/>
    <w:rsid w:val="00C657A2"/>
    <w:rsid w:val="00C65EF9"/>
    <w:rsid w:val="00C65FFE"/>
    <w:rsid w:val="00C66505"/>
    <w:rsid w:val="00C66CFC"/>
    <w:rsid w:val="00C6717C"/>
    <w:rsid w:val="00C67562"/>
    <w:rsid w:val="00C67740"/>
    <w:rsid w:val="00C67D44"/>
    <w:rsid w:val="00C70033"/>
    <w:rsid w:val="00C7031E"/>
    <w:rsid w:val="00C70725"/>
    <w:rsid w:val="00C70EA0"/>
    <w:rsid w:val="00C711EA"/>
    <w:rsid w:val="00C7132B"/>
    <w:rsid w:val="00C71785"/>
    <w:rsid w:val="00C718D7"/>
    <w:rsid w:val="00C71B53"/>
    <w:rsid w:val="00C71EE2"/>
    <w:rsid w:val="00C7267D"/>
    <w:rsid w:val="00C72D12"/>
    <w:rsid w:val="00C73402"/>
    <w:rsid w:val="00C74389"/>
    <w:rsid w:val="00C749F2"/>
    <w:rsid w:val="00C74F0D"/>
    <w:rsid w:val="00C7509F"/>
    <w:rsid w:val="00C753E3"/>
    <w:rsid w:val="00C754D7"/>
    <w:rsid w:val="00C75EF4"/>
    <w:rsid w:val="00C7613B"/>
    <w:rsid w:val="00C763BF"/>
    <w:rsid w:val="00C77329"/>
    <w:rsid w:val="00C77482"/>
    <w:rsid w:val="00C7796D"/>
    <w:rsid w:val="00C77A60"/>
    <w:rsid w:val="00C77BFD"/>
    <w:rsid w:val="00C77C28"/>
    <w:rsid w:val="00C77FA7"/>
    <w:rsid w:val="00C800DE"/>
    <w:rsid w:val="00C801BF"/>
    <w:rsid w:val="00C8152B"/>
    <w:rsid w:val="00C8156B"/>
    <w:rsid w:val="00C81BF3"/>
    <w:rsid w:val="00C81C6D"/>
    <w:rsid w:val="00C81DD5"/>
    <w:rsid w:val="00C822D6"/>
    <w:rsid w:val="00C83CA2"/>
    <w:rsid w:val="00C83DD9"/>
    <w:rsid w:val="00C84305"/>
    <w:rsid w:val="00C843EE"/>
    <w:rsid w:val="00C8480D"/>
    <w:rsid w:val="00C84E1A"/>
    <w:rsid w:val="00C84F43"/>
    <w:rsid w:val="00C85676"/>
    <w:rsid w:val="00C858FD"/>
    <w:rsid w:val="00C8598A"/>
    <w:rsid w:val="00C85ACD"/>
    <w:rsid w:val="00C860F9"/>
    <w:rsid w:val="00C862A7"/>
    <w:rsid w:val="00C86CB4"/>
    <w:rsid w:val="00C9085F"/>
    <w:rsid w:val="00C90B5C"/>
    <w:rsid w:val="00C90CFD"/>
    <w:rsid w:val="00C90E59"/>
    <w:rsid w:val="00C9106C"/>
    <w:rsid w:val="00C913B7"/>
    <w:rsid w:val="00C91D6B"/>
    <w:rsid w:val="00C91F4D"/>
    <w:rsid w:val="00C91FDA"/>
    <w:rsid w:val="00C9203C"/>
    <w:rsid w:val="00C9213F"/>
    <w:rsid w:val="00C924C9"/>
    <w:rsid w:val="00C929D8"/>
    <w:rsid w:val="00C92A60"/>
    <w:rsid w:val="00C92B53"/>
    <w:rsid w:val="00C92DB8"/>
    <w:rsid w:val="00C93994"/>
    <w:rsid w:val="00C94980"/>
    <w:rsid w:val="00C9510A"/>
    <w:rsid w:val="00C954DF"/>
    <w:rsid w:val="00C95515"/>
    <w:rsid w:val="00C95531"/>
    <w:rsid w:val="00C95D89"/>
    <w:rsid w:val="00C960BE"/>
    <w:rsid w:val="00C96A8B"/>
    <w:rsid w:val="00C96D6A"/>
    <w:rsid w:val="00C96F36"/>
    <w:rsid w:val="00CA034F"/>
    <w:rsid w:val="00CA0775"/>
    <w:rsid w:val="00CA0FA6"/>
    <w:rsid w:val="00CA141A"/>
    <w:rsid w:val="00CA142C"/>
    <w:rsid w:val="00CA1432"/>
    <w:rsid w:val="00CA1756"/>
    <w:rsid w:val="00CA178A"/>
    <w:rsid w:val="00CA18A3"/>
    <w:rsid w:val="00CA1FB1"/>
    <w:rsid w:val="00CA1FDC"/>
    <w:rsid w:val="00CA20AB"/>
    <w:rsid w:val="00CA2AC2"/>
    <w:rsid w:val="00CA2B9F"/>
    <w:rsid w:val="00CA2C62"/>
    <w:rsid w:val="00CA2E49"/>
    <w:rsid w:val="00CA3BB8"/>
    <w:rsid w:val="00CA40F2"/>
    <w:rsid w:val="00CA41A1"/>
    <w:rsid w:val="00CA41D8"/>
    <w:rsid w:val="00CA43E5"/>
    <w:rsid w:val="00CA4763"/>
    <w:rsid w:val="00CA576E"/>
    <w:rsid w:val="00CA66B9"/>
    <w:rsid w:val="00CA72AE"/>
    <w:rsid w:val="00CA72B3"/>
    <w:rsid w:val="00CA7640"/>
    <w:rsid w:val="00CA7A93"/>
    <w:rsid w:val="00CA7E5C"/>
    <w:rsid w:val="00CB0161"/>
    <w:rsid w:val="00CB0272"/>
    <w:rsid w:val="00CB0701"/>
    <w:rsid w:val="00CB0ABB"/>
    <w:rsid w:val="00CB0BB3"/>
    <w:rsid w:val="00CB131B"/>
    <w:rsid w:val="00CB1CE2"/>
    <w:rsid w:val="00CB22C1"/>
    <w:rsid w:val="00CB287F"/>
    <w:rsid w:val="00CB2ED8"/>
    <w:rsid w:val="00CB3152"/>
    <w:rsid w:val="00CB36C8"/>
    <w:rsid w:val="00CB47F4"/>
    <w:rsid w:val="00CB4FCB"/>
    <w:rsid w:val="00CB5207"/>
    <w:rsid w:val="00CB5577"/>
    <w:rsid w:val="00CB55A6"/>
    <w:rsid w:val="00CB57B7"/>
    <w:rsid w:val="00CB5CFE"/>
    <w:rsid w:val="00CB6091"/>
    <w:rsid w:val="00CB6F0A"/>
    <w:rsid w:val="00CC0090"/>
    <w:rsid w:val="00CC1D70"/>
    <w:rsid w:val="00CC224F"/>
    <w:rsid w:val="00CC2372"/>
    <w:rsid w:val="00CC23A2"/>
    <w:rsid w:val="00CC2C8E"/>
    <w:rsid w:val="00CC318A"/>
    <w:rsid w:val="00CC318E"/>
    <w:rsid w:val="00CC34C9"/>
    <w:rsid w:val="00CC36E7"/>
    <w:rsid w:val="00CC3F71"/>
    <w:rsid w:val="00CC4512"/>
    <w:rsid w:val="00CC45D9"/>
    <w:rsid w:val="00CC45F9"/>
    <w:rsid w:val="00CC5380"/>
    <w:rsid w:val="00CC5A96"/>
    <w:rsid w:val="00CC5D76"/>
    <w:rsid w:val="00CC642D"/>
    <w:rsid w:val="00CC66EC"/>
    <w:rsid w:val="00CC69A1"/>
    <w:rsid w:val="00CC77ED"/>
    <w:rsid w:val="00CC78AE"/>
    <w:rsid w:val="00CC7A5C"/>
    <w:rsid w:val="00CC7B16"/>
    <w:rsid w:val="00CD009D"/>
    <w:rsid w:val="00CD0126"/>
    <w:rsid w:val="00CD0989"/>
    <w:rsid w:val="00CD0EE3"/>
    <w:rsid w:val="00CD11E1"/>
    <w:rsid w:val="00CD1657"/>
    <w:rsid w:val="00CD18BA"/>
    <w:rsid w:val="00CD20D9"/>
    <w:rsid w:val="00CD2355"/>
    <w:rsid w:val="00CD2667"/>
    <w:rsid w:val="00CD3A53"/>
    <w:rsid w:val="00CD4682"/>
    <w:rsid w:val="00CD491B"/>
    <w:rsid w:val="00CD4AA1"/>
    <w:rsid w:val="00CD5326"/>
    <w:rsid w:val="00CD5463"/>
    <w:rsid w:val="00CD55DE"/>
    <w:rsid w:val="00CD5EBE"/>
    <w:rsid w:val="00CD63E4"/>
    <w:rsid w:val="00CD72D6"/>
    <w:rsid w:val="00CD73C1"/>
    <w:rsid w:val="00CD7481"/>
    <w:rsid w:val="00CD74A3"/>
    <w:rsid w:val="00CD751A"/>
    <w:rsid w:val="00CD79FD"/>
    <w:rsid w:val="00CE0F9C"/>
    <w:rsid w:val="00CE121B"/>
    <w:rsid w:val="00CE1907"/>
    <w:rsid w:val="00CE1B13"/>
    <w:rsid w:val="00CE2B69"/>
    <w:rsid w:val="00CE2D5A"/>
    <w:rsid w:val="00CE2EAE"/>
    <w:rsid w:val="00CE2FC0"/>
    <w:rsid w:val="00CE36A4"/>
    <w:rsid w:val="00CE3845"/>
    <w:rsid w:val="00CE3F43"/>
    <w:rsid w:val="00CE41A1"/>
    <w:rsid w:val="00CE468F"/>
    <w:rsid w:val="00CE4A01"/>
    <w:rsid w:val="00CE4AC8"/>
    <w:rsid w:val="00CE4CDC"/>
    <w:rsid w:val="00CE4CF1"/>
    <w:rsid w:val="00CE4E27"/>
    <w:rsid w:val="00CE5189"/>
    <w:rsid w:val="00CE5C6C"/>
    <w:rsid w:val="00CE5CC4"/>
    <w:rsid w:val="00CE6EA4"/>
    <w:rsid w:val="00CE6FF8"/>
    <w:rsid w:val="00CE70F0"/>
    <w:rsid w:val="00CE745C"/>
    <w:rsid w:val="00CE7486"/>
    <w:rsid w:val="00CF03B0"/>
    <w:rsid w:val="00CF07DF"/>
    <w:rsid w:val="00CF11E7"/>
    <w:rsid w:val="00CF156C"/>
    <w:rsid w:val="00CF2002"/>
    <w:rsid w:val="00CF22C5"/>
    <w:rsid w:val="00CF2CE6"/>
    <w:rsid w:val="00CF2D56"/>
    <w:rsid w:val="00CF37CD"/>
    <w:rsid w:val="00CF3A7A"/>
    <w:rsid w:val="00CF3B6C"/>
    <w:rsid w:val="00CF3D1D"/>
    <w:rsid w:val="00CF451B"/>
    <w:rsid w:val="00CF4548"/>
    <w:rsid w:val="00CF48BB"/>
    <w:rsid w:val="00CF4A49"/>
    <w:rsid w:val="00CF53F0"/>
    <w:rsid w:val="00CF5592"/>
    <w:rsid w:val="00CF6123"/>
    <w:rsid w:val="00CF623D"/>
    <w:rsid w:val="00CF6499"/>
    <w:rsid w:val="00CF6699"/>
    <w:rsid w:val="00CF68FD"/>
    <w:rsid w:val="00CF69F3"/>
    <w:rsid w:val="00CF6AEF"/>
    <w:rsid w:val="00CF7700"/>
    <w:rsid w:val="00CF7E2A"/>
    <w:rsid w:val="00CF7F7F"/>
    <w:rsid w:val="00D001AE"/>
    <w:rsid w:val="00D00A77"/>
    <w:rsid w:val="00D00E9E"/>
    <w:rsid w:val="00D01427"/>
    <w:rsid w:val="00D0158F"/>
    <w:rsid w:val="00D015C2"/>
    <w:rsid w:val="00D0182C"/>
    <w:rsid w:val="00D01E90"/>
    <w:rsid w:val="00D01FE6"/>
    <w:rsid w:val="00D02171"/>
    <w:rsid w:val="00D02281"/>
    <w:rsid w:val="00D02DF3"/>
    <w:rsid w:val="00D02ED8"/>
    <w:rsid w:val="00D0337F"/>
    <w:rsid w:val="00D03436"/>
    <w:rsid w:val="00D03598"/>
    <w:rsid w:val="00D03AAF"/>
    <w:rsid w:val="00D03FE5"/>
    <w:rsid w:val="00D03FEE"/>
    <w:rsid w:val="00D046E9"/>
    <w:rsid w:val="00D04867"/>
    <w:rsid w:val="00D04AEF"/>
    <w:rsid w:val="00D04BCC"/>
    <w:rsid w:val="00D0528F"/>
    <w:rsid w:val="00D0556D"/>
    <w:rsid w:val="00D05613"/>
    <w:rsid w:val="00D05FF7"/>
    <w:rsid w:val="00D06C5B"/>
    <w:rsid w:val="00D06FDB"/>
    <w:rsid w:val="00D07012"/>
    <w:rsid w:val="00D071DB"/>
    <w:rsid w:val="00D076A9"/>
    <w:rsid w:val="00D07728"/>
    <w:rsid w:val="00D079B2"/>
    <w:rsid w:val="00D07BC3"/>
    <w:rsid w:val="00D07BE7"/>
    <w:rsid w:val="00D07DDF"/>
    <w:rsid w:val="00D100F1"/>
    <w:rsid w:val="00D1045D"/>
    <w:rsid w:val="00D10572"/>
    <w:rsid w:val="00D10CAA"/>
    <w:rsid w:val="00D11194"/>
    <w:rsid w:val="00D11F25"/>
    <w:rsid w:val="00D12117"/>
    <w:rsid w:val="00D12CBC"/>
    <w:rsid w:val="00D1326C"/>
    <w:rsid w:val="00D136BA"/>
    <w:rsid w:val="00D13C1B"/>
    <w:rsid w:val="00D1443C"/>
    <w:rsid w:val="00D14499"/>
    <w:rsid w:val="00D145E4"/>
    <w:rsid w:val="00D147C4"/>
    <w:rsid w:val="00D148D8"/>
    <w:rsid w:val="00D14BC0"/>
    <w:rsid w:val="00D157EF"/>
    <w:rsid w:val="00D15BB4"/>
    <w:rsid w:val="00D15F59"/>
    <w:rsid w:val="00D16060"/>
    <w:rsid w:val="00D16133"/>
    <w:rsid w:val="00D16497"/>
    <w:rsid w:val="00D168A0"/>
    <w:rsid w:val="00D1696B"/>
    <w:rsid w:val="00D1734B"/>
    <w:rsid w:val="00D1734C"/>
    <w:rsid w:val="00D17A41"/>
    <w:rsid w:val="00D17EA1"/>
    <w:rsid w:val="00D20836"/>
    <w:rsid w:val="00D20FCE"/>
    <w:rsid w:val="00D2133F"/>
    <w:rsid w:val="00D21B72"/>
    <w:rsid w:val="00D220AB"/>
    <w:rsid w:val="00D221BD"/>
    <w:rsid w:val="00D22334"/>
    <w:rsid w:val="00D22390"/>
    <w:rsid w:val="00D22664"/>
    <w:rsid w:val="00D22777"/>
    <w:rsid w:val="00D236BE"/>
    <w:rsid w:val="00D23A61"/>
    <w:rsid w:val="00D2419B"/>
    <w:rsid w:val="00D242D2"/>
    <w:rsid w:val="00D24CA8"/>
    <w:rsid w:val="00D250EC"/>
    <w:rsid w:val="00D25338"/>
    <w:rsid w:val="00D25CC0"/>
    <w:rsid w:val="00D25D8C"/>
    <w:rsid w:val="00D25FB8"/>
    <w:rsid w:val="00D263F3"/>
    <w:rsid w:val="00D2670B"/>
    <w:rsid w:val="00D26A84"/>
    <w:rsid w:val="00D26C4A"/>
    <w:rsid w:val="00D2787D"/>
    <w:rsid w:val="00D27BB0"/>
    <w:rsid w:val="00D27EE3"/>
    <w:rsid w:val="00D30199"/>
    <w:rsid w:val="00D30281"/>
    <w:rsid w:val="00D30360"/>
    <w:rsid w:val="00D304C1"/>
    <w:rsid w:val="00D30A26"/>
    <w:rsid w:val="00D30DAC"/>
    <w:rsid w:val="00D312DE"/>
    <w:rsid w:val="00D32C08"/>
    <w:rsid w:val="00D32E68"/>
    <w:rsid w:val="00D335D7"/>
    <w:rsid w:val="00D343DB"/>
    <w:rsid w:val="00D3480B"/>
    <w:rsid w:val="00D34A65"/>
    <w:rsid w:val="00D36874"/>
    <w:rsid w:val="00D36C13"/>
    <w:rsid w:val="00D36CDD"/>
    <w:rsid w:val="00D3779F"/>
    <w:rsid w:val="00D37A3F"/>
    <w:rsid w:val="00D37DAE"/>
    <w:rsid w:val="00D37E32"/>
    <w:rsid w:val="00D37EC2"/>
    <w:rsid w:val="00D4016A"/>
    <w:rsid w:val="00D40398"/>
    <w:rsid w:val="00D40622"/>
    <w:rsid w:val="00D40894"/>
    <w:rsid w:val="00D4113F"/>
    <w:rsid w:val="00D41FD2"/>
    <w:rsid w:val="00D42163"/>
    <w:rsid w:val="00D421A8"/>
    <w:rsid w:val="00D4271E"/>
    <w:rsid w:val="00D42843"/>
    <w:rsid w:val="00D42A16"/>
    <w:rsid w:val="00D42A84"/>
    <w:rsid w:val="00D42D1F"/>
    <w:rsid w:val="00D430F4"/>
    <w:rsid w:val="00D4355E"/>
    <w:rsid w:val="00D43C00"/>
    <w:rsid w:val="00D441CC"/>
    <w:rsid w:val="00D44A6B"/>
    <w:rsid w:val="00D44AAF"/>
    <w:rsid w:val="00D44B6F"/>
    <w:rsid w:val="00D4543C"/>
    <w:rsid w:val="00D45B54"/>
    <w:rsid w:val="00D45FA2"/>
    <w:rsid w:val="00D460BA"/>
    <w:rsid w:val="00D46853"/>
    <w:rsid w:val="00D46A0B"/>
    <w:rsid w:val="00D46B0B"/>
    <w:rsid w:val="00D47388"/>
    <w:rsid w:val="00D47F16"/>
    <w:rsid w:val="00D50179"/>
    <w:rsid w:val="00D50C12"/>
    <w:rsid w:val="00D50F74"/>
    <w:rsid w:val="00D51C54"/>
    <w:rsid w:val="00D51C77"/>
    <w:rsid w:val="00D52862"/>
    <w:rsid w:val="00D52956"/>
    <w:rsid w:val="00D52AD9"/>
    <w:rsid w:val="00D52BBD"/>
    <w:rsid w:val="00D52FA6"/>
    <w:rsid w:val="00D53367"/>
    <w:rsid w:val="00D536DA"/>
    <w:rsid w:val="00D53A2F"/>
    <w:rsid w:val="00D53AE8"/>
    <w:rsid w:val="00D5442F"/>
    <w:rsid w:val="00D54A13"/>
    <w:rsid w:val="00D54A4E"/>
    <w:rsid w:val="00D54F1E"/>
    <w:rsid w:val="00D556E7"/>
    <w:rsid w:val="00D55867"/>
    <w:rsid w:val="00D559E1"/>
    <w:rsid w:val="00D56539"/>
    <w:rsid w:val="00D568B4"/>
    <w:rsid w:val="00D568FE"/>
    <w:rsid w:val="00D56DC5"/>
    <w:rsid w:val="00D56E92"/>
    <w:rsid w:val="00D57B4C"/>
    <w:rsid w:val="00D60204"/>
    <w:rsid w:val="00D6023A"/>
    <w:rsid w:val="00D6046D"/>
    <w:rsid w:val="00D613D1"/>
    <w:rsid w:val="00D6155A"/>
    <w:rsid w:val="00D61569"/>
    <w:rsid w:val="00D618E8"/>
    <w:rsid w:val="00D61B95"/>
    <w:rsid w:val="00D6367C"/>
    <w:rsid w:val="00D6395A"/>
    <w:rsid w:val="00D64C97"/>
    <w:rsid w:val="00D64D7E"/>
    <w:rsid w:val="00D64DB8"/>
    <w:rsid w:val="00D64DED"/>
    <w:rsid w:val="00D650FE"/>
    <w:rsid w:val="00D65756"/>
    <w:rsid w:val="00D65E00"/>
    <w:rsid w:val="00D65E38"/>
    <w:rsid w:val="00D65E70"/>
    <w:rsid w:val="00D65FBC"/>
    <w:rsid w:val="00D6633B"/>
    <w:rsid w:val="00D66C78"/>
    <w:rsid w:val="00D66DE2"/>
    <w:rsid w:val="00D672ED"/>
    <w:rsid w:val="00D67637"/>
    <w:rsid w:val="00D67FAC"/>
    <w:rsid w:val="00D70FDC"/>
    <w:rsid w:val="00D713D4"/>
    <w:rsid w:val="00D7146C"/>
    <w:rsid w:val="00D7155A"/>
    <w:rsid w:val="00D719A0"/>
    <w:rsid w:val="00D71E39"/>
    <w:rsid w:val="00D728D4"/>
    <w:rsid w:val="00D72CE6"/>
    <w:rsid w:val="00D72D12"/>
    <w:rsid w:val="00D73332"/>
    <w:rsid w:val="00D73373"/>
    <w:rsid w:val="00D7365B"/>
    <w:rsid w:val="00D736F2"/>
    <w:rsid w:val="00D73C00"/>
    <w:rsid w:val="00D73D6B"/>
    <w:rsid w:val="00D740F5"/>
    <w:rsid w:val="00D748B3"/>
    <w:rsid w:val="00D74F49"/>
    <w:rsid w:val="00D75234"/>
    <w:rsid w:val="00D754F5"/>
    <w:rsid w:val="00D75939"/>
    <w:rsid w:val="00D7683D"/>
    <w:rsid w:val="00D76F15"/>
    <w:rsid w:val="00D7728B"/>
    <w:rsid w:val="00D777EB"/>
    <w:rsid w:val="00D77B6E"/>
    <w:rsid w:val="00D80312"/>
    <w:rsid w:val="00D807A7"/>
    <w:rsid w:val="00D80C25"/>
    <w:rsid w:val="00D80D5A"/>
    <w:rsid w:val="00D80DCA"/>
    <w:rsid w:val="00D8120A"/>
    <w:rsid w:val="00D814EB"/>
    <w:rsid w:val="00D81548"/>
    <w:rsid w:val="00D81ACD"/>
    <w:rsid w:val="00D82246"/>
    <w:rsid w:val="00D82C44"/>
    <w:rsid w:val="00D83062"/>
    <w:rsid w:val="00D836B4"/>
    <w:rsid w:val="00D83EEE"/>
    <w:rsid w:val="00D84749"/>
    <w:rsid w:val="00D84E12"/>
    <w:rsid w:val="00D85150"/>
    <w:rsid w:val="00D85781"/>
    <w:rsid w:val="00D85ADF"/>
    <w:rsid w:val="00D86065"/>
    <w:rsid w:val="00D867D5"/>
    <w:rsid w:val="00D872EA"/>
    <w:rsid w:val="00D87847"/>
    <w:rsid w:val="00D87904"/>
    <w:rsid w:val="00D87C47"/>
    <w:rsid w:val="00D87F44"/>
    <w:rsid w:val="00D9006F"/>
    <w:rsid w:val="00D901B5"/>
    <w:rsid w:val="00D90B17"/>
    <w:rsid w:val="00D90C15"/>
    <w:rsid w:val="00D9181F"/>
    <w:rsid w:val="00D92D1F"/>
    <w:rsid w:val="00D9371E"/>
    <w:rsid w:val="00D93BBA"/>
    <w:rsid w:val="00D941C1"/>
    <w:rsid w:val="00D94302"/>
    <w:rsid w:val="00D94886"/>
    <w:rsid w:val="00D95339"/>
    <w:rsid w:val="00D96326"/>
    <w:rsid w:val="00D965D3"/>
    <w:rsid w:val="00D96FC3"/>
    <w:rsid w:val="00D97720"/>
    <w:rsid w:val="00D97846"/>
    <w:rsid w:val="00D97948"/>
    <w:rsid w:val="00D97BD0"/>
    <w:rsid w:val="00D97E4D"/>
    <w:rsid w:val="00DA00AE"/>
    <w:rsid w:val="00DA00D2"/>
    <w:rsid w:val="00DA0445"/>
    <w:rsid w:val="00DA04D0"/>
    <w:rsid w:val="00DA0995"/>
    <w:rsid w:val="00DA10BB"/>
    <w:rsid w:val="00DA182B"/>
    <w:rsid w:val="00DA18FD"/>
    <w:rsid w:val="00DA20FA"/>
    <w:rsid w:val="00DA24CF"/>
    <w:rsid w:val="00DA2A35"/>
    <w:rsid w:val="00DA2CD7"/>
    <w:rsid w:val="00DA316B"/>
    <w:rsid w:val="00DA34D1"/>
    <w:rsid w:val="00DA3810"/>
    <w:rsid w:val="00DA3A30"/>
    <w:rsid w:val="00DA3AF1"/>
    <w:rsid w:val="00DA3BFA"/>
    <w:rsid w:val="00DA3EDD"/>
    <w:rsid w:val="00DA3FA2"/>
    <w:rsid w:val="00DA4304"/>
    <w:rsid w:val="00DA43A5"/>
    <w:rsid w:val="00DA48DF"/>
    <w:rsid w:val="00DA4965"/>
    <w:rsid w:val="00DA49C1"/>
    <w:rsid w:val="00DA4DB3"/>
    <w:rsid w:val="00DA4E31"/>
    <w:rsid w:val="00DA4F4C"/>
    <w:rsid w:val="00DA582F"/>
    <w:rsid w:val="00DA5BA8"/>
    <w:rsid w:val="00DA5BC4"/>
    <w:rsid w:val="00DA5D47"/>
    <w:rsid w:val="00DA6DD4"/>
    <w:rsid w:val="00DB04CC"/>
    <w:rsid w:val="00DB06B5"/>
    <w:rsid w:val="00DB1337"/>
    <w:rsid w:val="00DB2503"/>
    <w:rsid w:val="00DB29B0"/>
    <w:rsid w:val="00DB2C9B"/>
    <w:rsid w:val="00DB2D78"/>
    <w:rsid w:val="00DB318F"/>
    <w:rsid w:val="00DB32D4"/>
    <w:rsid w:val="00DB3B6E"/>
    <w:rsid w:val="00DB3CE1"/>
    <w:rsid w:val="00DB4328"/>
    <w:rsid w:val="00DB4338"/>
    <w:rsid w:val="00DB4458"/>
    <w:rsid w:val="00DB47B5"/>
    <w:rsid w:val="00DB4877"/>
    <w:rsid w:val="00DB4DCE"/>
    <w:rsid w:val="00DB504E"/>
    <w:rsid w:val="00DB5341"/>
    <w:rsid w:val="00DB538F"/>
    <w:rsid w:val="00DB56FE"/>
    <w:rsid w:val="00DB611F"/>
    <w:rsid w:val="00DB61B0"/>
    <w:rsid w:val="00DB6741"/>
    <w:rsid w:val="00DB685C"/>
    <w:rsid w:val="00DB6953"/>
    <w:rsid w:val="00DB742E"/>
    <w:rsid w:val="00DC0074"/>
    <w:rsid w:val="00DC06B4"/>
    <w:rsid w:val="00DC0EB5"/>
    <w:rsid w:val="00DC1B53"/>
    <w:rsid w:val="00DC1BEC"/>
    <w:rsid w:val="00DC1D83"/>
    <w:rsid w:val="00DC24DA"/>
    <w:rsid w:val="00DC26E2"/>
    <w:rsid w:val="00DC2CDA"/>
    <w:rsid w:val="00DC3582"/>
    <w:rsid w:val="00DC35C0"/>
    <w:rsid w:val="00DC40F9"/>
    <w:rsid w:val="00DC447B"/>
    <w:rsid w:val="00DC469E"/>
    <w:rsid w:val="00DC4787"/>
    <w:rsid w:val="00DC4844"/>
    <w:rsid w:val="00DC4873"/>
    <w:rsid w:val="00DC513B"/>
    <w:rsid w:val="00DC55BF"/>
    <w:rsid w:val="00DC58FE"/>
    <w:rsid w:val="00DC5B7B"/>
    <w:rsid w:val="00DC5D71"/>
    <w:rsid w:val="00DC616A"/>
    <w:rsid w:val="00DC618A"/>
    <w:rsid w:val="00DC656C"/>
    <w:rsid w:val="00DC6578"/>
    <w:rsid w:val="00DC6AC3"/>
    <w:rsid w:val="00DC6D28"/>
    <w:rsid w:val="00DC6DF5"/>
    <w:rsid w:val="00DD0739"/>
    <w:rsid w:val="00DD0955"/>
    <w:rsid w:val="00DD10DB"/>
    <w:rsid w:val="00DD1290"/>
    <w:rsid w:val="00DD1404"/>
    <w:rsid w:val="00DD19AB"/>
    <w:rsid w:val="00DD1E89"/>
    <w:rsid w:val="00DD21C4"/>
    <w:rsid w:val="00DD24FC"/>
    <w:rsid w:val="00DD2511"/>
    <w:rsid w:val="00DD258D"/>
    <w:rsid w:val="00DD26C7"/>
    <w:rsid w:val="00DD28E6"/>
    <w:rsid w:val="00DD2EA3"/>
    <w:rsid w:val="00DD3094"/>
    <w:rsid w:val="00DD3276"/>
    <w:rsid w:val="00DD32A1"/>
    <w:rsid w:val="00DD3355"/>
    <w:rsid w:val="00DD37EB"/>
    <w:rsid w:val="00DD3893"/>
    <w:rsid w:val="00DD3DD0"/>
    <w:rsid w:val="00DD443E"/>
    <w:rsid w:val="00DD47ED"/>
    <w:rsid w:val="00DD4CD1"/>
    <w:rsid w:val="00DD57DB"/>
    <w:rsid w:val="00DD6214"/>
    <w:rsid w:val="00DD6965"/>
    <w:rsid w:val="00DD6C81"/>
    <w:rsid w:val="00DD6FEB"/>
    <w:rsid w:val="00DD7CA8"/>
    <w:rsid w:val="00DD7EE0"/>
    <w:rsid w:val="00DD7F01"/>
    <w:rsid w:val="00DE003E"/>
    <w:rsid w:val="00DE043B"/>
    <w:rsid w:val="00DE08EB"/>
    <w:rsid w:val="00DE0CE8"/>
    <w:rsid w:val="00DE1389"/>
    <w:rsid w:val="00DE1C67"/>
    <w:rsid w:val="00DE2233"/>
    <w:rsid w:val="00DE237B"/>
    <w:rsid w:val="00DE2A4B"/>
    <w:rsid w:val="00DE2BE6"/>
    <w:rsid w:val="00DE2ED2"/>
    <w:rsid w:val="00DE3595"/>
    <w:rsid w:val="00DE39E8"/>
    <w:rsid w:val="00DE4643"/>
    <w:rsid w:val="00DE4AE6"/>
    <w:rsid w:val="00DE4C87"/>
    <w:rsid w:val="00DE4C93"/>
    <w:rsid w:val="00DE4FAE"/>
    <w:rsid w:val="00DE50D7"/>
    <w:rsid w:val="00DE553A"/>
    <w:rsid w:val="00DE553F"/>
    <w:rsid w:val="00DE5714"/>
    <w:rsid w:val="00DE625A"/>
    <w:rsid w:val="00DE66C3"/>
    <w:rsid w:val="00DE6806"/>
    <w:rsid w:val="00DE6996"/>
    <w:rsid w:val="00DE74AD"/>
    <w:rsid w:val="00DE752C"/>
    <w:rsid w:val="00DE762F"/>
    <w:rsid w:val="00DE79EC"/>
    <w:rsid w:val="00DE7DA4"/>
    <w:rsid w:val="00DF04F1"/>
    <w:rsid w:val="00DF1490"/>
    <w:rsid w:val="00DF17B0"/>
    <w:rsid w:val="00DF1807"/>
    <w:rsid w:val="00DF1E50"/>
    <w:rsid w:val="00DF2357"/>
    <w:rsid w:val="00DF2706"/>
    <w:rsid w:val="00DF3A19"/>
    <w:rsid w:val="00DF3DD8"/>
    <w:rsid w:val="00DF4631"/>
    <w:rsid w:val="00DF481A"/>
    <w:rsid w:val="00DF4C46"/>
    <w:rsid w:val="00DF4E0F"/>
    <w:rsid w:val="00DF4E7C"/>
    <w:rsid w:val="00DF5253"/>
    <w:rsid w:val="00DF599F"/>
    <w:rsid w:val="00DF5A54"/>
    <w:rsid w:val="00DF5B72"/>
    <w:rsid w:val="00DF61F8"/>
    <w:rsid w:val="00DF6CCA"/>
    <w:rsid w:val="00DF6DC8"/>
    <w:rsid w:val="00DF758A"/>
    <w:rsid w:val="00DF76E4"/>
    <w:rsid w:val="00DF7EAA"/>
    <w:rsid w:val="00DF7F13"/>
    <w:rsid w:val="00E0020C"/>
    <w:rsid w:val="00E0037B"/>
    <w:rsid w:val="00E00391"/>
    <w:rsid w:val="00E00524"/>
    <w:rsid w:val="00E00C10"/>
    <w:rsid w:val="00E00D31"/>
    <w:rsid w:val="00E00FAD"/>
    <w:rsid w:val="00E01349"/>
    <w:rsid w:val="00E019D7"/>
    <w:rsid w:val="00E01A42"/>
    <w:rsid w:val="00E01F89"/>
    <w:rsid w:val="00E026B0"/>
    <w:rsid w:val="00E026D0"/>
    <w:rsid w:val="00E02E13"/>
    <w:rsid w:val="00E03083"/>
    <w:rsid w:val="00E03982"/>
    <w:rsid w:val="00E03BC4"/>
    <w:rsid w:val="00E03E0B"/>
    <w:rsid w:val="00E03E58"/>
    <w:rsid w:val="00E04050"/>
    <w:rsid w:val="00E04196"/>
    <w:rsid w:val="00E047B0"/>
    <w:rsid w:val="00E04B90"/>
    <w:rsid w:val="00E050B7"/>
    <w:rsid w:val="00E051B1"/>
    <w:rsid w:val="00E05277"/>
    <w:rsid w:val="00E056E4"/>
    <w:rsid w:val="00E05704"/>
    <w:rsid w:val="00E059AD"/>
    <w:rsid w:val="00E05E86"/>
    <w:rsid w:val="00E05F5E"/>
    <w:rsid w:val="00E06696"/>
    <w:rsid w:val="00E068E8"/>
    <w:rsid w:val="00E06EB7"/>
    <w:rsid w:val="00E071EB"/>
    <w:rsid w:val="00E0729D"/>
    <w:rsid w:val="00E078A2"/>
    <w:rsid w:val="00E079F9"/>
    <w:rsid w:val="00E07EFD"/>
    <w:rsid w:val="00E07F48"/>
    <w:rsid w:val="00E10585"/>
    <w:rsid w:val="00E109EF"/>
    <w:rsid w:val="00E10AF8"/>
    <w:rsid w:val="00E10C22"/>
    <w:rsid w:val="00E1106B"/>
    <w:rsid w:val="00E11BA2"/>
    <w:rsid w:val="00E11CFC"/>
    <w:rsid w:val="00E1244A"/>
    <w:rsid w:val="00E127D5"/>
    <w:rsid w:val="00E12EDF"/>
    <w:rsid w:val="00E12F33"/>
    <w:rsid w:val="00E130E7"/>
    <w:rsid w:val="00E1330D"/>
    <w:rsid w:val="00E138AA"/>
    <w:rsid w:val="00E13FB3"/>
    <w:rsid w:val="00E1413D"/>
    <w:rsid w:val="00E14735"/>
    <w:rsid w:val="00E1489F"/>
    <w:rsid w:val="00E1495B"/>
    <w:rsid w:val="00E15F0A"/>
    <w:rsid w:val="00E160B6"/>
    <w:rsid w:val="00E1653C"/>
    <w:rsid w:val="00E16605"/>
    <w:rsid w:val="00E166C7"/>
    <w:rsid w:val="00E16925"/>
    <w:rsid w:val="00E17374"/>
    <w:rsid w:val="00E176C9"/>
    <w:rsid w:val="00E17964"/>
    <w:rsid w:val="00E202BA"/>
    <w:rsid w:val="00E20F28"/>
    <w:rsid w:val="00E214D4"/>
    <w:rsid w:val="00E21AFA"/>
    <w:rsid w:val="00E21F4D"/>
    <w:rsid w:val="00E222D4"/>
    <w:rsid w:val="00E2269F"/>
    <w:rsid w:val="00E2296E"/>
    <w:rsid w:val="00E22A31"/>
    <w:rsid w:val="00E22A84"/>
    <w:rsid w:val="00E22B55"/>
    <w:rsid w:val="00E22C07"/>
    <w:rsid w:val="00E231C1"/>
    <w:rsid w:val="00E2340B"/>
    <w:rsid w:val="00E241B8"/>
    <w:rsid w:val="00E24751"/>
    <w:rsid w:val="00E247F1"/>
    <w:rsid w:val="00E25E41"/>
    <w:rsid w:val="00E25E79"/>
    <w:rsid w:val="00E267A2"/>
    <w:rsid w:val="00E26DD4"/>
    <w:rsid w:val="00E271A0"/>
    <w:rsid w:val="00E27DE9"/>
    <w:rsid w:val="00E3047A"/>
    <w:rsid w:val="00E30AE8"/>
    <w:rsid w:val="00E31C31"/>
    <w:rsid w:val="00E31F76"/>
    <w:rsid w:val="00E3214B"/>
    <w:rsid w:val="00E332CC"/>
    <w:rsid w:val="00E337A3"/>
    <w:rsid w:val="00E337A5"/>
    <w:rsid w:val="00E33958"/>
    <w:rsid w:val="00E33C90"/>
    <w:rsid w:val="00E33E8E"/>
    <w:rsid w:val="00E3496A"/>
    <w:rsid w:val="00E34BB5"/>
    <w:rsid w:val="00E34F1E"/>
    <w:rsid w:val="00E351FD"/>
    <w:rsid w:val="00E3529C"/>
    <w:rsid w:val="00E356D7"/>
    <w:rsid w:val="00E35CDC"/>
    <w:rsid w:val="00E35E76"/>
    <w:rsid w:val="00E35FDC"/>
    <w:rsid w:val="00E36A6B"/>
    <w:rsid w:val="00E36DA5"/>
    <w:rsid w:val="00E36DCA"/>
    <w:rsid w:val="00E37543"/>
    <w:rsid w:val="00E37A5E"/>
    <w:rsid w:val="00E40096"/>
    <w:rsid w:val="00E401C6"/>
    <w:rsid w:val="00E408E6"/>
    <w:rsid w:val="00E40904"/>
    <w:rsid w:val="00E411D0"/>
    <w:rsid w:val="00E41568"/>
    <w:rsid w:val="00E419D7"/>
    <w:rsid w:val="00E41AB2"/>
    <w:rsid w:val="00E41DDF"/>
    <w:rsid w:val="00E420DA"/>
    <w:rsid w:val="00E431FA"/>
    <w:rsid w:val="00E432EB"/>
    <w:rsid w:val="00E43564"/>
    <w:rsid w:val="00E43DAE"/>
    <w:rsid w:val="00E43EDB"/>
    <w:rsid w:val="00E43EDD"/>
    <w:rsid w:val="00E4404D"/>
    <w:rsid w:val="00E44469"/>
    <w:rsid w:val="00E44A4D"/>
    <w:rsid w:val="00E44B05"/>
    <w:rsid w:val="00E44D16"/>
    <w:rsid w:val="00E44E65"/>
    <w:rsid w:val="00E44EB9"/>
    <w:rsid w:val="00E45334"/>
    <w:rsid w:val="00E45568"/>
    <w:rsid w:val="00E45AD8"/>
    <w:rsid w:val="00E466EF"/>
    <w:rsid w:val="00E470B0"/>
    <w:rsid w:val="00E4768F"/>
    <w:rsid w:val="00E47E8B"/>
    <w:rsid w:val="00E50196"/>
    <w:rsid w:val="00E50576"/>
    <w:rsid w:val="00E505B2"/>
    <w:rsid w:val="00E50818"/>
    <w:rsid w:val="00E51087"/>
    <w:rsid w:val="00E51301"/>
    <w:rsid w:val="00E513B7"/>
    <w:rsid w:val="00E51D26"/>
    <w:rsid w:val="00E51FE2"/>
    <w:rsid w:val="00E52F8E"/>
    <w:rsid w:val="00E53523"/>
    <w:rsid w:val="00E53832"/>
    <w:rsid w:val="00E53F82"/>
    <w:rsid w:val="00E5455A"/>
    <w:rsid w:val="00E546F7"/>
    <w:rsid w:val="00E54AEE"/>
    <w:rsid w:val="00E55B3D"/>
    <w:rsid w:val="00E55DFD"/>
    <w:rsid w:val="00E56D33"/>
    <w:rsid w:val="00E57122"/>
    <w:rsid w:val="00E577CB"/>
    <w:rsid w:val="00E5783A"/>
    <w:rsid w:val="00E57CA0"/>
    <w:rsid w:val="00E60645"/>
    <w:rsid w:val="00E6065F"/>
    <w:rsid w:val="00E60776"/>
    <w:rsid w:val="00E607E5"/>
    <w:rsid w:val="00E607F3"/>
    <w:rsid w:val="00E609E4"/>
    <w:rsid w:val="00E60FEC"/>
    <w:rsid w:val="00E6139C"/>
    <w:rsid w:val="00E615D8"/>
    <w:rsid w:val="00E61FB1"/>
    <w:rsid w:val="00E62395"/>
    <w:rsid w:val="00E62DDB"/>
    <w:rsid w:val="00E630CC"/>
    <w:rsid w:val="00E63136"/>
    <w:rsid w:val="00E63435"/>
    <w:rsid w:val="00E634DA"/>
    <w:rsid w:val="00E63D16"/>
    <w:rsid w:val="00E65236"/>
    <w:rsid w:val="00E6526D"/>
    <w:rsid w:val="00E65886"/>
    <w:rsid w:val="00E65D4F"/>
    <w:rsid w:val="00E65FB1"/>
    <w:rsid w:val="00E666AE"/>
    <w:rsid w:val="00E66704"/>
    <w:rsid w:val="00E66A90"/>
    <w:rsid w:val="00E66CEE"/>
    <w:rsid w:val="00E66D87"/>
    <w:rsid w:val="00E66E52"/>
    <w:rsid w:val="00E67085"/>
    <w:rsid w:val="00E7018C"/>
    <w:rsid w:val="00E7041A"/>
    <w:rsid w:val="00E70553"/>
    <w:rsid w:val="00E70EEF"/>
    <w:rsid w:val="00E7146F"/>
    <w:rsid w:val="00E71684"/>
    <w:rsid w:val="00E71D24"/>
    <w:rsid w:val="00E722D9"/>
    <w:rsid w:val="00E7248F"/>
    <w:rsid w:val="00E7311D"/>
    <w:rsid w:val="00E731A0"/>
    <w:rsid w:val="00E7320C"/>
    <w:rsid w:val="00E735ED"/>
    <w:rsid w:val="00E73692"/>
    <w:rsid w:val="00E73B0F"/>
    <w:rsid w:val="00E73BCA"/>
    <w:rsid w:val="00E73E27"/>
    <w:rsid w:val="00E74572"/>
    <w:rsid w:val="00E74ABB"/>
    <w:rsid w:val="00E752A2"/>
    <w:rsid w:val="00E75711"/>
    <w:rsid w:val="00E75FF3"/>
    <w:rsid w:val="00E76743"/>
    <w:rsid w:val="00E76A07"/>
    <w:rsid w:val="00E76C60"/>
    <w:rsid w:val="00E773AC"/>
    <w:rsid w:val="00E77549"/>
    <w:rsid w:val="00E80105"/>
    <w:rsid w:val="00E80411"/>
    <w:rsid w:val="00E809ED"/>
    <w:rsid w:val="00E80B20"/>
    <w:rsid w:val="00E80FAD"/>
    <w:rsid w:val="00E81EDE"/>
    <w:rsid w:val="00E82267"/>
    <w:rsid w:val="00E82294"/>
    <w:rsid w:val="00E82719"/>
    <w:rsid w:val="00E8290C"/>
    <w:rsid w:val="00E8307A"/>
    <w:rsid w:val="00E83265"/>
    <w:rsid w:val="00E833EB"/>
    <w:rsid w:val="00E8386D"/>
    <w:rsid w:val="00E84120"/>
    <w:rsid w:val="00E84291"/>
    <w:rsid w:val="00E8475A"/>
    <w:rsid w:val="00E84ED5"/>
    <w:rsid w:val="00E84FD7"/>
    <w:rsid w:val="00E852C0"/>
    <w:rsid w:val="00E8575D"/>
    <w:rsid w:val="00E85AA0"/>
    <w:rsid w:val="00E85AC9"/>
    <w:rsid w:val="00E8674D"/>
    <w:rsid w:val="00E86F70"/>
    <w:rsid w:val="00E8702D"/>
    <w:rsid w:val="00E8743D"/>
    <w:rsid w:val="00E87623"/>
    <w:rsid w:val="00E87F35"/>
    <w:rsid w:val="00E90650"/>
    <w:rsid w:val="00E906FF"/>
    <w:rsid w:val="00E9125F"/>
    <w:rsid w:val="00E914F5"/>
    <w:rsid w:val="00E915DF"/>
    <w:rsid w:val="00E92086"/>
    <w:rsid w:val="00E92729"/>
    <w:rsid w:val="00E92925"/>
    <w:rsid w:val="00E92B0C"/>
    <w:rsid w:val="00E92D47"/>
    <w:rsid w:val="00E92E11"/>
    <w:rsid w:val="00E92F9A"/>
    <w:rsid w:val="00E92FC1"/>
    <w:rsid w:val="00E93432"/>
    <w:rsid w:val="00E936AA"/>
    <w:rsid w:val="00E93B0B"/>
    <w:rsid w:val="00E9445F"/>
    <w:rsid w:val="00E944F8"/>
    <w:rsid w:val="00E946E2"/>
    <w:rsid w:val="00E946EB"/>
    <w:rsid w:val="00E9480E"/>
    <w:rsid w:val="00E94E99"/>
    <w:rsid w:val="00E95992"/>
    <w:rsid w:val="00E95AB9"/>
    <w:rsid w:val="00E95C55"/>
    <w:rsid w:val="00E95E34"/>
    <w:rsid w:val="00E9677F"/>
    <w:rsid w:val="00E974C0"/>
    <w:rsid w:val="00EA0371"/>
    <w:rsid w:val="00EA041C"/>
    <w:rsid w:val="00EA077F"/>
    <w:rsid w:val="00EA0B69"/>
    <w:rsid w:val="00EA0D5F"/>
    <w:rsid w:val="00EA0FC4"/>
    <w:rsid w:val="00EA1694"/>
    <w:rsid w:val="00EA1CEA"/>
    <w:rsid w:val="00EA1DB9"/>
    <w:rsid w:val="00EA1E34"/>
    <w:rsid w:val="00EA1F79"/>
    <w:rsid w:val="00EA23D5"/>
    <w:rsid w:val="00EA25AB"/>
    <w:rsid w:val="00EA2686"/>
    <w:rsid w:val="00EA3024"/>
    <w:rsid w:val="00EA3F90"/>
    <w:rsid w:val="00EA419D"/>
    <w:rsid w:val="00EA4347"/>
    <w:rsid w:val="00EA442D"/>
    <w:rsid w:val="00EA4529"/>
    <w:rsid w:val="00EA45B8"/>
    <w:rsid w:val="00EA4697"/>
    <w:rsid w:val="00EA4C28"/>
    <w:rsid w:val="00EA4DF6"/>
    <w:rsid w:val="00EA4FAF"/>
    <w:rsid w:val="00EA5508"/>
    <w:rsid w:val="00EA56C1"/>
    <w:rsid w:val="00EA5D7C"/>
    <w:rsid w:val="00EA6B40"/>
    <w:rsid w:val="00EA6C4C"/>
    <w:rsid w:val="00EA70A2"/>
    <w:rsid w:val="00EA71BA"/>
    <w:rsid w:val="00EA7364"/>
    <w:rsid w:val="00EA7524"/>
    <w:rsid w:val="00EB02BB"/>
    <w:rsid w:val="00EB085E"/>
    <w:rsid w:val="00EB0999"/>
    <w:rsid w:val="00EB0A02"/>
    <w:rsid w:val="00EB1431"/>
    <w:rsid w:val="00EB1558"/>
    <w:rsid w:val="00EB1C37"/>
    <w:rsid w:val="00EB1C4E"/>
    <w:rsid w:val="00EB1CF3"/>
    <w:rsid w:val="00EB1D7E"/>
    <w:rsid w:val="00EB2355"/>
    <w:rsid w:val="00EB261F"/>
    <w:rsid w:val="00EB28F0"/>
    <w:rsid w:val="00EB2F61"/>
    <w:rsid w:val="00EB31EE"/>
    <w:rsid w:val="00EB4BC1"/>
    <w:rsid w:val="00EB4E0C"/>
    <w:rsid w:val="00EB4F0E"/>
    <w:rsid w:val="00EB4FEC"/>
    <w:rsid w:val="00EB54E1"/>
    <w:rsid w:val="00EB6023"/>
    <w:rsid w:val="00EB6146"/>
    <w:rsid w:val="00EB6C6C"/>
    <w:rsid w:val="00EB6CAE"/>
    <w:rsid w:val="00EB7517"/>
    <w:rsid w:val="00EB77CA"/>
    <w:rsid w:val="00EB78F8"/>
    <w:rsid w:val="00EB795D"/>
    <w:rsid w:val="00EC099B"/>
    <w:rsid w:val="00EC0B52"/>
    <w:rsid w:val="00EC0D59"/>
    <w:rsid w:val="00EC15F9"/>
    <w:rsid w:val="00EC1D1E"/>
    <w:rsid w:val="00EC20B8"/>
    <w:rsid w:val="00EC2487"/>
    <w:rsid w:val="00EC2C54"/>
    <w:rsid w:val="00EC4116"/>
    <w:rsid w:val="00EC41DB"/>
    <w:rsid w:val="00EC4456"/>
    <w:rsid w:val="00EC4575"/>
    <w:rsid w:val="00EC53C3"/>
    <w:rsid w:val="00EC6747"/>
    <w:rsid w:val="00EC7180"/>
    <w:rsid w:val="00EC7206"/>
    <w:rsid w:val="00EC75B4"/>
    <w:rsid w:val="00EC7DF3"/>
    <w:rsid w:val="00EC7EB2"/>
    <w:rsid w:val="00EC7EC7"/>
    <w:rsid w:val="00ED01E8"/>
    <w:rsid w:val="00ED06C6"/>
    <w:rsid w:val="00ED0BD3"/>
    <w:rsid w:val="00ED15A8"/>
    <w:rsid w:val="00ED2E20"/>
    <w:rsid w:val="00ED31ED"/>
    <w:rsid w:val="00ED32F2"/>
    <w:rsid w:val="00ED3594"/>
    <w:rsid w:val="00ED3603"/>
    <w:rsid w:val="00ED367E"/>
    <w:rsid w:val="00ED376D"/>
    <w:rsid w:val="00ED39A5"/>
    <w:rsid w:val="00ED39C7"/>
    <w:rsid w:val="00ED39E5"/>
    <w:rsid w:val="00ED3A14"/>
    <w:rsid w:val="00ED3AFF"/>
    <w:rsid w:val="00ED3EE9"/>
    <w:rsid w:val="00ED4125"/>
    <w:rsid w:val="00ED4182"/>
    <w:rsid w:val="00ED4256"/>
    <w:rsid w:val="00ED44EE"/>
    <w:rsid w:val="00ED44F3"/>
    <w:rsid w:val="00ED46B8"/>
    <w:rsid w:val="00ED5099"/>
    <w:rsid w:val="00ED5ED9"/>
    <w:rsid w:val="00ED5FC8"/>
    <w:rsid w:val="00ED6308"/>
    <w:rsid w:val="00ED6E20"/>
    <w:rsid w:val="00ED75D5"/>
    <w:rsid w:val="00ED75F2"/>
    <w:rsid w:val="00EE003A"/>
    <w:rsid w:val="00EE0D7A"/>
    <w:rsid w:val="00EE1492"/>
    <w:rsid w:val="00EE1701"/>
    <w:rsid w:val="00EE1904"/>
    <w:rsid w:val="00EE2070"/>
    <w:rsid w:val="00EE247F"/>
    <w:rsid w:val="00EE269A"/>
    <w:rsid w:val="00EE3604"/>
    <w:rsid w:val="00EE3A05"/>
    <w:rsid w:val="00EE3C24"/>
    <w:rsid w:val="00EE4012"/>
    <w:rsid w:val="00EE4345"/>
    <w:rsid w:val="00EE44AB"/>
    <w:rsid w:val="00EE4587"/>
    <w:rsid w:val="00EE4E72"/>
    <w:rsid w:val="00EE5695"/>
    <w:rsid w:val="00EE592E"/>
    <w:rsid w:val="00EE5E55"/>
    <w:rsid w:val="00EE661A"/>
    <w:rsid w:val="00EE661F"/>
    <w:rsid w:val="00EE66EA"/>
    <w:rsid w:val="00EE68AA"/>
    <w:rsid w:val="00EE69BB"/>
    <w:rsid w:val="00EE6AD2"/>
    <w:rsid w:val="00EE6C66"/>
    <w:rsid w:val="00EE7185"/>
    <w:rsid w:val="00EE7492"/>
    <w:rsid w:val="00EE74F8"/>
    <w:rsid w:val="00EE7662"/>
    <w:rsid w:val="00EF03CB"/>
    <w:rsid w:val="00EF0750"/>
    <w:rsid w:val="00EF0780"/>
    <w:rsid w:val="00EF104F"/>
    <w:rsid w:val="00EF1200"/>
    <w:rsid w:val="00EF125F"/>
    <w:rsid w:val="00EF1363"/>
    <w:rsid w:val="00EF139D"/>
    <w:rsid w:val="00EF168E"/>
    <w:rsid w:val="00EF1E31"/>
    <w:rsid w:val="00EF2151"/>
    <w:rsid w:val="00EF24C0"/>
    <w:rsid w:val="00EF392C"/>
    <w:rsid w:val="00EF3947"/>
    <w:rsid w:val="00EF42EE"/>
    <w:rsid w:val="00EF4B6C"/>
    <w:rsid w:val="00EF4E04"/>
    <w:rsid w:val="00EF507F"/>
    <w:rsid w:val="00EF5353"/>
    <w:rsid w:val="00EF5EE0"/>
    <w:rsid w:val="00EF6039"/>
    <w:rsid w:val="00EF616B"/>
    <w:rsid w:val="00EF6171"/>
    <w:rsid w:val="00EF6448"/>
    <w:rsid w:val="00EF665C"/>
    <w:rsid w:val="00EF6F8B"/>
    <w:rsid w:val="00EF6F92"/>
    <w:rsid w:val="00EF72DE"/>
    <w:rsid w:val="00EF78E1"/>
    <w:rsid w:val="00EF7986"/>
    <w:rsid w:val="00EF7A81"/>
    <w:rsid w:val="00EF7A9A"/>
    <w:rsid w:val="00EF7E4B"/>
    <w:rsid w:val="00F008C7"/>
    <w:rsid w:val="00F0091C"/>
    <w:rsid w:val="00F00F90"/>
    <w:rsid w:val="00F0101E"/>
    <w:rsid w:val="00F01296"/>
    <w:rsid w:val="00F017EF"/>
    <w:rsid w:val="00F01D65"/>
    <w:rsid w:val="00F02709"/>
    <w:rsid w:val="00F027D9"/>
    <w:rsid w:val="00F030AE"/>
    <w:rsid w:val="00F03402"/>
    <w:rsid w:val="00F03490"/>
    <w:rsid w:val="00F03858"/>
    <w:rsid w:val="00F03866"/>
    <w:rsid w:val="00F03870"/>
    <w:rsid w:val="00F03C37"/>
    <w:rsid w:val="00F03D5B"/>
    <w:rsid w:val="00F04F8A"/>
    <w:rsid w:val="00F0573A"/>
    <w:rsid w:val="00F05EE0"/>
    <w:rsid w:val="00F0633F"/>
    <w:rsid w:val="00F06B38"/>
    <w:rsid w:val="00F0732D"/>
    <w:rsid w:val="00F07354"/>
    <w:rsid w:val="00F074F8"/>
    <w:rsid w:val="00F076E7"/>
    <w:rsid w:val="00F076FB"/>
    <w:rsid w:val="00F10011"/>
    <w:rsid w:val="00F10686"/>
    <w:rsid w:val="00F10B2A"/>
    <w:rsid w:val="00F10D01"/>
    <w:rsid w:val="00F114E1"/>
    <w:rsid w:val="00F11BA4"/>
    <w:rsid w:val="00F11CA5"/>
    <w:rsid w:val="00F1247A"/>
    <w:rsid w:val="00F125DB"/>
    <w:rsid w:val="00F12645"/>
    <w:rsid w:val="00F1274B"/>
    <w:rsid w:val="00F1284F"/>
    <w:rsid w:val="00F12E54"/>
    <w:rsid w:val="00F1302E"/>
    <w:rsid w:val="00F130EF"/>
    <w:rsid w:val="00F1326F"/>
    <w:rsid w:val="00F1394F"/>
    <w:rsid w:val="00F142A1"/>
    <w:rsid w:val="00F14733"/>
    <w:rsid w:val="00F14BD4"/>
    <w:rsid w:val="00F14DA1"/>
    <w:rsid w:val="00F14EC9"/>
    <w:rsid w:val="00F150AB"/>
    <w:rsid w:val="00F15C97"/>
    <w:rsid w:val="00F15D76"/>
    <w:rsid w:val="00F15FE9"/>
    <w:rsid w:val="00F16907"/>
    <w:rsid w:val="00F1693C"/>
    <w:rsid w:val="00F16A98"/>
    <w:rsid w:val="00F16DC4"/>
    <w:rsid w:val="00F16E8A"/>
    <w:rsid w:val="00F16F8F"/>
    <w:rsid w:val="00F16FD4"/>
    <w:rsid w:val="00F17444"/>
    <w:rsid w:val="00F176A8"/>
    <w:rsid w:val="00F206FD"/>
    <w:rsid w:val="00F2073A"/>
    <w:rsid w:val="00F20925"/>
    <w:rsid w:val="00F20ADF"/>
    <w:rsid w:val="00F20F2A"/>
    <w:rsid w:val="00F214FD"/>
    <w:rsid w:val="00F21A84"/>
    <w:rsid w:val="00F2254A"/>
    <w:rsid w:val="00F22970"/>
    <w:rsid w:val="00F231B3"/>
    <w:rsid w:val="00F23C42"/>
    <w:rsid w:val="00F24349"/>
    <w:rsid w:val="00F2574E"/>
    <w:rsid w:val="00F25BDD"/>
    <w:rsid w:val="00F25F56"/>
    <w:rsid w:val="00F266A1"/>
    <w:rsid w:val="00F269F9"/>
    <w:rsid w:val="00F30009"/>
    <w:rsid w:val="00F3076F"/>
    <w:rsid w:val="00F3079C"/>
    <w:rsid w:val="00F30B1C"/>
    <w:rsid w:val="00F30CC7"/>
    <w:rsid w:val="00F312E6"/>
    <w:rsid w:val="00F31F84"/>
    <w:rsid w:val="00F32704"/>
    <w:rsid w:val="00F329A0"/>
    <w:rsid w:val="00F32E8D"/>
    <w:rsid w:val="00F33363"/>
    <w:rsid w:val="00F33F00"/>
    <w:rsid w:val="00F342A6"/>
    <w:rsid w:val="00F3467C"/>
    <w:rsid w:val="00F34F10"/>
    <w:rsid w:val="00F34F21"/>
    <w:rsid w:val="00F34F32"/>
    <w:rsid w:val="00F351B3"/>
    <w:rsid w:val="00F36547"/>
    <w:rsid w:val="00F36562"/>
    <w:rsid w:val="00F3671F"/>
    <w:rsid w:val="00F36AF7"/>
    <w:rsid w:val="00F37147"/>
    <w:rsid w:val="00F37A37"/>
    <w:rsid w:val="00F37E70"/>
    <w:rsid w:val="00F37F4B"/>
    <w:rsid w:val="00F37FAC"/>
    <w:rsid w:val="00F415FF"/>
    <w:rsid w:val="00F418E4"/>
    <w:rsid w:val="00F420DF"/>
    <w:rsid w:val="00F42266"/>
    <w:rsid w:val="00F426FC"/>
    <w:rsid w:val="00F42B84"/>
    <w:rsid w:val="00F43E38"/>
    <w:rsid w:val="00F440A3"/>
    <w:rsid w:val="00F44ABB"/>
    <w:rsid w:val="00F44D84"/>
    <w:rsid w:val="00F44DF2"/>
    <w:rsid w:val="00F456B0"/>
    <w:rsid w:val="00F45AA3"/>
    <w:rsid w:val="00F46C4F"/>
    <w:rsid w:val="00F46F4E"/>
    <w:rsid w:val="00F46F9C"/>
    <w:rsid w:val="00F47893"/>
    <w:rsid w:val="00F47E9D"/>
    <w:rsid w:val="00F512CC"/>
    <w:rsid w:val="00F5149A"/>
    <w:rsid w:val="00F51A03"/>
    <w:rsid w:val="00F51A56"/>
    <w:rsid w:val="00F527A3"/>
    <w:rsid w:val="00F52C06"/>
    <w:rsid w:val="00F53087"/>
    <w:rsid w:val="00F530B8"/>
    <w:rsid w:val="00F536F7"/>
    <w:rsid w:val="00F5394A"/>
    <w:rsid w:val="00F53A70"/>
    <w:rsid w:val="00F53B14"/>
    <w:rsid w:val="00F53DD1"/>
    <w:rsid w:val="00F54086"/>
    <w:rsid w:val="00F54AA9"/>
    <w:rsid w:val="00F54AF5"/>
    <w:rsid w:val="00F55008"/>
    <w:rsid w:val="00F552D5"/>
    <w:rsid w:val="00F55D33"/>
    <w:rsid w:val="00F55FFD"/>
    <w:rsid w:val="00F56144"/>
    <w:rsid w:val="00F56247"/>
    <w:rsid w:val="00F562C5"/>
    <w:rsid w:val="00F565DA"/>
    <w:rsid w:val="00F568C3"/>
    <w:rsid w:val="00F56B4C"/>
    <w:rsid w:val="00F57123"/>
    <w:rsid w:val="00F57243"/>
    <w:rsid w:val="00F57755"/>
    <w:rsid w:val="00F60175"/>
    <w:rsid w:val="00F6018E"/>
    <w:rsid w:val="00F6028B"/>
    <w:rsid w:val="00F605F0"/>
    <w:rsid w:val="00F60D19"/>
    <w:rsid w:val="00F61245"/>
    <w:rsid w:val="00F61254"/>
    <w:rsid w:val="00F613CB"/>
    <w:rsid w:val="00F61413"/>
    <w:rsid w:val="00F614ED"/>
    <w:rsid w:val="00F61940"/>
    <w:rsid w:val="00F62611"/>
    <w:rsid w:val="00F626D0"/>
    <w:rsid w:val="00F6323B"/>
    <w:rsid w:val="00F63660"/>
    <w:rsid w:val="00F63974"/>
    <w:rsid w:val="00F64A22"/>
    <w:rsid w:val="00F65574"/>
    <w:rsid w:val="00F65A90"/>
    <w:rsid w:val="00F65D80"/>
    <w:rsid w:val="00F660E8"/>
    <w:rsid w:val="00F66570"/>
    <w:rsid w:val="00F668AB"/>
    <w:rsid w:val="00F66F8F"/>
    <w:rsid w:val="00F6752C"/>
    <w:rsid w:val="00F67E23"/>
    <w:rsid w:val="00F70808"/>
    <w:rsid w:val="00F70D41"/>
    <w:rsid w:val="00F71C75"/>
    <w:rsid w:val="00F71D4E"/>
    <w:rsid w:val="00F720C5"/>
    <w:rsid w:val="00F72274"/>
    <w:rsid w:val="00F725B3"/>
    <w:rsid w:val="00F72662"/>
    <w:rsid w:val="00F727A9"/>
    <w:rsid w:val="00F73A50"/>
    <w:rsid w:val="00F73A68"/>
    <w:rsid w:val="00F73D76"/>
    <w:rsid w:val="00F73F08"/>
    <w:rsid w:val="00F74699"/>
    <w:rsid w:val="00F74CA7"/>
    <w:rsid w:val="00F763E5"/>
    <w:rsid w:val="00F76916"/>
    <w:rsid w:val="00F773EA"/>
    <w:rsid w:val="00F7744A"/>
    <w:rsid w:val="00F7788A"/>
    <w:rsid w:val="00F77B09"/>
    <w:rsid w:val="00F77DBB"/>
    <w:rsid w:val="00F8005B"/>
    <w:rsid w:val="00F809CA"/>
    <w:rsid w:val="00F80CBC"/>
    <w:rsid w:val="00F80CC1"/>
    <w:rsid w:val="00F80EA7"/>
    <w:rsid w:val="00F80EBB"/>
    <w:rsid w:val="00F80ED9"/>
    <w:rsid w:val="00F813DE"/>
    <w:rsid w:val="00F8165E"/>
    <w:rsid w:val="00F81AB3"/>
    <w:rsid w:val="00F81C04"/>
    <w:rsid w:val="00F81E0B"/>
    <w:rsid w:val="00F81F8F"/>
    <w:rsid w:val="00F82AE6"/>
    <w:rsid w:val="00F8327F"/>
    <w:rsid w:val="00F83284"/>
    <w:rsid w:val="00F832B5"/>
    <w:rsid w:val="00F8346D"/>
    <w:rsid w:val="00F834AA"/>
    <w:rsid w:val="00F83646"/>
    <w:rsid w:val="00F83715"/>
    <w:rsid w:val="00F83969"/>
    <w:rsid w:val="00F842BE"/>
    <w:rsid w:val="00F8448B"/>
    <w:rsid w:val="00F84647"/>
    <w:rsid w:val="00F850ED"/>
    <w:rsid w:val="00F8586A"/>
    <w:rsid w:val="00F8607B"/>
    <w:rsid w:val="00F8621C"/>
    <w:rsid w:val="00F87078"/>
    <w:rsid w:val="00F87C06"/>
    <w:rsid w:val="00F87C54"/>
    <w:rsid w:val="00F87F0C"/>
    <w:rsid w:val="00F900B1"/>
    <w:rsid w:val="00F9080D"/>
    <w:rsid w:val="00F91692"/>
    <w:rsid w:val="00F9278E"/>
    <w:rsid w:val="00F92D34"/>
    <w:rsid w:val="00F93113"/>
    <w:rsid w:val="00F9342F"/>
    <w:rsid w:val="00F937AF"/>
    <w:rsid w:val="00F93882"/>
    <w:rsid w:val="00F9545C"/>
    <w:rsid w:val="00F95ABD"/>
    <w:rsid w:val="00F95B7A"/>
    <w:rsid w:val="00F96A86"/>
    <w:rsid w:val="00F96C78"/>
    <w:rsid w:val="00F971D1"/>
    <w:rsid w:val="00F9731F"/>
    <w:rsid w:val="00F974B0"/>
    <w:rsid w:val="00F97976"/>
    <w:rsid w:val="00F97D12"/>
    <w:rsid w:val="00FA12FD"/>
    <w:rsid w:val="00FA14B6"/>
    <w:rsid w:val="00FA19C9"/>
    <w:rsid w:val="00FA1C68"/>
    <w:rsid w:val="00FA1FE0"/>
    <w:rsid w:val="00FA2135"/>
    <w:rsid w:val="00FA2336"/>
    <w:rsid w:val="00FA27B8"/>
    <w:rsid w:val="00FA28BB"/>
    <w:rsid w:val="00FA331A"/>
    <w:rsid w:val="00FA3C9C"/>
    <w:rsid w:val="00FA4297"/>
    <w:rsid w:val="00FA4A4A"/>
    <w:rsid w:val="00FA4B30"/>
    <w:rsid w:val="00FA5299"/>
    <w:rsid w:val="00FA536B"/>
    <w:rsid w:val="00FA5746"/>
    <w:rsid w:val="00FA6223"/>
    <w:rsid w:val="00FA66D0"/>
    <w:rsid w:val="00FA7286"/>
    <w:rsid w:val="00FA7633"/>
    <w:rsid w:val="00FA772F"/>
    <w:rsid w:val="00FA79A8"/>
    <w:rsid w:val="00FB03E7"/>
    <w:rsid w:val="00FB0A4B"/>
    <w:rsid w:val="00FB0BC6"/>
    <w:rsid w:val="00FB1CCF"/>
    <w:rsid w:val="00FB1EB3"/>
    <w:rsid w:val="00FB1F29"/>
    <w:rsid w:val="00FB1FBA"/>
    <w:rsid w:val="00FB2559"/>
    <w:rsid w:val="00FB28F9"/>
    <w:rsid w:val="00FB2B24"/>
    <w:rsid w:val="00FB2DEE"/>
    <w:rsid w:val="00FB2E04"/>
    <w:rsid w:val="00FB3C1E"/>
    <w:rsid w:val="00FB3FD0"/>
    <w:rsid w:val="00FB4215"/>
    <w:rsid w:val="00FB46D8"/>
    <w:rsid w:val="00FB48F1"/>
    <w:rsid w:val="00FB4A52"/>
    <w:rsid w:val="00FB4DBA"/>
    <w:rsid w:val="00FB59B7"/>
    <w:rsid w:val="00FB5D81"/>
    <w:rsid w:val="00FB6850"/>
    <w:rsid w:val="00FB7CD0"/>
    <w:rsid w:val="00FC055B"/>
    <w:rsid w:val="00FC0DA6"/>
    <w:rsid w:val="00FC176D"/>
    <w:rsid w:val="00FC1B27"/>
    <w:rsid w:val="00FC1F64"/>
    <w:rsid w:val="00FC2230"/>
    <w:rsid w:val="00FC2248"/>
    <w:rsid w:val="00FC3114"/>
    <w:rsid w:val="00FC3DBC"/>
    <w:rsid w:val="00FC3F1F"/>
    <w:rsid w:val="00FC40FC"/>
    <w:rsid w:val="00FC48F1"/>
    <w:rsid w:val="00FC53C7"/>
    <w:rsid w:val="00FC55EA"/>
    <w:rsid w:val="00FC57A4"/>
    <w:rsid w:val="00FC57D9"/>
    <w:rsid w:val="00FC5C6A"/>
    <w:rsid w:val="00FC5D21"/>
    <w:rsid w:val="00FC5F93"/>
    <w:rsid w:val="00FC6352"/>
    <w:rsid w:val="00FC67C2"/>
    <w:rsid w:val="00FC6E17"/>
    <w:rsid w:val="00FC6F25"/>
    <w:rsid w:val="00FC7654"/>
    <w:rsid w:val="00FC7F25"/>
    <w:rsid w:val="00FD0723"/>
    <w:rsid w:val="00FD0F86"/>
    <w:rsid w:val="00FD0FCC"/>
    <w:rsid w:val="00FD113D"/>
    <w:rsid w:val="00FD1747"/>
    <w:rsid w:val="00FD1D39"/>
    <w:rsid w:val="00FD1F5F"/>
    <w:rsid w:val="00FD1FAF"/>
    <w:rsid w:val="00FD22EF"/>
    <w:rsid w:val="00FD23CE"/>
    <w:rsid w:val="00FD2756"/>
    <w:rsid w:val="00FD27A5"/>
    <w:rsid w:val="00FD2F96"/>
    <w:rsid w:val="00FD32ED"/>
    <w:rsid w:val="00FD3474"/>
    <w:rsid w:val="00FD34E2"/>
    <w:rsid w:val="00FD3AE5"/>
    <w:rsid w:val="00FD4075"/>
    <w:rsid w:val="00FD47BB"/>
    <w:rsid w:val="00FD47C5"/>
    <w:rsid w:val="00FD4C65"/>
    <w:rsid w:val="00FD4C98"/>
    <w:rsid w:val="00FD4E33"/>
    <w:rsid w:val="00FD51E5"/>
    <w:rsid w:val="00FD5363"/>
    <w:rsid w:val="00FD589C"/>
    <w:rsid w:val="00FD5DE9"/>
    <w:rsid w:val="00FD62EB"/>
    <w:rsid w:val="00FD6E4A"/>
    <w:rsid w:val="00FD73B3"/>
    <w:rsid w:val="00FD7B1D"/>
    <w:rsid w:val="00FD7C97"/>
    <w:rsid w:val="00FD7F4B"/>
    <w:rsid w:val="00FE0897"/>
    <w:rsid w:val="00FE0DAC"/>
    <w:rsid w:val="00FE1E30"/>
    <w:rsid w:val="00FE2157"/>
    <w:rsid w:val="00FE2409"/>
    <w:rsid w:val="00FE2741"/>
    <w:rsid w:val="00FE295D"/>
    <w:rsid w:val="00FE298C"/>
    <w:rsid w:val="00FE3621"/>
    <w:rsid w:val="00FE3C57"/>
    <w:rsid w:val="00FE43FD"/>
    <w:rsid w:val="00FE462A"/>
    <w:rsid w:val="00FE4644"/>
    <w:rsid w:val="00FE579C"/>
    <w:rsid w:val="00FE5A2F"/>
    <w:rsid w:val="00FE5BEA"/>
    <w:rsid w:val="00FE6DA7"/>
    <w:rsid w:val="00FE7170"/>
    <w:rsid w:val="00FE7415"/>
    <w:rsid w:val="00FE77EE"/>
    <w:rsid w:val="00FE7B09"/>
    <w:rsid w:val="00FE7E2F"/>
    <w:rsid w:val="00FF0328"/>
    <w:rsid w:val="00FF0359"/>
    <w:rsid w:val="00FF03D4"/>
    <w:rsid w:val="00FF099A"/>
    <w:rsid w:val="00FF0B47"/>
    <w:rsid w:val="00FF0D2F"/>
    <w:rsid w:val="00FF1103"/>
    <w:rsid w:val="00FF114D"/>
    <w:rsid w:val="00FF150E"/>
    <w:rsid w:val="00FF1CC7"/>
    <w:rsid w:val="00FF1D60"/>
    <w:rsid w:val="00FF1F2B"/>
    <w:rsid w:val="00FF2395"/>
    <w:rsid w:val="00FF3054"/>
    <w:rsid w:val="00FF44F3"/>
    <w:rsid w:val="00FF4C2B"/>
    <w:rsid w:val="00FF4C91"/>
    <w:rsid w:val="00FF4F2E"/>
    <w:rsid w:val="00FF564B"/>
    <w:rsid w:val="00FF5E2A"/>
    <w:rsid w:val="00FF6078"/>
    <w:rsid w:val="00FF6CA5"/>
    <w:rsid w:val="00FF76FF"/>
    <w:rsid w:val="00FF77B8"/>
    <w:rsid w:val="00FF7CF9"/>
    <w:rsid w:val="02021C0E"/>
    <w:rsid w:val="03910908"/>
    <w:rsid w:val="04359072"/>
    <w:rsid w:val="045EFCFC"/>
    <w:rsid w:val="04E3BCE4"/>
    <w:rsid w:val="06E1697F"/>
    <w:rsid w:val="081252C4"/>
    <w:rsid w:val="0970B293"/>
    <w:rsid w:val="09AB4026"/>
    <w:rsid w:val="0A0D2DF3"/>
    <w:rsid w:val="0A990B5D"/>
    <w:rsid w:val="0B050952"/>
    <w:rsid w:val="0D4CBC3B"/>
    <w:rsid w:val="0DCA7FCF"/>
    <w:rsid w:val="0E3891A8"/>
    <w:rsid w:val="0E727ACA"/>
    <w:rsid w:val="0EE09F16"/>
    <w:rsid w:val="10B403DE"/>
    <w:rsid w:val="10CC5A80"/>
    <w:rsid w:val="114D8A89"/>
    <w:rsid w:val="11B65AA4"/>
    <w:rsid w:val="142DCC2B"/>
    <w:rsid w:val="14C6B26D"/>
    <w:rsid w:val="156C1B82"/>
    <w:rsid w:val="15721C80"/>
    <w:rsid w:val="16AEDC6E"/>
    <w:rsid w:val="17863FC3"/>
    <w:rsid w:val="179517A5"/>
    <w:rsid w:val="180E877C"/>
    <w:rsid w:val="18518A51"/>
    <w:rsid w:val="185815AC"/>
    <w:rsid w:val="18D0BDFF"/>
    <w:rsid w:val="1A2B3F43"/>
    <w:rsid w:val="1A3273D8"/>
    <w:rsid w:val="1A7530C0"/>
    <w:rsid w:val="1AE6353F"/>
    <w:rsid w:val="1AF108EC"/>
    <w:rsid w:val="1BA7B36B"/>
    <w:rsid w:val="1BFA74DD"/>
    <w:rsid w:val="1D2C7A5F"/>
    <w:rsid w:val="1D62E005"/>
    <w:rsid w:val="1F8C66B1"/>
    <w:rsid w:val="1FDFB6AE"/>
    <w:rsid w:val="2000565A"/>
    <w:rsid w:val="204F7C7E"/>
    <w:rsid w:val="209A80C7"/>
    <w:rsid w:val="2259AA70"/>
    <w:rsid w:val="234F11EE"/>
    <w:rsid w:val="2351246E"/>
    <w:rsid w:val="2422FEEA"/>
    <w:rsid w:val="260A115E"/>
    <w:rsid w:val="26EB0899"/>
    <w:rsid w:val="28AACBDD"/>
    <w:rsid w:val="28E95AAB"/>
    <w:rsid w:val="298E99A6"/>
    <w:rsid w:val="29A13E36"/>
    <w:rsid w:val="2A01E659"/>
    <w:rsid w:val="2B1BFDA3"/>
    <w:rsid w:val="2BA66A89"/>
    <w:rsid w:val="2BAF7E04"/>
    <w:rsid w:val="2C252208"/>
    <w:rsid w:val="2E6C06E5"/>
    <w:rsid w:val="2E8D800A"/>
    <w:rsid w:val="2F0DA970"/>
    <w:rsid w:val="301CA87E"/>
    <w:rsid w:val="3180E744"/>
    <w:rsid w:val="318B3F27"/>
    <w:rsid w:val="31C39B24"/>
    <w:rsid w:val="330928D4"/>
    <w:rsid w:val="330DE72B"/>
    <w:rsid w:val="3315941F"/>
    <w:rsid w:val="34C2DFE9"/>
    <w:rsid w:val="36314F6C"/>
    <w:rsid w:val="37D31606"/>
    <w:rsid w:val="381F81B1"/>
    <w:rsid w:val="382719F2"/>
    <w:rsid w:val="39180D0C"/>
    <w:rsid w:val="39D7B982"/>
    <w:rsid w:val="3AA890A3"/>
    <w:rsid w:val="3BD3CF86"/>
    <w:rsid w:val="3CA5C337"/>
    <w:rsid w:val="3D3C1715"/>
    <w:rsid w:val="4124C8FC"/>
    <w:rsid w:val="41FE1EA8"/>
    <w:rsid w:val="42EF7F5F"/>
    <w:rsid w:val="43A1E0C2"/>
    <w:rsid w:val="43A4DDD6"/>
    <w:rsid w:val="4404C37C"/>
    <w:rsid w:val="46B01B90"/>
    <w:rsid w:val="4790A2B2"/>
    <w:rsid w:val="4790A92C"/>
    <w:rsid w:val="4BA1C5F2"/>
    <w:rsid w:val="4CA7F0F3"/>
    <w:rsid w:val="4CFC8F2F"/>
    <w:rsid w:val="4F92BB1D"/>
    <w:rsid w:val="4FA1991B"/>
    <w:rsid w:val="50E6BEB6"/>
    <w:rsid w:val="5197EE95"/>
    <w:rsid w:val="52DC5740"/>
    <w:rsid w:val="53508F95"/>
    <w:rsid w:val="53529C1D"/>
    <w:rsid w:val="5492AE5C"/>
    <w:rsid w:val="576C3BD5"/>
    <w:rsid w:val="578E5235"/>
    <w:rsid w:val="57AC3C1A"/>
    <w:rsid w:val="58A7B83F"/>
    <w:rsid w:val="59C2CF62"/>
    <w:rsid w:val="5AA654A7"/>
    <w:rsid w:val="5AB31E67"/>
    <w:rsid w:val="5BD9B976"/>
    <w:rsid w:val="5C88639F"/>
    <w:rsid w:val="5E073494"/>
    <w:rsid w:val="5F46114A"/>
    <w:rsid w:val="5F70C597"/>
    <w:rsid w:val="60009B8A"/>
    <w:rsid w:val="60A298B7"/>
    <w:rsid w:val="60C4ED7E"/>
    <w:rsid w:val="60CD7086"/>
    <w:rsid w:val="60FDCEB0"/>
    <w:rsid w:val="61BD067B"/>
    <w:rsid w:val="62165510"/>
    <w:rsid w:val="628F6C62"/>
    <w:rsid w:val="62970A44"/>
    <w:rsid w:val="65553660"/>
    <w:rsid w:val="66F288AB"/>
    <w:rsid w:val="6719EDA6"/>
    <w:rsid w:val="676B4017"/>
    <w:rsid w:val="68462367"/>
    <w:rsid w:val="69CA5C2A"/>
    <w:rsid w:val="6A7893C4"/>
    <w:rsid w:val="6C8857DD"/>
    <w:rsid w:val="6D2C3FDC"/>
    <w:rsid w:val="6DD1188E"/>
    <w:rsid w:val="6E5514DD"/>
    <w:rsid w:val="6E937BD0"/>
    <w:rsid w:val="6F703BED"/>
    <w:rsid w:val="706EFC58"/>
    <w:rsid w:val="72156F1F"/>
    <w:rsid w:val="7306EAA8"/>
    <w:rsid w:val="739B52F2"/>
    <w:rsid w:val="73A0F101"/>
    <w:rsid w:val="73B3A0AB"/>
    <w:rsid w:val="742B8F67"/>
    <w:rsid w:val="74AF532C"/>
    <w:rsid w:val="753AFA38"/>
    <w:rsid w:val="75766631"/>
    <w:rsid w:val="758DC483"/>
    <w:rsid w:val="7A6AEF40"/>
    <w:rsid w:val="7CD8DCC3"/>
    <w:rsid w:val="7F7A21E9"/>
    <w:rsid w:val="7FC2EE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602"/>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7D155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Summary box,Table Gridbeth,RTI AMCP Table,new style,ASD Table,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EE7492"/>
    <w:pPr>
      <w:widowControl w:val="0"/>
      <w:spacing w:before="40" w:after="120" w:line="240" w:lineRule="auto"/>
      <w:contextualSpacing/>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EE7492"/>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3"/>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table" w:customStyle="1" w:styleId="TableGrid11">
    <w:name w:val="Table Grid11"/>
    <w:basedOn w:val="TableNormal"/>
    <w:uiPriority w:val="59"/>
    <w:rsid w:val="00E03083"/>
    <w:pPr>
      <w:spacing w:after="240" w:line="240" w:lineRule="auto"/>
      <w:ind w:left="720" w:hanging="3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07730"/>
    <w:rPr>
      <w:color w:val="2B579A"/>
      <w:shd w:val="clear" w:color="auto" w:fill="E1DFDD"/>
    </w:rPr>
  </w:style>
  <w:style w:type="character" w:customStyle="1" w:styleId="Heading4Char">
    <w:name w:val="Heading 4 Char"/>
    <w:basedOn w:val="DefaultParagraphFont"/>
    <w:link w:val="Heading4"/>
    <w:uiPriority w:val="9"/>
    <w:rsid w:val="007D1551"/>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B462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62D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462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175585217">
      <w:bodyDiv w:val="1"/>
      <w:marLeft w:val="0"/>
      <w:marRight w:val="0"/>
      <w:marTop w:val="0"/>
      <w:marBottom w:val="0"/>
      <w:divBdr>
        <w:top w:val="none" w:sz="0" w:space="0" w:color="auto"/>
        <w:left w:val="none" w:sz="0" w:space="0" w:color="auto"/>
        <w:bottom w:val="none" w:sz="0" w:space="0" w:color="auto"/>
        <w:right w:val="none" w:sz="0" w:space="0" w:color="auto"/>
      </w:divBdr>
    </w:div>
    <w:div w:id="358507191">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908157010">
      <w:bodyDiv w:val="1"/>
      <w:marLeft w:val="0"/>
      <w:marRight w:val="0"/>
      <w:marTop w:val="0"/>
      <w:marBottom w:val="0"/>
      <w:divBdr>
        <w:top w:val="none" w:sz="0" w:space="0" w:color="auto"/>
        <w:left w:val="none" w:sz="0" w:space="0" w:color="auto"/>
        <w:bottom w:val="none" w:sz="0" w:space="0" w:color="auto"/>
        <w:right w:val="none" w:sz="0" w:space="0" w:color="auto"/>
      </w:divBdr>
      <w:divsChild>
        <w:div w:id="1624923890">
          <w:marLeft w:val="0"/>
          <w:marRight w:val="0"/>
          <w:marTop w:val="0"/>
          <w:marBottom w:val="0"/>
          <w:divBdr>
            <w:top w:val="none" w:sz="0" w:space="0" w:color="auto"/>
            <w:left w:val="none" w:sz="0" w:space="0" w:color="auto"/>
            <w:bottom w:val="none" w:sz="0" w:space="0" w:color="auto"/>
            <w:right w:val="none" w:sz="0" w:space="0" w:color="auto"/>
          </w:divBdr>
          <w:divsChild>
            <w:div w:id="1316490030">
              <w:marLeft w:val="439"/>
              <w:marRight w:val="0"/>
              <w:marTop w:val="0"/>
              <w:marBottom w:val="0"/>
              <w:divBdr>
                <w:top w:val="none" w:sz="0" w:space="0" w:color="auto"/>
                <w:left w:val="none" w:sz="0" w:space="0" w:color="auto"/>
                <w:bottom w:val="none" w:sz="0" w:space="0" w:color="auto"/>
                <w:right w:val="none" w:sz="0" w:space="0" w:color="auto"/>
              </w:divBdr>
              <w:divsChild>
                <w:div w:id="765729033">
                  <w:marLeft w:val="0"/>
                  <w:marRight w:val="0"/>
                  <w:marTop w:val="0"/>
                  <w:marBottom w:val="0"/>
                  <w:divBdr>
                    <w:top w:val="none" w:sz="0" w:space="0" w:color="auto"/>
                    <w:left w:val="none" w:sz="0" w:space="0" w:color="auto"/>
                    <w:bottom w:val="none" w:sz="0" w:space="0" w:color="auto"/>
                    <w:right w:val="none" w:sz="0" w:space="0" w:color="auto"/>
                  </w:divBdr>
                  <w:divsChild>
                    <w:div w:id="1780834065">
                      <w:marLeft w:val="176"/>
                      <w:marRight w:val="0"/>
                      <w:marTop w:val="0"/>
                      <w:marBottom w:val="0"/>
                      <w:divBdr>
                        <w:top w:val="none" w:sz="0" w:space="0" w:color="auto"/>
                        <w:left w:val="none" w:sz="0" w:space="0" w:color="auto"/>
                        <w:bottom w:val="none" w:sz="0" w:space="0" w:color="auto"/>
                        <w:right w:val="none" w:sz="0" w:space="0" w:color="auto"/>
                      </w:divBdr>
                    </w:div>
                    <w:div w:id="1882282980">
                      <w:marLeft w:val="0"/>
                      <w:marRight w:val="0"/>
                      <w:marTop w:val="0"/>
                      <w:marBottom w:val="0"/>
                      <w:divBdr>
                        <w:top w:val="none" w:sz="0" w:space="0" w:color="auto"/>
                        <w:left w:val="none" w:sz="0" w:space="0" w:color="auto"/>
                        <w:bottom w:val="none" w:sz="0" w:space="0" w:color="auto"/>
                        <w:right w:val="none" w:sz="0" w:space="0" w:color="auto"/>
                      </w:divBdr>
                    </w:div>
                  </w:divsChild>
                </w:div>
                <w:div w:id="1228610035">
                  <w:marLeft w:val="0"/>
                  <w:marRight w:val="0"/>
                  <w:marTop w:val="0"/>
                  <w:marBottom w:val="0"/>
                  <w:divBdr>
                    <w:top w:val="none" w:sz="0" w:space="0" w:color="auto"/>
                    <w:left w:val="none" w:sz="0" w:space="0" w:color="auto"/>
                    <w:bottom w:val="none" w:sz="0" w:space="0" w:color="auto"/>
                    <w:right w:val="none" w:sz="0" w:space="0" w:color="auto"/>
                  </w:divBdr>
                  <w:divsChild>
                    <w:div w:id="260114654">
                      <w:marLeft w:val="176"/>
                      <w:marRight w:val="0"/>
                      <w:marTop w:val="0"/>
                      <w:marBottom w:val="0"/>
                      <w:divBdr>
                        <w:top w:val="none" w:sz="0" w:space="0" w:color="auto"/>
                        <w:left w:val="none" w:sz="0" w:space="0" w:color="auto"/>
                        <w:bottom w:val="none" w:sz="0" w:space="0" w:color="auto"/>
                        <w:right w:val="none" w:sz="0" w:space="0" w:color="auto"/>
                      </w:divBdr>
                    </w:div>
                    <w:div w:id="1859659005">
                      <w:marLeft w:val="0"/>
                      <w:marRight w:val="0"/>
                      <w:marTop w:val="0"/>
                      <w:marBottom w:val="0"/>
                      <w:divBdr>
                        <w:top w:val="none" w:sz="0" w:space="0" w:color="auto"/>
                        <w:left w:val="none" w:sz="0" w:space="0" w:color="auto"/>
                        <w:bottom w:val="none" w:sz="0" w:space="0" w:color="auto"/>
                        <w:right w:val="none" w:sz="0" w:space="0" w:color="auto"/>
                      </w:divBdr>
                    </w:div>
                  </w:divsChild>
                </w:div>
                <w:div w:id="1918442853">
                  <w:marLeft w:val="0"/>
                  <w:marRight w:val="0"/>
                  <w:marTop w:val="0"/>
                  <w:marBottom w:val="0"/>
                  <w:divBdr>
                    <w:top w:val="none" w:sz="0" w:space="0" w:color="auto"/>
                    <w:left w:val="none" w:sz="0" w:space="0" w:color="auto"/>
                    <w:bottom w:val="none" w:sz="0" w:space="0" w:color="auto"/>
                    <w:right w:val="none" w:sz="0" w:space="0" w:color="auto"/>
                  </w:divBdr>
                  <w:divsChild>
                    <w:div w:id="262881732">
                      <w:marLeft w:val="0"/>
                      <w:marRight w:val="0"/>
                      <w:marTop w:val="0"/>
                      <w:marBottom w:val="0"/>
                      <w:divBdr>
                        <w:top w:val="none" w:sz="0" w:space="0" w:color="auto"/>
                        <w:left w:val="none" w:sz="0" w:space="0" w:color="auto"/>
                        <w:bottom w:val="none" w:sz="0" w:space="0" w:color="auto"/>
                        <w:right w:val="none" w:sz="0" w:space="0" w:color="auto"/>
                      </w:divBdr>
                    </w:div>
                    <w:div w:id="372463655">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7489">
          <w:marLeft w:val="0"/>
          <w:marRight w:val="0"/>
          <w:marTop w:val="0"/>
          <w:marBottom w:val="0"/>
          <w:divBdr>
            <w:top w:val="none" w:sz="0" w:space="0" w:color="auto"/>
            <w:left w:val="none" w:sz="0" w:space="0" w:color="auto"/>
            <w:bottom w:val="none" w:sz="0" w:space="0" w:color="auto"/>
            <w:right w:val="none" w:sz="0" w:space="0" w:color="auto"/>
          </w:divBdr>
        </w:div>
      </w:divsChild>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03047070">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 w:id="2080710410">
      <w:bodyDiv w:val="1"/>
      <w:marLeft w:val="0"/>
      <w:marRight w:val="0"/>
      <w:marTop w:val="0"/>
      <w:marBottom w:val="0"/>
      <w:divBdr>
        <w:top w:val="none" w:sz="0" w:space="0" w:color="auto"/>
        <w:left w:val="none" w:sz="0" w:space="0" w:color="auto"/>
        <w:bottom w:val="none" w:sz="0" w:space="0" w:color="auto"/>
        <w:right w:val="none" w:sz="0" w:space="0" w:color="auto"/>
      </w:divBdr>
      <w:divsChild>
        <w:div w:id="1637024094">
          <w:marLeft w:val="0"/>
          <w:marRight w:val="0"/>
          <w:marTop w:val="0"/>
          <w:marBottom w:val="0"/>
          <w:divBdr>
            <w:top w:val="none" w:sz="0" w:space="0" w:color="auto"/>
            <w:left w:val="none" w:sz="0" w:space="0" w:color="auto"/>
            <w:bottom w:val="none" w:sz="0" w:space="0" w:color="auto"/>
            <w:right w:val="none" w:sz="0" w:space="0" w:color="auto"/>
          </w:divBdr>
        </w:div>
        <w:div w:id="1926108314">
          <w:marLeft w:val="0"/>
          <w:marRight w:val="0"/>
          <w:marTop w:val="0"/>
          <w:marBottom w:val="0"/>
          <w:divBdr>
            <w:top w:val="none" w:sz="0" w:space="0" w:color="auto"/>
            <w:left w:val="none" w:sz="0" w:space="0" w:color="auto"/>
            <w:bottom w:val="none" w:sz="0" w:space="0" w:color="auto"/>
            <w:right w:val="none" w:sz="0" w:space="0" w:color="auto"/>
          </w:divBdr>
          <w:divsChild>
            <w:div w:id="1212572889">
              <w:marLeft w:val="439"/>
              <w:marRight w:val="0"/>
              <w:marTop w:val="0"/>
              <w:marBottom w:val="0"/>
              <w:divBdr>
                <w:top w:val="none" w:sz="0" w:space="0" w:color="auto"/>
                <w:left w:val="none" w:sz="0" w:space="0" w:color="auto"/>
                <w:bottom w:val="none" w:sz="0" w:space="0" w:color="auto"/>
                <w:right w:val="none" w:sz="0" w:space="0" w:color="auto"/>
              </w:divBdr>
              <w:divsChild>
                <w:div w:id="483358665">
                  <w:marLeft w:val="0"/>
                  <w:marRight w:val="0"/>
                  <w:marTop w:val="0"/>
                  <w:marBottom w:val="0"/>
                  <w:divBdr>
                    <w:top w:val="none" w:sz="0" w:space="0" w:color="auto"/>
                    <w:left w:val="none" w:sz="0" w:space="0" w:color="auto"/>
                    <w:bottom w:val="none" w:sz="0" w:space="0" w:color="auto"/>
                    <w:right w:val="none" w:sz="0" w:space="0" w:color="auto"/>
                  </w:divBdr>
                  <w:divsChild>
                    <w:div w:id="173109040">
                      <w:marLeft w:val="176"/>
                      <w:marRight w:val="0"/>
                      <w:marTop w:val="0"/>
                      <w:marBottom w:val="0"/>
                      <w:divBdr>
                        <w:top w:val="none" w:sz="0" w:space="0" w:color="auto"/>
                        <w:left w:val="none" w:sz="0" w:space="0" w:color="auto"/>
                        <w:bottom w:val="none" w:sz="0" w:space="0" w:color="auto"/>
                        <w:right w:val="none" w:sz="0" w:space="0" w:color="auto"/>
                      </w:divBdr>
                    </w:div>
                    <w:div w:id="732044280">
                      <w:marLeft w:val="0"/>
                      <w:marRight w:val="0"/>
                      <w:marTop w:val="0"/>
                      <w:marBottom w:val="0"/>
                      <w:divBdr>
                        <w:top w:val="none" w:sz="0" w:space="0" w:color="auto"/>
                        <w:left w:val="none" w:sz="0" w:space="0" w:color="auto"/>
                        <w:bottom w:val="none" w:sz="0" w:space="0" w:color="auto"/>
                        <w:right w:val="none" w:sz="0" w:space="0" w:color="auto"/>
                      </w:divBdr>
                    </w:div>
                  </w:divsChild>
                </w:div>
                <w:div w:id="572088338">
                  <w:marLeft w:val="0"/>
                  <w:marRight w:val="0"/>
                  <w:marTop w:val="0"/>
                  <w:marBottom w:val="0"/>
                  <w:divBdr>
                    <w:top w:val="none" w:sz="0" w:space="0" w:color="auto"/>
                    <w:left w:val="none" w:sz="0" w:space="0" w:color="auto"/>
                    <w:bottom w:val="none" w:sz="0" w:space="0" w:color="auto"/>
                    <w:right w:val="none" w:sz="0" w:space="0" w:color="auto"/>
                  </w:divBdr>
                  <w:divsChild>
                    <w:div w:id="162552412">
                      <w:marLeft w:val="176"/>
                      <w:marRight w:val="0"/>
                      <w:marTop w:val="0"/>
                      <w:marBottom w:val="0"/>
                      <w:divBdr>
                        <w:top w:val="none" w:sz="0" w:space="0" w:color="auto"/>
                        <w:left w:val="none" w:sz="0" w:space="0" w:color="auto"/>
                        <w:bottom w:val="none" w:sz="0" w:space="0" w:color="auto"/>
                        <w:right w:val="none" w:sz="0" w:space="0" w:color="auto"/>
                      </w:divBdr>
                    </w:div>
                    <w:div w:id="875696880">
                      <w:marLeft w:val="0"/>
                      <w:marRight w:val="0"/>
                      <w:marTop w:val="0"/>
                      <w:marBottom w:val="0"/>
                      <w:divBdr>
                        <w:top w:val="none" w:sz="0" w:space="0" w:color="auto"/>
                        <w:left w:val="none" w:sz="0" w:space="0" w:color="auto"/>
                        <w:bottom w:val="none" w:sz="0" w:space="0" w:color="auto"/>
                        <w:right w:val="none" w:sz="0" w:space="0" w:color="auto"/>
                      </w:divBdr>
                    </w:div>
                  </w:divsChild>
                </w:div>
                <w:div w:id="2083284417">
                  <w:marLeft w:val="0"/>
                  <w:marRight w:val="0"/>
                  <w:marTop w:val="0"/>
                  <w:marBottom w:val="0"/>
                  <w:divBdr>
                    <w:top w:val="none" w:sz="0" w:space="0" w:color="auto"/>
                    <w:left w:val="none" w:sz="0" w:space="0" w:color="auto"/>
                    <w:bottom w:val="none" w:sz="0" w:space="0" w:color="auto"/>
                    <w:right w:val="none" w:sz="0" w:space="0" w:color="auto"/>
                  </w:divBdr>
                  <w:divsChild>
                    <w:div w:id="339477232">
                      <w:marLeft w:val="0"/>
                      <w:marRight w:val="0"/>
                      <w:marTop w:val="0"/>
                      <w:marBottom w:val="0"/>
                      <w:divBdr>
                        <w:top w:val="none" w:sz="0" w:space="0" w:color="auto"/>
                        <w:left w:val="none" w:sz="0" w:space="0" w:color="auto"/>
                        <w:bottom w:val="none" w:sz="0" w:space="0" w:color="auto"/>
                        <w:right w:val="none" w:sz="0" w:space="0" w:color="auto"/>
                      </w:divBdr>
                    </w:div>
                    <w:div w:id="979263348">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ga.gov.au/resources/artg/410289"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bsonline.gov.au/internet/mbsonline/publishing.nsf/Content/Factsheet-EMSN-1Jan2024" TargetMode="External"/><Relationship Id="rId7" Type="http://schemas.openxmlformats.org/officeDocument/2006/relationships/settings" Target="settings.xml"/><Relationship Id="rId12" Type="http://schemas.openxmlformats.org/officeDocument/2006/relationships/hyperlink" Target="https://www.tga.gov.au/resources/artg/483625" TargetMode="External"/><Relationship Id="rId17" Type="http://schemas.openxmlformats.org/officeDocument/2006/relationships/hyperlink" Target="https://www.tga.gov.au/resources/artg/444062"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ga.gov.au/resources/artg/444061" TargetMode="External"/><Relationship Id="rId20" Type="http://schemas.openxmlformats.org/officeDocument/2006/relationships/hyperlink" Target="https://www9.health.gov.au/mbs/search.cfm?q=TN.8.2&amp;Submit=&amp;sop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nicaltrials.gov/study/NCT04482062"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tga.gov.au/resources/artg/410290"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resources/artg/410288" TargetMode="External"/><Relationship Id="rId22" Type="http://schemas.openxmlformats.org/officeDocument/2006/relationships/hyperlink" Target="https://www.mbsonline.gov.au/internet/mbsonline/publishing.nsf/Content/Factsheet-EMSN-1Jan202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2E266AD69594FAC52E7A8B8B76707" ma:contentTypeVersion="18" ma:contentTypeDescription="Create a new document." ma:contentTypeScope="" ma:versionID="e6235962efdd18122f6ed6aa887dae02">
  <xsd:schema xmlns:xsd="http://www.w3.org/2001/XMLSchema" xmlns:xs="http://www.w3.org/2001/XMLSchema" xmlns:p="http://schemas.microsoft.com/office/2006/metadata/properties" xmlns:ns2="7ea72d31-b391-468a-afa4-2af449538c2c" xmlns:ns3="5e6c165d-1334-4e3d-ac4c-cda196070297" targetNamespace="http://schemas.microsoft.com/office/2006/metadata/properties" ma:root="true" ma:fieldsID="981668f2b5c7a862b11599d517d8f703" ns2:_="" ns3:_="">
    <xsd:import namespace="7ea72d31-b391-468a-afa4-2af449538c2c"/>
    <xsd:import namespace="5e6c165d-1334-4e3d-ac4c-cda196070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2d31-b391-468a-afa4-2af449538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a72d31-b391-468a-afa4-2af449538c2c">
      <Terms xmlns="http://schemas.microsoft.com/office/infopath/2007/PartnerControls"/>
    </lcf76f155ced4ddcb4097134ff3c332f>
    <TaxCatchAll xmlns="5e6c165d-1334-4e3d-ac4c-cda1960702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1B4000-02C7-4AAE-B172-EA8EA4BD6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2d31-b391-468a-afa4-2af449538c2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customXml/itemProps3.xml><?xml version="1.0" encoding="utf-8"?>
<ds:datastoreItem xmlns:ds="http://schemas.openxmlformats.org/officeDocument/2006/customXml" ds:itemID="{BFE08931-D2D7-4F8F-93B8-1523B15BE2AA}">
  <ds:schemaRefs>
    <ds:schemaRef ds:uri="http://schemas.microsoft.com/office/2006/metadata/properties"/>
    <ds:schemaRef ds:uri="http://schemas.microsoft.com/office/infopath/2007/PartnerControls"/>
    <ds:schemaRef ds:uri="7ea72d31-b391-468a-afa4-2af449538c2c"/>
    <ds:schemaRef ds:uri="5e6c165d-1334-4e3d-ac4c-cda196070297"/>
  </ds:schemaRefs>
</ds:datastoreItem>
</file>

<file path=customXml/itemProps4.xml><?xml version="1.0" encoding="utf-8"?>
<ds:datastoreItem xmlns:ds="http://schemas.openxmlformats.org/officeDocument/2006/customXml" ds:itemID="{E4F33FBF-1FD3-411D-ACF3-530FE5C3B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12063</Words>
  <Characters>68762</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2025-06-10T05:40:00Z</dcterms:created>
  <dcterms:modified xsi:type="dcterms:W3CDTF">2025-06-10T23:14:00Z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0x0101000A12E266AD69594FAC52E7A8B8B76707</vt:lpwstr>
  </property>
</Properties>
</file>