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6716C" w14:textId="455F3A9C" w:rsidR="00674EF0" w:rsidRPr="00674EF0" w:rsidRDefault="00674EF0" w:rsidP="00A770A8">
      <w:pPr>
        <w:keepNext/>
        <w:keepLines/>
        <w:spacing w:before="480" w:after="360" w:line="240" w:lineRule="auto"/>
        <w:jc w:val="center"/>
        <w:outlineLvl w:val="0"/>
        <w:rPr>
          <w:rFonts w:ascii="Arial" w:eastAsiaTheme="majorEastAsia" w:hAnsi="Arial" w:cs="Arial"/>
          <w:b/>
          <w:bCs/>
          <w:color w:val="000080"/>
          <w:sz w:val="36"/>
          <w:szCs w:val="36"/>
        </w:rPr>
      </w:pPr>
      <w:bookmarkStart w:id="0" w:name="_Hlk68005436"/>
      <w:bookmarkStart w:id="1" w:name="_Toc69491414"/>
      <w:r w:rsidRPr="00674EF0">
        <w:rPr>
          <w:rFonts w:ascii="Arial" w:eastAsiaTheme="majorEastAsia" w:hAnsi="Arial" w:cs="Arial"/>
          <w:b/>
          <w:bCs/>
          <w:color w:val="000080"/>
          <w:sz w:val="36"/>
          <w:szCs w:val="36"/>
        </w:rPr>
        <w:t xml:space="preserve">Medical Services Advisory Committee </w:t>
      </w:r>
      <w:r w:rsidRPr="00674EF0">
        <w:rPr>
          <w:rFonts w:ascii="Arial" w:eastAsiaTheme="majorEastAsia" w:hAnsi="Arial" w:cs="Arial"/>
          <w:b/>
          <w:bCs/>
          <w:color w:val="000080"/>
          <w:sz w:val="36"/>
          <w:szCs w:val="36"/>
        </w:rPr>
        <w:br/>
      </w:r>
      <w:bookmarkStart w:id="2" w:name="_Hlk194310341"/>
      <w:r w:rsidR="00A770A8" w:rsidRPr="00F76D74">
        <w:rPr>
          <w:rFonts w:ascii="Arial" w:hAnsi="Arial" w:cs="Arial"/>
          <w:b/>
          <w:bCs/>
          <w:color w:val="000080"/>
          <w:sz w:val="36"/>
          <w:szCs w:val="36"/>
        </w:rPr>
        <w:t>Public Summary Document</w:t>
      </w:r>
      <w:bookmarkEnd w:id="2"/>
    </w:p>
    <w:bookmarkEnd w:id="0"/>
    <w:bookmarkEnd w:id="1"/>
    <w:p w14:paraId="7A128FDE" w14:textId="78306E12" w:rsidR="00772829" w:rsidRPr="00CE28E3" w:rsidRDefault="00772829" w:rsidP="00F87E43">
      <w:pPr>
        <w:pStyle w:val="Subtitle"/>
        <w:jc w:val="left"/>
      </w:pPr>
      <w:r w:rsidRPr="00CE28E3">
        <w:t xml:space="preserve">Application </w:t>
      </w:r>
      <w:r w:rsidRPr="004553E4">
        <w:t xml:space="preserve">No. </w:t>
      </w:r>
      <w:r w:rsidR="00D412CD" w:rsidRPr="004553E4">
        <w:t>1800</w:t>
      </w:r>
      <w:r w:rsidRPr="004553E4">
        <w:t xml:space="preserve"> – </w:t>
      </w:r>
      <w:r w:rsidR="004553E4" w:rsidRPr="004553E4">
        <w:t>IncobotulinumtoxinA (XEOMIN) injection for chronic sialorrhea treatment</w:t>
      </w:r>
    </w:p>
    <w:p w14:paraId="35263561" w14:textId="61E4F8FD" w:rsidR="00772829" w:rsidRPr="00CE28E3" w:rsidRDefault="00772829" w:rsidP="00F87E43">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CC0060">
        <w:rPr>
          <w:rFonts w:ascii="Arial" w:hAnsi="Arial" w:cs="Arial"/>
          <w:b/>
          <w:szCs w:val="24"/>
        </w:rPr>
        <w:t>Merz Australia</w:t>
      </w:r>
      <w:r w:rsidR="00C71D20">
        <w:rPr>
          <w:rFonts w:ascii="Arial" w:hAnsi="Arial" w:cs="Arial"/>
          <w:b/>
          <w:szCs w:val="24"/>
        </w:rPr>
        <w:t xml:space="preserve"> Pty Ltd</w:t>
      </w:r>
    </w:p>
    <w:p w14:paraId="53BD774A" w14:textId="394F38C9" w:rsidR="008A474C" w:rsidRDefault="00772829" w:rsidP="009D127D">
      <w:pPr>
        <w:tabs>
          <w:tab w:val="left" w:pos="3686"/>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8551B8" w:rsidRPr="008551B8">
        <w:rPr>
          <w:rFonts w:ascii="Arial" w:hAnsi="Arial" w:cs="Arial"/>
          <w:b/>
          <w:szCs w:val="24"/>
        </w:rPr>
        <w:t>3-4 April 2025</w:t>
      </w:r>
    </w:p>
    <w:p w14:paraId="28C259C6" w14:textId="77777777" w:rsidR="00A770A8" w:rsidRPr="00333EDF" w:rsidRDefault="00A770A8" w:rsidP="00A770A8">
      <w:pPr>
        <w:spacing w:after="240"/>
        <w:rPr>
          <w:color w:val="0000FF"/>
          <w:u w:val="single"/>
        </w:rPr>
      </w:pPr>
      <w:bookmarkStart w:id="3" w:name="_Hlk194311547"/>
      <w:bookmarkStart w:id="4" w:name="_Hlk194308493"/>
      <w:bookmarkStart w:id="5" w:name="_Toc69491415"/>
      <w:r w:rsidRPr="00333EDF">
        <w:t xml:space="preserve">Context for decision: MSAC makes its advice in accordance with its Terms of Reference, </w:t>
      </w:r>
      <w:hyperlink r:id="rId11" w:tooltip="Link to Medical Services Advisory Committee website" w:history="1">
        <w:r w:rsidRPr="000D2098">
          <w:rPr>
            <w:rStyle w:val="Hyperlink"/>
            <w:color w:val="007BB8"/>
          </w:rPr>
          <w:t>visit the MSAC website</w:t>
        </w:r>
      </w:hyperlink>
      <w:bookmarkEnd w:id="3"/>
    </w:p>
    <w:bookmarkEnd w:id="4"/>
    <w:p w14:paraId="7EAA7262" w14:textId="43CD9638" w:rsidR="00772829" w:rsidRPr="00CE28E3" w:rsidRDefault="00772829" w:rsidP="00A770A8">
      <w:pPr>
        <w:pStyle w:val="Heading2"/>
        <w:numPr>
          <w:ilvl w:val="0"/>
          <w:numId w:val="28"/>
        </w:numPr>
        <w:ind w:hanging="720"/>
      </w:pPr>
      <w:r w:rsidRPr="00CE28E3">
        <w:t xml:space="preserve">Purpose </w:t>
      </w:r>
      <w:r w:rsidRPr="00CE28E3">
        <w:rPr>
          <w:szCs w:val="32"/>
        </w:rPr>
        <w:t>of</w:t>
      </w:r>
      <w:r w:rsidRPr="00CE28E3">
        <w:t xml:space="preserve"> application</w:t>
      </w:r>
      <w:bookmarkEnd w:id="5"/>
    </w:p>
    <w:p w14:paraId="2B03B099" w14:textId="48DB7257" w:rsidR="00772829" w:rsidRPr="009A3778" w:rsidRDefault="007358D2" w:rsidP="00F87E43">
      <w:pPr>
        <w:spacing w:after="120" w:line="276" w:lineRule="auto"/>
        <w:rPr>
          <w:iCs/>
          <w:szCs w:val="24"/>
        </w:rPr>
      </w:pPr>
      <w:bookmarkStart w:id="6" w:name="_Hlk69734469"/>
      <w:r>
        <w:rPr>
          <w:iCs/>
          <w:szCs w:val="24"/>
        </w:rPr>
        <w:t>This</w:t>
      </w:r>
      <w:r w:rsidR="00772829" w:rsidRPr="009A3778">
        <w:rPr>
          <w:iCs/>
          <w:szCs w:val="24"/>
        </w:rPr>
        <w:t xml:space="preserve"> codependent application </w:t>
      </w:r>
      <w:r w:rsidR="003169D5" w:rsidRPr="009A3778">
        <w:rPr>
          <w:iCs/>
          <w:szCs w:val="24"/>
        </w:rPr>
        <w:t>reques</w:t>
      </w:r>
      <w:r w:rsidR="003169D5">
        <w:rPr>
          <w:iCs/>
          <w:szCs w:val="24"/>
        </w:rPr>
        <w:t>t</w:t>
      </w:r>
      <w:r w:rsidR="00F828B0">
        <w:rPr>
          <w:iCs/>
          <w:szCs w:val="24"/>
        </w:rPr>
        <w:t>ed</w:t>
      </w:r>
      <w:r w:rsidR="00772829" w:rsidRPr="009A3778">
        <w:rPr>
          <w:iCs/>
          <w:szCs w:val="24"/>
        </w:rPr>
        <w:t>:</w:t>
      </w:r>
    </w:p>
    <w:p w14:paraId="479AA703" w14:textId="4B20CCA0" w:rsidR="00772829" w:rsidRPr="009A3778" w:rsidRDefault="00772829" w:rsidP="00F87E43">
      <w:pPr>
        <w:pStyle w:val="ListParagraph"/>
        <w:numPr>
          <w:ilvl w:val="0"/>
          <w:numId w:val="7"/>
        </w:numPr>
        <w:spacing w:after="240" w:line="276" w:lineRule="auto"/>
        <w:rPr>
          <w:iCs/>
          <w:szCs w:val="24"/>
        </w:rPr>
      </w:pPr>
      <w:r w:rsidRPr="009A3778">
        <w:rPr>
          <w:iCs/>
          <w:szCs w:val="24"/>
        </w:rPr>
        <w:t xml:space="preserve">Medicare Benefits Schedule (MBS) listing of </w:t>
      </w:r>
      <w:r w:rsidR="00B01E44">
        <w:rPr>
          <w:iCs/>
          <w:szCs w:val="24"/>
        </w:rPr>
        <w:t>injection of</w:t>
      </w:r>
      <w:r w:rsidR="00310C3F" w:rsidRPr="009A3778">
        <w:rPr>
          <w:iCs/>
          <w:szCs w:val="24"/>
        </w:rPr>
        <w:t xml:space="preserve"> </w:t>
      </w:r>
      <w:r w:rsidR="00C616C0">
        <w:rPr>
          <w:iCs/>
          <w:szCs w:val="24"/>
        </w:rPr>
        <w:t>incobotulinumtoxinA</w:t>
      </w:r>
      <w:r w:rsidR="00B01E44">
        <w:rPr>
          <w:iCs/>
          <w:szCs w:val="24"/>
        </w:rPr>
        <w:t xml:space="preserve"> for </w:t>
      </w:r>
      <w:r w:rsidR="00C616C0">
        <w:rPr>
          <w:iCs/>
          <w:szCs w:val="24"/>
        </w:rPr>
        <w:t xml:space="preserve">treatment of </w:t>
      </w:r>
      <w:r w:rsidR="00B01E44">
        <w:rPr>
          <w:iCs/>
          <w:szCs w:val="24"/>
        </w:rPr>
        <w:t>chronic sialorrhea</w:t>
      </w:r>
      <w:r w:rsidRPr="009A3778">
        <w:rPr>
          <w:iCs/>
          <w:szCs w:val="24"/>
        </w:rPr>
        <w:t>; and</w:t>
      </w:r>
    </w:p>
    <w:p w14:paraId="1305F83B" w14:textId="28F9BA0D" w:rsidR="00772829" w:rsidRDefault="00772829" w:rsidP="00F87E43">
      <w:pPr>
        <w:pStyle w:val="ListParagraph"/>
        <w:numPr>
          <w:ilvl w:val="0"/>
          <w:numId w:val="7"/>
        </w:numPr>
        <w:spacing w:after="240" w:line="276" w:lineRule="auto"/>
        <w:rPr>
          <w:iCs/>
          <w:szCs w:val="24"/>
        </w:rPr>
      </w:pPr>
      <w:r w:rsidRPr="009A3778">
        <w:rPr>
          <w:iCs/>
          <w:szCs w:val="24"/>
        </w:rPr>
        <w:t xml:space="preserve">Pharmaceutical Benefits Scheme (PBS) Authority Required listing of </w:t>
      </w:r>
      <w:r w:rsidR="00C616C0">
        <w:rPr>
          <w:iCs/>
          <w:szCs w:val="24"/>
        </w:rPr>
        <w:t>incobotulinumtoxinA (Xeomin®) for treatment of chronic sialorrhea</w:t>
      </w:r>
      <w:r w:rsidRPr="009A3778">
        <w:rPr>
          <w:iCs/>
          <w:szCs w:val="24"/>
        </w:rPr>
        <w:t>.</w:t>
      </w:r>
    </w:p>
    <w:p w14:paraId="4C911B3A" w14:textId="77777777" w:rsidR="00A770A8" w:rsidRPr="00E2729D" w:rsidRDefault="00A770A8" w:rsidP="00A770A8">
      <w:pPr>
        <w:pStyle w:val="Heading2"/>
        <w:numPr>
          <w:ilvl w:val="0"/>
          <w:numId w:val="28"/>
        </w:numPr>
        <w:ind w:hanging="720"/>
        <w:rPr>
          <w:color w:val="auto"/>
        </w:rPr>
      </w:pPr>
      <w:bookmarkStart w:id="7" w:name="_Hlk193982496"/>
      <w:bookmarkStart w:id="8" w:name="_Hlk194308564"/>
      <w:r w:rsidRPr="00E2729D">
        <w:rPr>
          <w:color w:val="auto"/>
        </w:rPr>
        <w:t>MSAC’s advice to the Minister</w:t>
      </w:r>
    </w:p>
    <w:p w14:paraId="329BF4DD" w14:textId="7CCA36F0" w:rsidR="00C67440" w:rsidRPr="00E2729D" w:rsidRDefault="00A770A8" w:rsidP="00221464">
      <w:pPr>
        <w:pStyle w:val="TableFooter"/>
        <w:keepNext/>
        <w:keepLines/>
        <w:contextualSpacing w:val="0"/>
        <w:jc w:val="left"/>
        <w:rPr>
          <w:rFonts w:ascii="Franklin Gothic Book" w:eastAsia="Franklin Gothic Book" w:hAnsi="Franklin Gothic Book"/>
          <w:sz w:val="22"/>
          <w:szCs w:val="22"/>
        </w:rPr>
      </w:pPr>
      <w:r w:rsidRPr="00E2729D">
        <w:rPr>
          <w:rFonts w:ascii="Franklin Gothic Book" w:hAnsi="Franklin Gothic Book"/>
          <w:sz w:val="22"/>
          <w:szCs w:val="22"/>
        </w:rPr>
        <w:t xml:space="preserve">After considering the strength of the available evidence in relation to comparative safety, clinical effectiveness, cost-effectiveness and total cost, </w:t>
      </w:r>
      <w:r w:rsidRPr="00E2729D">
        <w:rPr>
          <w:rFonts w:ascii="Franklin Gothic Book" w:eastAsia="Franklin Gothic Book" w:hAnsi="Franklin Gothic Book"/>
          <w:sz w:val="22"/>
          <w:szCs w:val="22"/>
        </w:rPr>
        <w:t>MSAC</w:t>
      </w:r>
      <w:r w:rsidR="004332E1" w:rsidRPr="00E2729D">
        <w:rPr>
          <w:rFonts w:ascii="Franklin Gothic Book" w:eastAsia="Franklin Gothic Book" w:hAnsi="Franklin Gothic Book"/>
          <w:sz w:val="22"/>
          <w:szCs w:val="22"/>
        </w:rPr>
        <w:t xml:space="preserve"> </w:t>
      </w:r>
      <w:r w:rsidR="00632DAE" w:rsidRPr="00E2729D">
        <w:rPr>
          <w:rFonts w:ascii="Franklin Gothic Book" w:eastAsia="Franklin Gothic Book" w:hAnsi="Franklin Gothic Book"/>
          <w:sz w:val="22"/>
          <w:szCs w:val="22"/>
        </w:rPr>
        <w:t xml:space="preserve">supported the creation of a new Medicare Benefits Schedule (MBS) item for IncobotulinumtoxinA injection for the treatment of chronic sialorrhea. </w:t>
      </w:r>
    </w:p>
    <w:p w14:paraId="15EDD514" w14:textId="569D9C1F" w:rsidR="00FC330D" w:rsidRPr="00FC330D" w:rsidRDefault="00632DAE" w:rsidP="00221464">
      <w:pPr>
        <w:pStyle w:val="TableFooter"/>
        <w:contextualSpacing w:val="0"/>
        <w:jc w:val="left"/>
        <w:rPr>
          <w:rFonts w:ascii="Franklin Gothic Book" w:eastAsia="Franklin Gothic Book" w:hAnsi="Franklin Gothic Book"/>
          <w:sz w:val="22"/>
          <w:szCs w:val="22"/>
        </w:rPr>
      </w:pPr>
      <w:r w:rsidRPr="00E2729D">
        <w:rPr>
          <w:rFonts w:ascii="Franklin Gothic Book" w:eastAsia="Franklin Gothic Book" w:hAnsi="Franklin Gothic Book"/>
          <w:sz w:val="22"/>
          <w:szCs w:val="22"/>
        </w:rPr>
        <w:t>MSAC noted that at its November 2024 meeting PBAC had deferred Pharmaceutical Benefits Scheme (PBS) listing but was of a mind to recommend IncobotulinumtoxinA for chronic sialorrhea pending listing of required MBS items and price reduction. MSAC acknowledged the clinical need and improved health outcomes in the defined population that would be met by funding access to chronic sialorrhea treatment. MSAC noted that PBAC had considered a price reduction incorporating a 2-year time horizon of the submitted economic model for incobotulinumtoxinA injection for chronic sialorrhea treatment and applicant had accepted the PBAC’s recommendation. MSAC supported a single MBS item that covers the treatment of chronic sialorrhea in children and adults using any PBS listed botulinum toxin product.</w:t>
      </w:r>
      <w:r w:rsidR="00FC330D">
        <w:rPr>
          <w:rFonts w:ascii="Franklin Gothic Book" w:eastAsia="Franklin Gothic Book" w:hAnsi="Franklin Gothic Book"/>
          <w:sz w:val="22"/>
          <w:szCs w:val="22"/>
        </w:rPr>
        <w:br w:type="page"/>
      </w:r>
    </w:p>
    <w:tbl>
      <w:tblPr>
        <w:tblW w:w="90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2D6132" w:rsidRPr="002D6132" w14:paraId="57923B28" w14:textId="77777777" w:rsidTr="5B05C43F">
        <w:trPr>
          <w:trHeight w:val="411"/>
        </w:trPr>
        <w:tc>
          <w:tcPr>
            <w:tcW w:w="90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30B4BB" w14:textId="77777777" w:rsidR="002D6132" w:rsidRPr="002D6132" w:rsidRDefault="002D6132">
            <w:pPr>
              <w:rPr>
                <w:rFonts w:ascii="Arial Narrow" w:hAnsi="Arial Narrow"/>
                <w:sz w:val="20"/>
                <w:szCs w:val="20"/>
                <w:lang w:val="en-US"/>
              </w:rPr>
            </w:pPr>
            <w:r w:rsidRPr="002D6132">
              <w:rPr>
                <w:rFonts w:ascii="Arial Narrow" w:hAnsi="Arial Narrow"/>
                <w:sz w:val="20"/>
                <w:szCs w:val="20"/>
              </w:rPr>
              <w:lastRenderedPageBreak/>
              <w:t>Category 3 – THERAPEUTIC PROCEDURES</w:t>
            </w:r>
            <w:r w:rsidRPr="002D6132">
              <w:rPr>
                <w:rFonts w:ascii="Arial" w:hAnsi="Arial" w:cs="Arial"/>
                <w:sz w:val="20"/>
                <w:szCs w:val="20"/>
                <w:lang w:val="en-US"/>
              </w:rPr>
              <w:t>​</w:t>
            </w:r>
          </w:p>
        </w:tc>
      </w:tr>
      <w:tr w:rsidR="002D6132" w:rsidRPr="002D6132" w14:paraId="32017E95" w14:textId="77777777" w:rsidTr="5B05C43F">
        <w:trPr>
          <w:trHeight w:val="2700"/>
        </w:trPr>
        <w:tc>
          <w:tcPr>
            <w:tcW w:w="900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F4437A" w14:textId="77777777" w:rsidR="002D6132" w:rsidRPr="002D6132" w:rsidRDefault="78B4795E">
            <w:pPr>
              <w:rPr>
                <w:rFonts w:ascii="Arial Narrow" w:hAnsi="Arial Narrow"/>
                <w:sz w:val="20"/>
                <w:szCs w:val="20"/>
              </w:rPr>
            </w:pPr>
            <w:r w:rsidRPr="5E70F332">
              <w:rPr>
                <w:rFonts w:ascii="Arial Narrow" w:hAnsi="Arial Narrow"/>
                <w:sz w:val="20"/>
                <w:szCs w:val="20"/>
                <w:lang w:val="en-US"/>
              </w:rPr>
              <w:t>MBS item *XXXX1</w:t>
            </w:r>
            <w:r w:rsidRPr="5E70F332">
              <w:rPr>
                <w:rFonts w:ascii="Arial" w:hAnsi="Arial" w:cs="Arial"/>
                <w:sz w:val="20"/>
                <w:szCs w:val="20"/>
              </w:rPr>
              <w:t>​</w:t>
            </w:r>
          </w:p>
          <w:p w14:paraId="78CD5FE8" w14:textId="2F929DBB" w:rsidR="002D6132" w:rsidRPr="002D6132" w:rsidRDefault="002D6132">
            <w:pPr>
              <w:rPr>
                <w:rFonts w:ascii="Arial Narrow" w:hAnsi="Arial Narrow"/>
                <w:sz w:val="20"/>
                <w:szCs w:val="20"/>
                <w:lang w:val="en-US"/>
              </w:rPr>
            </w:pPr>
            <w:r w:rsidRPr="01CC3F84">
              <w:rPr>
                <w:rFonts w:ascii="Arial Narrow" w:hAnsi="Arial Narrow"/>
                <w:sz w:val="20"/>
                <w:szCs w:val="20"/>
                <w:lang w:val="en-US"/>
              </w:rPr>
              <w:t xml:space="preserve">Injection of </w:t>
            </w:r>
            <w:r w:rsidR="67A0B312" w:rsidRPr="01CC3F84">
              <w:rPr>
                <w:rFonts w:ascii="Arial Narrow" w:hAnsi="Arial Narrow"/>
                <w:sz w:val="20"/>
                <w:szCs w:val="20"/>
                <w:lang w:val="en-US"/>
              </w:rPr>
              <w:t>IncobotulinumtoxinA (Xeomin)</w:t>
            </w:r>
            <w:r w:rsidRPr="01CC3F84">
              <w:rPr>
                <w:rFonts w:ascii="Arial Narrow" w:hAnsi="Arial Narrow"/>
                <w:sz w:val="20"/>
                <w:szCs w:val="20"/>
                <w:lang w:val="en-US"/>
              </w:rPr>
              <w:t xml:space="preserve"> for the treatment of chronic sialorrhea including all such injections on any one day, </w:t>
            </w:r>
            <w:r w:rsidRPr="01CC3F84">
              <w:rPr>
                <w:rFonts w:ascii="Arial Narrow" w:hAnsi="Arial Narrow"/>
                <w:sz w:val="20"/>
                <w:szCs w:val="20"/>
              </w:rPr>
              <w:t xml:space="preserve">if: </w:t>
            </w:r>
            <w:r w:rsidR="7C50E46E" w:rsidRPr="01CC3F84">
              <w:rPr>
                <w:rFonts w:ascii="Arial" w:hAnsi="Arial" w:cs="Arial"/>
                <w:sz w:val="20"/>
                <w:szCs w:val="20"/>
                <w:lang w:val="en-US"/>
              </w:rPr>
              <w:t>​​</w:t>
            </w:r>
            <w:r w:rsidRPr="01CC3F84">
              <w:rPr>
                <w:rFonts w:ascii="Arial" w:hAnsi="Arial" w:cs="Arial"/>
                <w:sz w:val="20"/>
                <w:szCs w:val="20"/>
                <w:lang w:val="en-US"/>
              </w:rPr>
              <w:t>​</w:t>
            </w:r>
          </w:p>
          <w:p w14:paraId="79E53725" w14:textId="77777777" w:rsidR="002D6132" w:rsidRPr="002D6132" w:rsidRDefault="002D6132">
            <w:pPr>
              <w:rPr>
                <w:rFonts w:ascii="Arial Narrow" w:hAnsi="Arial Narrow"/>
                <w:sz w:val="20"/>
                <w:szCs w:val="20"/>
                <w:lang w:val="en-US"/>
              </w:rPr>
            </w:pPr>
            <w:r w:rsidRPr="002D6132">
              <w:rPr>
                <w:rFonts w:ascii="Arial Narrow" w:hAnsi="Arial Narrow"/>
                <w:sz w:val="20"/>
                <w:szCs w:val="20"/>
              </w:rPr>
              <w:t xml:space="preserve">(a)    the patient is ≥2 years of age; and </w:t>
            </w:r>
            <w:r w:rsidRPr="002D6132">
              <w:rPr>
                <w:rFonts w:ascii="Arial" w:hAnsi="Arial" w:cs="Arial"/>
                <w:sz w:val="20"/>
                <w:szCs w:val="20"/>
                <w:lang w:val="en-US"/>
              </w:rPr>
              <w:t>​</w:t>
            </w:r>
          </w:p>
          <w:p w14:paraId="69818DFC" w14:textId="77777777" w:rsidR="002D6132" w:rsidRPr="002D6132" w:rsidRDefault="002D6132">
            <w:pPr>
              <w:rPr>
                <w:rFonts w:ascii="Arial Narrow" w:hAnsi="Arial Narrow"/>
                <w:sz w:val="20"/>
                <w:szCs w:val="20"/>
                <w:lang w:val="en-US"/>
              </w:rPr>
            </w:pPr>
            <w:r w:rsidRPr="002D6132">
              <w:rPr>
                <w:rFonts w:ascii="Arial Narrow" w:hAnsi="Arial Narrow"/>
                <w:sz w:val="20"/>
                <w:szCs w:val="20"/>
              </w:rPr>
              <w:t>(b)    the condition is due to a neurological or neurodevelopmental disorder.</w:t>
            </w:r>
            <w:r w:rsidRPr="002D6132">
              <w:rPr>
                <w:rFonts w:ascii="Arial" w:hAnsi="Arial" w:cs="Arial"/>
                <w:sz w:val="20"/>
                <w:szCs w:val="20"/>
                <w:lang w:val="en-US"/>
              </w:rPr>
              <w:t>​</w:t>
            </w:r>
          </w:p>
          <w:p w14:paraId="78563473" w14:textId="300C8A44" w:rsidR="002D6132" w:rsidRPr="002D6132" w:rsidRDefault="002D6132" w:rsidP="3719C860">
            <w:pPr>
              <w:rPr>
                <w:rFonts w:ascii="Arial Narrow" w:hAnsi="Arial Narrow"/>
                <w:sz w:val="20"/>
                <w:szCs w:val="20"/>
              </w:rPr>
            </w:pPr>
            <w:r w:rsidRPr="002D6132">
              <w:rPr>
                <w:rFonts w:ascii="Arial Narrow" w:hAnsi="Arial Narrow"/>
                <w:sz w:val="20"/>
                <w:szCs w:val="20"/>
                <w:lang w:val="en-US"/>
              </w:rPr>
              <w:t>This item cannot be claimed more than once every 16 weeks.</w:t>
            </w:r>
            <w:r w:rsidRPr="002D6132">
              <w:rPr>
                <w:rFonts w:ascii="Arial" w:hAnsi="Arial" w:cs="Arial"/>
                <w:sz w:val="20"/>
                <w:szCs w:val="20"/>
              </w:rPr>
              <w:t>​</w:t>
            </w:r>
          </w:p>
          <w:p w14:paraId="2A30ED04" w14:textId="21319B4A" w:rsidR="002D6132" w:rsidRPr="002D6132" w:rsidRDefault="7D07FD7E">
            <w:pPr>
              <w:rPr>
                <w:rFonts w:ascii="Arial" w:hAnsi="Arial" w:cs="Arial"/>
                <w:sz w:val="20"/>
                <w:szCs w:val="20"/>
              </w:rPr>
            </w:pPr>
            <w:r w:rsidRPr="3912A4A7">
              <w:rPr>
                <w:rFonts w:ascii="Arial" w:hAnsi="Arial" w:cs="Arial"/>
                <w:sz w:val="20"/>
                <w:szCs w:val="20"/>
              </w:rPr>
              <w:t>(Anaes)</w:t>
            </w:r>
          </w:p>
        </w:tc>
      </w:tr>
      <w:tr w:rsidR="002D6132" w:rsidRPr="002D6132" w14:paraId="0C3E60C6" w14:textId="77777777" w:rsidTr="5B05C43F">
        <w:trPr>
          <w:trHeight w:val="411"/>
        </w:trPr>
        <w:tc>
          <w:tcPr>
            <w:tcW w:w="90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61E295" w14:textId="77777777" w:rsidR="002D6132" w:rsidRPr="002D6132" w:rsidRDefault="002D6132">
            <w:pPr>
              <w:rPr>
                <w:rFonts w:ascii="Arial Narrow" w:hAnsi="Arial Narrow"/>
                <w:sz w:val="20"/>
                <w:szCs w:val="20"/>
              </w:rPr>
            </w:pPr>
            <w:r w:rsidRPr="002D6132">
              <w:rPr>
                <w:rFonts w:ascii="Arial Narrow" w:hAnsi="Arial Narrow"/>
                <w:sz w:val="20"/>
                <w:szCs w:val="20"/>
                <w:lang w:val="en-US"/>
              </w:rPr>
              <w:t>Fee: $142.25 Benefit: 75% = $106.70 85% = $120.95</w:t>
            </w:r>
            <w:r w:rsidRPr="002D6132">
              <w:rPr>
                <w:rFonts w:ascii="Arial" w:hAnsi="Arial" w:cs="Arial"/>
                <w:sz w:val="20"/>
                <w:szCs w:val="20"/>
              </w:rPr>
              <w:t>​</w:t>
            </w:r>
          </w:p>
        </w:tc>
      </w:tr>
    </w:tbl>
    <w:p w14:paraId="19C24452" w14:textId="2378E8F3" w:rsidR="001C2D7F" w:rsidRPr="001C2D7F" w:rsidRDefault="530EFEFF" w:rsidP="00221464">
      <w:pPr>
        <w:pStyle w:val="TableFooter"/>
        <w:spacing w:before="240"/>
        <w:contextualSpacing w:val="0"/>
        <w:jc w:val="left"/>
        <w:rPr>
          <w:rFonts w:ascii="Franklin Gothic Book" w:hAnsi="Franklin Gothic Book"/>
          <w:sz w:val="22"/>
          <w:szCs w:val="22"/>
        </w:rPr>
      </w:pPr>
      <w:r w:rsidRPr="5516155F">
        <w:rPr>
          <w:rFonts w:ascii="Franklin Gothic Book" w:hAnsi="Franklin Gothic Book"/>
          <w:sz w:val="22"/>
          <w:szCs w:val="22"/>
        </w:rPr>
        <w:t xml:space="preserve">Out of session, </w:t>
      </w:r>
      <w:r w:rsidR="0EEECF51" w:rsidRPr="5516155F">
        <w:rPr>
          <w:rFonts w:ascii="Franklin Gothic Book" w:hAnsi="Franklin Gothic Book"/>
          <w:sz w:val="22"/>
          <w:szCs w:val="22"/>
        </w:rPr>
        <w:t>MSAC</w:t>
      </w:r>
      <w:r w:rsidR="001C2D7F" w:rsidRPr="5516155F">
        <w:rPr>
          <w:rFonts w:ascii="Franklin Gothic Book" w:hAnsi="Franklin Gothic Book"/>
          <w:sz w:val="22"/>
          <w:szCs w:val="22"/>
        </w:rPr>
        <w:t xml:space="preserve"> noted Departmental policy </w:t>
      </w:r>
      <w:r w:rsidR="0EEECF51" w:rsidRPr="5516155F">
        <w:rPr>
          <w:rFonts w:ascii="Franklin Gothic Book" w:hAnsi="Franklin Gothic Book"/>
          <w:sz w:val="22"/>
          <w:szCs w:val="22"/>
        </w:rPr>
        <w:t>advice</w:t>
      </w:r>
      <w:r w:rsidR="0E9E749A" w:rsidRPr="5516155F">
        <w:rPr>
          <w:rFonts w:ascii="Franklin Gothic Book" w:hAnsi="Franklin Gothic Book"/>
          <w:sz w:val="22"/>
          <w:szCs w:val="22"/>
        </w:rPr>
        <w:t xml:space="preserve"> that</w:t>
      </w:r>
      <w:r w:rsidR="001C2D7F" w:rsidRPr="5516155F">
        <w:rPr>
          <w:rFonts w:ascii="Franklin Gothic Book" w:hAnsi="Franklin Gothic Book"/>
          <w:sz w:val="22"/>
          <w:szCs w:val="22"/>
        </w:rPr>
        <w:t xml:space="preserve"> </w:t>
      </w:r>
      <w:r w:rsidR="009437BF" w:rsidRPr="5516155F">
        <w:rPr>
          <w:rFonts w:ascii="Franklin Gothic Book" w:hAnsi="Franklin Gothic Book"/>
          <w:sz w:val="22"/>
          <w:szCs w:val="22"/>
        </w:rPr>
        <w:t>a brand specific MBS item for IncobutlinumtoxinA (Xeomin</w:t>
      </w:r>
      <w:r w:rsidR="6A2A8526">
        <w:t>®</w:t>
      </w:r>
      <w:r w:rsidR="706F3901" w:rsidRPr="5B05C43F">
        <w:rPr>
          <w:rFonts w:ascii="Franklin Gothic Book" w:hAnsi="Franklin Gothic Book"/>
          <w:sz w:val="22"/>
          <w:szCs w:val="22"/>
        </w:rPr>
        <w:t>)</w:t>
      </w:r>
      <w:r w:rsidR="009437BF" w:rsidRPr="5516155F">
        <w:rPr>
          <w:rFonts w:ascii="Franklin Gothic Book" w:hAnsi="Franklin Gothic Book"/>
          <w:sz w:val="22"/>
          <w:szCs w:val="22"/>
        </w:rPr>
        <w:t xml:space="preserve"> may need to be implement</w:t>
      </w:r>
      <w:r w:rsidR="00672C1F" w:rsidRPr="5516155F">
        <w:rPr>
          <w:rFonts w:ascii="Franklin Gothic Book" w:hAnsi="Franklin Gothic Book"/>
          <w:sz w:val="22"/>
          <w:szCs w:val="22"/>
        </w:rPr>
        <w:t xml:space="preserve">ed retain consistency with current MBS items and due </w:t>
      </w:r>
      <w:r w:rsidR="63DE240C" w:rsidRPr="5516155F">
        <w:rPr>
          <w:rFonts w:ascii="Franklin Gothic Book" w:hAnsi="Franklin Gothic Book"/>
          <w:sz w:val="22"/>
          <w:szCs w:val="22"/>
        </w:rPr>
        <w:t>to legislative</w:t>
      </w:r>
      <w:r w:rsidR="4E61DC7D" w:rsidRPr="5516155F">
        <w:rPr>
          <w:rFonts w:ascii="Franklin Gothic Book" w:hAnsi="Franklin Gothic Book"/>
          <w:sz w:val="22"/>
          <w:szCs w:val="22"/>
        </w:rPr>
        <w:t xml:space="preserve"> </w:t>
      </w:r>
      <w:r w:rsidR="0F6389AE" w:rsidRPr="5516155F">
        <w:rPr>
          <w:rFonts w:ascii="Franklin Gothic Book" w:hAnsi="Franklin Gothic Book"/>
          <w:sz w:val="22"/>
          <w:szCs w:val="22"/>
        </w:rPr>
        <w:t xml:space="preserve">and policy </w:t>
      </w:r>
      <w:r w:rsidR="00672C1F" w:rsidRPr="5516155F">
        <w:rPr>
          <w:rFonts w:ascii="Franklin Gothic Book" w:hAnsi="Franklin Gothic Book"/>
          <w:sz w:val="22"/>
          <w:szCs w:val="22"/>
        </w:rPr>
        <w:t xml:space="preserve">reasons </w:t>
      </w:r>
      <w:r w:rsidR="2511B1BE" w:rsidRPr="5516155F">
        <w:rPr>
          <w:rFonts w:ascii="Franklin Gothic Book" w:hAnsi="Franklin Gothic Book"/>
          <w:sz w:val="22"/>
          <w:szCs w:val="22"/>
        </w:rPr>
        <w:t xml:space="preserve">currently preventing the implementation of </w:t>
      </w:r>
      <w:r w:rsidR="40FBBD08" w:rsidRPr="5516155F">
        <w:rPr>
          <w:rFonts w:ascii="Franklin Gothic Book" w:hAnsi="Franklin Gothic Book"/>
          <w:sz w:val="22"/>
          <w:szCs w:val="22"/>
        </w:rPr>
        <w:t>generic</w:t>
      </w:r>
      <w:r w:rsidR="001C2D7F" w:rsidRPr="5516155F">
        <w:rPr>
          <w:rFonts w:ascii="Franklin Gothic Book" w:hAnsi="Franklin Gothic Book"/>
          <w:sz w:val="22"/>
          <w:szCs w:val="22"/>
        </w:rPr>
        <w:t xml:space="preserve"> MBS items for botulinum toxin</w:t>
      </w:r>
      <w:r w:rsidR="3D12476D" w:rsidRPr="5516155F">
        <w:rPr>
          <w:rFonts w:ascii="Franklin Gothic Book" w:hAnsi="Franklin Gothic Book"/>
          <w:sz w:val="22"/>
          <w:szCs w:val="22"/>
        </w:rPr>
        <w:t>.</w:t>
      </w:r>
      <w:r w:rsidR="001C2D7F" w:rsidRPr="5516155F">
        <w:rPr>
          <w:rFonts w:ascii="Franklin Gothic Book" w:hAnsi="Franklin Gothic Book"/>
          <w:sz w:val="22"/>
          <w:szCs w:val="22"/>
        </w:rPr>
        <w:t xml:space="preserve"> </w:t>
      </w:r>
    </w:p>
    <w:p w14:paraId="4044CE84" w14:textId="56E120A3" w:rsidR="002D6132" w:rsidRDefault="001C2D7F" w:rsidP="00221464">
      <w:pPr>
        <w:pStyle w:val="TableFooter"/>
        <w:contextualSpacing w:val="0"/>
        <w:jc w:val="left"/>
        <w:rPr>
          <w:rFonts w:ascii="Franklin Gothic Book" w:hAnsi="Franklin Gothic Book"/>
          <w:sz w:val="22"/>
          <w:szCs w:val="22"/>
        </w:rPr>
      </w:pPr>
      <w:r w:rsidRPr="5E70F332">
        <w:rPr>
          <w:rFonts w:ascii="Franklin Gothic Book" w:hAnsi="Franklin Gothic Book"/>
          <w:sz w:val="22"/>
          <w:szCs w:val="22"/>
        </w:rPr>
        <w:t xml:space="preserve">Additionally, MSAC noted policy advice to include anaesthesia in the descriptor to account for patient needs, </w:t>
      </w:r>
      <w:r w:rsidR="0EEECF51" w:rsidRPr="5E70F332">
        <w:rPr>
          <w:rFonts w:ascii="Franklin Gothic Book" w:hAnsi="Franklin Gothic Book"/>
          <w:sz w:val="22"/>
          <w:szCs w:val="22"/>
        </w:rPr>
        <w:t>particular</w:t>
      </w:r>
      <w:r w:rsidR="66C14D33" w:rsidRPr="5E70F332">
        <w:rPr>
          <w:rFonts w:ascii="Franklin Gothic Book" w:hAnsi="Franklin Gothic Book"/>
          <w:sz w:val="22"/>
          <w:szCs w:val="22"/>
        </w:rPr>
        <w:t>ly</w:t>
      </w:r>
      <w:r w:rsidRPr="5E70F332">
        <w:rPr>
          <w:rFonts w:ascii="Franklin Gothic Book" w:hAnsi="Franklin Gothic Book"/>
          <w:sz w:val="22"/>
          <w:szCs w:val="22"/>
        </w:rPr>
        <w:t xml:space="preserve"> in paediatric patients.</w:t>
      </w:r>
    </w:p>
    <w:tbl>
      <w:tblPr>
        <w:tblStyle w:val="Section3-footnot1"/>
        <w:tblW w:w="0" w:type="auto"/>
        <w:tblLook w:val="04A0" w:firstRow="1" w:lastRow="0" w:firstColumn="1" w:lastColumn="0" w:noHBand="0" w:noVBand="1"/>
        <w:tblDescription w:val="Consumer summary of MSAC consideration"/>
      </w:tblPr>
      <w:tblGrid>
        <w:gridCol w:w="9016"/>
      </w:tblGrid>
      <w:tr w:rsidR="00A770A8" w:rsidRPr="00F91D6E" w14:paraId="6D11EDEC" w14:textId="77777777" w:rsidTr="5E70F332">
        <w:trPr>
          <w:tblHeader/>
        </w:trPr>
        <w:tc>
          <w:tcPr>
            <w:tcW w:w="9016" w:type="dxa"/>
          </w:tcPr>
          <w:p w14:paraId="3B70AFB8" w14:textId="77777777" w:rsidR="00A770A8" w:rsidRPr="00F91D6E" w:rsidRDefault="00A770A8">
            <w:pPr>
              <w:keepNext/>
              <w:keepLines/>
              <w:spacing w:line="259" w:lineRule="auto"/>
              <w:rPr>
                <w:rFonts w:eastAsia="Calibri"/>
                <w:b/>
                <w:bCs/>
              </w:rPr>
            </w:pPr>
            <w:r w:rsidRPr="00F91D6E">
              <w:rPr>
                <w:b/>
                <w:bCs/>
              </w:rPr>
              <w:t>Consumer summary</w:t>
            </w:r>
          </w:p>
        </w:tc>
      </w:tr>
      <w:tr w:rsidR="00A770A8" w:rsidRPr="00F91D6E" w14:paraId="6AA47D01" w14:textId="77777777" w:rsidTr="5E70F332">
        <w:tc>
          <w:tcPr>
            <w:tcW w:w="9016" w:type="dxa"/>
          </w:tcPr>
          <w:p w14:paraId="315F0DCE" w14:textId="7841ABC9" w:rsidR="004433B7" w:rsidRDefault="004433B7" w:rsidP="004433B7">
            <w:r w:rsidRPr="00AF46D8">
              <w:t xml:space="preserve">This is an application from </w:t>
            </w:r>
            <w:r w:rsidRPr="004B1855">
              <w:t>Merz Australia</w:t>
            </w:r>
            <w:r>
              <w:t xml:space="preserve"> </w:t>
            </w:r>
            <w:r w:rsidRPr="00AF46D8">
              <w:t>requesting Medicare Benefits Schedule (MBS) listing of</w:t>
            </w:r>
            <w:r>
              <w:t xml:space="preserve"> the injection of i</w:t>
            </w:r>
            <w:r w:rsidRPr="00FB6076">
              <w:t>ncobotulinumtoxinA</w:t>
            </w:r>
            <w:r>
              <w:t xml:space="preserve"> (</w:t>
            </w:r>
            <w:r w:rsidRPr="00DC6344">
              <w:t>Xeomin®</w:t>
            </w:r>
            <w:r>
              <w:t xml:space="preserve">) to treat patients with chronic </w:t>
            </w:r>
            <w:r w:rsidRPr="00F60EF1">
              <w:t>sialorrhea</w:t>
            </w:r>
            <w:r>
              <w:t xml:space="preserve">. The Pharmaceutical Benefits Advisory Committee (PBAC) </w:t>
            </w:r>
            <w:r w:rsidR="004A61B5">
              <w:t xml:space="preserve">deferred </w:t>
            </w:r>
            <w:r w:rsidR="00DC3842">
              <w:t xml:space="preserve">their </w:t>
            </w:r>
            <w:r w:rsidR="00F438EA">
              <w:t>decision</w:t>
            </w:r>
            <w:r w:rsidR="00DC3842">
              <w:t xml:space="preserve"> on</w:t>
            </w:r>
            <w:r w:rsidR="00B3623A">
              <w:t xml:space="preserve"> </w:t>
            </w:r>
            <w:r>
              <w:t xml:space="preserve">listing </w:t>
            </w:r>
            <w:r w:rsidR="00B8357D">
              <w:t>Incobot</w:t>
            </w:r>
            <w:r w:rsidR="00A41968">
              <w:t>ulinumtoxinA</w:t>
            </w:r>
            <w:r>
              <w:t xml:space="preserve"> on the Pharmaceutical Benefits Scheme (PBS) </w:t>
            </w:r>
            <w:r w:rsidR="008D29A1">
              <w:t xml:space="preserve">for chronic sialorrhea treatment </w:t>
            </w:r>
            <w:r>
              <w:t>at its November 2024 meeting,</w:t>
            </w:r>
            <w:r w:rsidR="008D29A1">
              <w:t xml:space="preserve"> but was of a mind to support</w:t>
            </w:r>
            <w:r>
              <w:t xml:space="preserve"> </w:t>
            </w:r>
            <w:r w:rsidR="009613BA">
              <w:t xml:space="preserve">the listing </w:t>
            </w:r>
            <w:r>
              <w:t>pending a price reduction and an accompanying MBS listing for the injection administration service.</w:t>
            </w:r>
          </w:p>
          <w:p w14:paraId="26A15E1F" w14:textId="29DDD3E5" w:rsidR="004433B7" w:rsidRDefault="004433B7" w:rsidP="004433B7">
            <w:r>
              <w:t xml:space="preserve">Chronic </w:t>
            </w:r>
            <w:r w:rsidRPr="00F60EF1">
              <w:t>sialorrhea</w:t>
            </w:r>
            <w:r>
              <w:t xml:space="preserve"> is also known as hypersalivation or excessive drooling. It is common in people with neurological conditions or disorders such as Parkinson's disease, cerebral palsy and stroke. Chronic sialorrhea can result in d</w:t>
            </w:r>
            <w:r w:rsidRPr="005D4BC5">
              <w:t xml:space="preserve">ifficulty </w:t>
            </w:r>
            <w:r>
              <w:t>s</w:t>
            </w:r>
            <w:r w:rsidRPr="005D4BC5">
              <w:t>peaking</w:t>
            </w:r>
            <w:r>
              <w:t xml:space="preserve"> and e</w:t>
            </w:r>
            <w:r w:rsidRPr="005D4BC5">
              <w:t>ating</w:t>
            </w:r>
            <w:r>
              <w:t>, m</w:t>
            </w:r>
            <w:r w:rsidRPr="005D4BC5">
              <w:t xml:space="preserve">outh </w:t>
            </w:r>
            <w:r>
              <w:t>i</w:t>
            </w:r>
            <w:r w:rsidRPr="005D4BC5">
              <w:t xml:space="preserve">rritations </w:t>
            </w:r>
            <w:r>
              <w:t>and l</w:t>
            </w:r>
            <w:r w:rsidRPr="005D4BC5">
              <w:t xml:space="preserve">ung </w:t>
            </w:r>
            <w:r>
              <w:t>i</w:t>
            </w:r>
            <w:r w:rsidRPr="005D4BC5">
              <w:t>nfections</w:t>
            </w:r>
            <w:r>
              <w:t xml:space="preserve">. It can cause substantial loss of quality of life if not treated. This application is to treat chronic </w:t>
            </w:r>
            <w:r w:rsidRPr="00F60EF1">
              <w:t>sialorrhea</w:t>
            </w:r>
            <w:r>
              <w:t xml:space="preserve"> in </w:t>
            </w:r>
            <w:r w:rsidR="007E5ADF">
              <w:t xml:space="preserve">adults and </w:t>
            </w:r>
            <w:r>
              <w:t>children aged 2 years old</w:t>
            </w:r>
            <w:r w:rsidR="00B66C7A">
              <w:t xml:space="preserve"> and older</w:t>
            </w:r>
            <w:r>
              <w:t>.</w:t>
            </w:r>
          </w:p>
          <w:p w14:paraId="17A48D47" w14:textId="6F2C9210" w:rsidR="004433B7" w:rsidRDefault="00586476" w:rsidP="004433B7">
            <w:r>
              <w:t xml:space="preserve">IncobotulinumtoxinA </w:t>
            </w:r>
            <w:r w:rsidR="004433B7">
              <w:t xml:space="preserve">is a </w:t>
            </w:r>
            <w:r w:rsidR="004433B7" w:rsidRPr="00AC57EB">
              <w:t>purified form of botulinum toxin type A</w:t>
            </w:r>
            <w:r w:rsidR="08CF4415">
              <w:t xml:space="preserve"> </w:t>
            </w:r>
            <w:r w:rsidR="00E2450B">
              <w:t>(</w:t>
            </w:r>
            <w:r w:rsidR="004433B7">
              <w:t>Botox®</w:t>
            </w:r>
            <w:r w:rsidR="00E2450B">
              <w:t>)</w:t>
            </w:r>
            <w:r w:rsidR="004433B7">
              <w:t xml:space="preserve">. </w:t>
            </w:r>
            <w:r w:rsidR="000864A5">
              <w:t>IncobotulinumtoxinA</w:t>
            </w:r>
            <w:r w:rsidR="004433B7">
              <w:t xml:space="preserve"> works </w:t>
            </w:r>
            <w:r w:rsidR="00DB64C4">
              <w:t xml:space="preserve">when injected into the salivary glands </w:t>
            </w:r>
            <w:r w:rsidR="004433B7">
              <w:t xml:space="preserve">by blocking </w:t>
            </w:r>
            <w:r w:rsidR="001021AA">
              <w:t xml:space="preserve">nerve </w:t>
            </w:r>
            <w:r w:rsidR="004433B7">
              <w:t>signals so that less saliva (spit) is produced, and thus less drooling.</w:t>
            </w:r>
          </w:p>
          <w:p w14:paraId="1ECC913F" w14:textId="3DF7D8FC" w:rsidR="004433B7" w:rsidRDefault="004433B7" w:rsidP="004433B7">
            <w:r>
              <w:t xml:space="preserve">This was a streamlined application to MSAC, as </w:t>
            </w:r>
            <w:r w:rsidR="00BC0CDA">
              <w:t xml:space="preserve">it </w:t>
            </w:r>
            <w:r w:rsidR="008B2140">
              <w:t xml:space="preserve">noted </w:t>
            </w:r>
            <w:r w:rsidR="006C5C9F">
              <w:t xml:space="preserve">that </w:t>
            </w:r>
            <w:r>
              <w:t xml:space="preserve">the PBAC had </w:t>
            </w:r>
            <w:r w:rsidR="006B4798">
              <w:t>considered</w:t>
            </w:r>
            <w:r>
              <w:t xml:space="preserve"> </w:t>
            </w:r>
            <w:r w:rsidR="77CCA7BD">
              <w:t xml:space="preserve">recommending PBS </w:t>
            </w:r>
            <w:r>
              <w:t xml:space="preserve">listing </w:t>
            </w:r>
            <w:r w:rsidR="00BC6FE4">
              <w:t>incob</w:t>
            </w:r>
            <w:r w:rsidR="00075B9C">
              <w:t xml:space="preserve">otulinumtoxinA for treatment of chronic </w:t>
            </w:r>
            <w:r w:rsidR="008701D1">
              <w:t>sialorrhea in</w:t>
            </w:r>
            <w:r>
              <w:t xml:space="preserve"> November</w:t>
            </w:r>
            <w:r w:rsidR="005630EE">
              <w:t xml:space="preserve"> 2024</w:t>
            </w:r>
            <w:r w:rsidR="003E3211">
              <w:t xml:space="preserve"> and suggested requirements for support including this MBS application</w:t>
            </w:r>
            <w:r>
              <w:t xml:space="preserve">. MSAC noted the PBAC’s conclusions that </w:t>
            </w:r>
            <w:r w:rsidR="00AA1D1C">
              <w:t>i</w:t>
            </w:r>
            <w:r w:rsidR="00BC0CDA">
              <w:t>ncobotulinumtoxinA</w:t>
            </w:r>
            <w:r>
              <w:t xml:space="preserve"> is safe, effective and cost-effective (if the price is reduced).</w:t>
            </w:r>
          </w:p>
          <w:p w14:paraId="28ECD70F" w14:textId="5B103C84" w:rsidR="004433B7" w:rsidRDefault="004433B7" w:rsidP="004433B7">
            <w:r>
              <w:t xml:space="preserve">MSAC considered the injection associated with the </w:t>
            </w:r>
            <w:r w:rsidR="00AA1D1C">
              <w:t>i</w:t>
            </w:r>
            <w:r w:rsidR="00607267">
              <w:t>ncobotulinumtoxinA</w:t>
            </w:r>
            <w:r>
              <w:t xml:space="preserve"> treatment is similar to other injections </w:t>
            </w:r>
            <w:r w:rsidR="00D472B5">
              <w:t xml:space="preserve">for botulinum toxin </w:t>
            </w:r>
            <w:r>
              <w:t>already listed on the MBS.</w:t>
            </w:r>
          </w:p>
          <w:p w14:paraId="210324A1" w14:textId="11F91F41" w:rsidR="004433B7" w:rsidRDefault="004433B7" w:rsidP="004433B7">
            <w:r>
              <w:t>MSAC noted that some people would need ultrasound</w:t>
            </w:r>
            <w:r w:rsidR="001E6693">
              <w:t xml:space="preserve"> imaging to precisely </w:t>
            </w:r>
            <w:r>
              <w:t xml:space="preserve">guide injections, and some would need a general anaesthesia for administration (especially young children). Also, depending on the care setting, a variety of extra doctors and services may also be needed, such as neurologists, rehabilitation specialists, ear-nose-throat (ENT) surgeons, plastic surgeons, geriatricians and paediatricians. </w:t>
            </w:r>
          </w:p>
          <w:p w14:paraId="10A10796" w14:textId="269A2DDF" w:rsidR="004433B7" w:rsidRDefault="004433B7" w:rsidP="004433B7">
            <w:r>
              <w:lastRenderedPageBreak/>
              <w:t xml:space="preserve">MSAC considered it appropriate to have one MBS </w:t>
            </w:r>
            <w:r w:rsidR="0084705B">
              <w:t>item</w:t>
            </w:r>
            <w:r>
              <w:t xml:space="preserve"> for all patients aged 2 years</w:t>
            </w:r>
            <w:r w:rsidR="00AA250E">
              <w:t xml:space="preserve"> and older</w:t>
            </w:r>
            <w:r>
              <w:t xml:space="preserve"> (and not separate listings for children and adults). </w:t>
            </w:r>
            <w:r w:rsidR="00DD5525">
              <w:t xml:space="preserve"> </w:t>
            </w:r>
          </w:p>
          <w:p w14:paraId="5A1B7843" w14:textId="77777777" w:rsidR="00A770A8" w:rsidRPr="00F91D6E" w:rsidRDefault="00A770A8">
            <w:pPr>
              <w:keepNext/>
              <w:keepLines/>
              <w:spacing w:line="259" w:lineRule="auto"/>
              <w:rPr>
                <w:b/>
                <w:bCs/>
              </w:rPr>
            </w:pPr>
            <w:r w:rsidRPr="00F91D6E">
              <w:rPr>
                <w:b/>
                <w:bCs/>
              </w:rPr>
              <w:t>MSAC’s advice to the Commonwealth Minister for Health and Aged Care</w:t>
            </w:r>
          </w:p>
          <w:p w14:paraId="6AE191D5" w14:textId="0FFFA403" w:rsidR="00A770A8" w:rsidRPr="00F91D6E" w:rsidRDefault="002020B5" w:rsidP="002020B5">
            <w:pPr>
              <w:spacing w:after="120" w:line="259" w:lineRule="auto"/>
            </w:pPr>
            <w:r w:rsidRPr="00AF46D8">
              <w:t>MSAC supported</w:t>
            </w:r>
            <w:r>
              <w:t xml:space="preserve"> </w:t>
            </w:r>
            <w:r w:rsidRPr="00AF46D8">
              <w:t xml:space="preserve">listing </w:t>
            </w:r>
            <w:r>
              <w:t>the injection of i</w:t>
            </w:r>
            <w:r w:rsidRPr="00FB6076">
              <w:t>ncobotulinumtoxinA</w:t>
            </w:r>
            <w:r>
              <w:t xml:space="preserve"> to treat patients with chronic </w:t>
            </w:r>
            <w:r w:rsidRPr="00F60EF1">
              <w:t>sialorrhea</w:t>
            </w:r>
            <w:r>
              <w:t xml:space="preserve"> on the MBS. This support is dependent on </w:t>
            </w:r>
            <w:r w:rsidR="00FA2D77">
              <w:t>PBS listing of incobotulinum</w:t>
            </w:r>
            <w:r w:rsidR="00AE569F">
              <w:t xml:space="preserve">toxinA for treatment of chronic sialorrhea </w:t>
            </w:r>
            <w:r>
              <w:t xml:space="preserve">(as </w:t>
            </w:r>
            <w:r w:rsidR="00F46757">
              <w:t>to be</w:t>
            </w:r>
            <w:r w:rsidR="00D62109">
              <w:t xml:space="preserve"> further</w:t>
            </w:r>
            <w:r w:rsidR="00F46757">
              <w:t xml:space="preserve"> considered</w:t>
            </w:r>
            <w:r>
              <w:t xml:space="preserve"> by the PBAC).</w:t>
            </w:r>
          </w:p>
        </w:tc>
      </w:tr>
    </w:tbl>
    <w:p w14:paraId="435C8D78" w14:textId="77777777" w:rsidR="00A770A8" w:rsidRPr="00D155C0" w:rsidRDefault="00A770A8" w:rsidP="00A770A8">
      <w:pPr>
        <w:pStyle w:val="Heading2"/>
        <w:numPr>
          <w:ilvl w:val="0"/>
          <w:numId w:val="28"/>
        </w:numPr>
        <w:ind w:hanging="720"/>
      </w:pPr>
      <w:r w:rsidRPr="003A793E">
        <w:lastRenderedPageBreak/>
        <w:t>Summary of consideration and rationale for MSAC’s advice</w:t>
      </w:r>
    </w:p>
    <w:bookmarkEnd w:id="7"/>
    <w:p w14:paraId="7AAC8E62" w14:textId="6F21E6BA" w:rsidR="00207E3F" w:rsidRDefault="00207E3F" w:rsidP="00207E3F">
      <w:r>
        <w:t xml:space="preserve">MSAC noted that this co-dependent application from </w:t>
      </w:r>
      <w:r w:rsidRPr="004B1855">
        <w:t>Merz Australia</w:t>
      </w:r>
      <w:r>
        <w:t xml:space="preserve"> was for the MBS listing of the injection of i</w:t>
      </w:r>
      <w:r w:rsidRPr="00FB6076">
        <w:t>ncobotulinumtoxinA</w:t>
      </w:r>
      <w:r>
        <w:t xml:space="preserve"> (</w:t>
      </w:r>
      <w:r w:rsidRPr="00DC6344">
        <w:t>Xeomin®</w:t>
      </w:r>
      <w:r>
        <w:t xml:space="preserve">) to treat patients with chronic </w:t>
      </w:r>
      <w:r w:rsidRPr="00F60EF1">
        <w:t>sialorrhea</w:t>
      </w:r>
      <w:r>
        <w:t>. MSAC noted that it has not considered this application previously, but it has considered other injection services</w:t>
      </w:r>
      <w:r w:rsidR="00D1521F">
        <w:t xml:space="preserve"> </w:t>
      </w:r>
      <w:r w:rsidR="00381F0B">
        <w:t>using</w:t>
      </w:r>
      <w:r w:rsidR="00D1521F">
        <w:t xml:space="preserve"> the same treatment</w:t>
      </w:r>
      <w:r>
        <w:t xml:space="preserve"> (</w:t>
      </w:r>
      <w:hyperlink r:id="rId12" w:history="1">
        <w:r w:rsidRPr="00610913">
          <w:rPr>
            <w:rStyle w:val="Hyperlink"/>
          </w:rPr>
          <w:t>Application 1379</w:t>
        </w:r>
      </w:hyperlink>
      <w:r w:rsidRPr="00785FCA">
        <w:t xml:space="preserve"> – </w:t>
      </w:r>
      <w:r>
        <w:t>I</w:t>
      </w:r>
      <w:r w:rsidRPr="00785FCA">
        <w:t xml:space="preserve">njection of </w:t>
      </w:r>
      <w:r>
        <w:t>i</w:t>
      </w:r>
      <w:r w:rsidRPr="00785FCA">
        <w:t xml:space="preserve">ncobotulinumtoxinA for blepharospasm, cervical dystonia </w:t>
      </w:r>
      <w:r>
        <w:t>[</w:t>
      </w:r>
      <w:r w:rsidRPr="00785FCA">
        <w:t>spasmodic torticollis</w:t>
      </w:r>
      <w:r>
        <w:t>]</w:t>
      </w:r>
      <w:r w:rsidRPr="00785FCA">
        <w:t xml:space="preserve"> and post-stroke spasticity of the upper limb</w:t>
      </w:r>
      <w:r>
        <w:t>,</w:t>
      </w:r>
      <w:r w:rsidRPr="00785FCA">
        <w:t xml:space="preserve"> currently listed on the MBS alongside Botox® and Dysport® </w:t>
      </w:r>
      <w:r>
        <w:t>[</w:t>
      </w:r>
      <w:r w:rsidRPr="00785FCA">
        <w:t xml:space="preserve">MBS </w:t>
      </w:r>
      <w:r>
        <w:t>i</w:t>
      </w:r>
      <w:r w:rsidRPr="00785FCA">
        <w:t xml:space="preserve">tems: </w:t>
      </w:r>
      <w:hyperlink r:id="rId13" w:history="1">
        <w:r w:rsidRPr="00054817">
          <w:rPr>
            <w:rStyle w:val="Hyperlink"/>
          </w:rPr>
          <w:t>18353</w:t>
        </w:r>
      </w:hyperlink>
      <w:r w:rsidRPr="00785FCA">
        <w:t xml:space="preserve">, </w:t>
      </w:r>
      <w:hyperlink r:id="rId14" w:history="1">
        <w:r w:rsidRPr="004910F1">
          <w:rPr>
            <w:rStyle w:val="Hyperlink"/>
          </w:rPr>
          <w:t>18365</w:t>
        </w:r>
      </w:hyperlink>
      <w:r w:rsidRPr="00785FCA">
        <w:t xml:space="preserve">, </w:t>
      </w:r>
      <w:hyperlink r:id="rId15" w:history="1">
        <w:r w:rsidRPr="004910F1">
          <w:rPr>
            <w:rStyle w:val="Hyperlink"/>
          </w:rPr>
          <w:t>18369</w:t>
        </w:r>
      </w:hyperlink>
      <w:r w:rsidRPr="00785FCA">
        <w:t xml:space="preserve"> and </w:t>
      </w:r>
      <w:hyperlink r:id="rId16" w:history="1">
        <w:r w:rsidRPr="003D7A96">
          <w:rPr>
            <w:rStyle w:val="Hyperlink"/>
          </w:rPr>
          <w:t>18374</w:t>
        </w:r>
      </w:hyperlink>
      <w:r>
        <w:t>]).</w:t>
      </w:r>
    </w:p>
    <w:p w14:paraId="48DF395E" w14:textId="37B8A878" w:rsidR="00207E3F" w:rsidRDefault="00207E3F" w:rsidP="00207E3F">
      <w:r>
        <w:t xml:space="preserve">MSAC noted that, in November 2024, the Pharmaceutical Benefits Advisory Committee (PBAC) </w:t>
      </w:r>
      <w:r w:rsidRPr="00DC6344">
        <w:t xml:space="preserve">deferred a decision to list </w:t>
      </w:r>
      <w:r w:rsidR="001E6A37">
        <w:t>incobotulinumtoxinA</w:t>
      </w:r>
      <w:r w:rsidRPr="00DC6344">
        <w:t xml:space="preserve"> for chronic sialorrhea </w:t>
      </w:r>
      <w:r>
        <w:t xml:space="preserve">on the Pharmaceutical Benefits Scheme (PBS) </w:t>
      </w:r>
      <w:r w:rsidRPr="00DC6344">
        <w:t xml:space="preserve">due to </w:t>
      </w:r>
      <w:r w:rsidR="005D5285">
        <w:t xml:space="preserve">requirement </w:t>
      </w:r>
      <w:r w:rsidR="002B701B">
        <w:t>of a</w:t>
      </w:r>
      <w:r w:rsidR="00FD01EF">
        <w:t xml:space="preserve"> MSAC application </w:t>
      </w:r>
      <w:r w:rsidR="000F5344">
        <w:t>for a</w:t>
      </w:r>
      <w:r w:rsidR="002B701B">
        <w:t>n</w:t>
      </w:r>
      <w:r w:rsidR="00EB5BCE">
        <w:t xml:space="preserve"> administration</w:t>
      </w:r>
      <w:r w:rsidRPr="00DC6344">
        <w:t xml:space="preserve"> MBS </w:t>
      </w:r>
      <w:r w:rsidR="00EB5BCE">
        <w:t>item</w:t>
      </w:r>
      <w:r w:rsidRPr="00DC6344">
        <w:t xml:space="preserve"> and a request for a price reduction to address uncertainty in the cost-effectiveness model</w:t>
      </w:r>
      <w:r>
        <w:t xml:space="preserve">. The </w:t>
      </w:r>
      <w:r w:rsidRPr="001A2A1D">
        <w:t>PBAC considered that the claim of inferior comparative safety was reasonable and</w:t>
      </w:r>
      <w:r>
        <w:t xml:space="preserve"> that</w:t>
      </w:r>
      <w:r w:rsidRPr="001A2A1D">
        <w:t xml:space="preserve">, overall, the clinical evidence supported the claim of superior comparative effectiveness of </w:t>
      </w:r>
      <w:r w:rsidR="00F617C6">
        <w:t>incobotulinumtoxinA</w:t>
      </w:r>
      <w:r w:rsidRPr="001A2A1D">
        <w:t xml:space="preserve"> over placebo</w:t>
      </w:r>
      <w:r>
        <w:t xml:space="preserve">. As a result, this was a streamlined </w:t>
      </w:r>
      <w:r w:rsidR="00042EC1">
        <w:t xml:space="preserve">MSAC </w:t>
      </w:r>
      <w:r>
        <w:t>application that bypassed PASC and ESC.</w:t>
      </w:r>
    </w:p>
    <w:p w14:paraId="36A8970D" w14:textId="77777777" w:rsidR="00207E3F" w:rsidRDefault="00207E3F" w:rsidP="00207E3F">
      <w:pPr>
        <w:rPr>
          <w:rFonts w:ascii="Arial" w:hAnsi="Arial" w:cs="Arial"/>
        </w:rPr>
      </w:pPr>
      <w:r>
        <w:t>MSAC noted that sialorrhea (hypersalivation or excessive drooling) is a condition characterised by the leaking of saliva from the lips and is caused by neurological conditions or disorders. Chronic sialorrhea can result in a significant reduction in quality of life through a degradation in physical and/or mental health. It can also result in d</w:t>
      </w:r>
      <w:r w:rsidRPr="005D4BC5">
        <w:t xml:space="preserve">ifficulty </w:t>
      </w:r>
      <w:r>
        <w:t>s</w:t>
      </w:r>
      <w:r w:rsidRPr="005D4BC5">
        <w:t>peaking</w:t>
      </w:r>
      <w:r>
        <w:t xml:space="preserve"> and e</w:t>
      </w:r>
      <w:r w:rsidRPr="005D4BC5">
        <w:t>ating</w:t>
      </w:r>
      <w:r>
        <w:t>, m</w:t>
      </w:r>
      <w:r w:rsidRPr="005D4BC5">
        <w:t xml:space="preserve">outh </w:t>
      </w:r>
      <w:r>
        <w:t>i</w:t>
      </w:r>
      <w:r w:rsidRPr="005D4BC5">
        <w:t xml:space="preserve">rritations </w:t>
      </w:r>
      <w:r>
        <w:t>and l</w:t>
      </w:r>
      <w:r w:rsidRPr="005D4BC5">
        <w:t xml:space="preserve">ung </w:t>
      </w:r>
      <w:r>
        <w:t>i</w:t>
      </w:r>
      <w:r w:rsidRPr="005D4BC5">
        <w:t>nfections</w:t>
      </w:r>
      <w:r>
        <w:t xml:space="preserve">. This application focuses on chronic sialorrhea caused by neurological conditions such as Parkinson's disease, cerebral palsy and stroke in children </w:t>
      </w:r>
      <w:r w:rsidRPr="00851CAC">
        <w:rPr>
          <w:u w:val="single"/>
        </w:rPr>
        <w:t>&gt;</w:t>
      </w:r>
      <w:r>
        <w:t>2 years old and in adults.</w:t>
      </w:r>
    </w:p>
    <w:p w14:paraId="7CB7A7A2" w14:textId="4463C336" w:rsidR="00207E3F" w:rsidRPr="00187136" w:rsidRDefault="00207E3F" w:rsidP="00207E3F">
      <w:r>
        <w:t xml:space="preserve">MSAC noted the consumer input to the PBAC from healthcare professionals and </w:t>
      </w:r>
      <w:r w:rsidRPr="005F1A93">
        <w:t xml:space="preserve">Motor Neurone Disease </w:t>
      </w:r>
      <w:r>
        <w:t xml:space="preserve">Australia, which was supportive. Feedback noted that chronic sialorrhea can be a debilitating condition and that </w:t>
      </w:r>
      <w:r w:rsidR="00DA6A1D">
        <w:t>incobotulinumtoxinA</w:t>
      </w:r>
      <w:r>
        <w:t xml:space="preserve"> is associated with a significant improvement to the quality of life. The feedback considered the adverse side effects, including flu-like symptoms, excessive dry mouth and swallowing difficulties, to be manageable. Feedback also included that cost was a barrier to treatment and that </w:t>
      </w:r>
      <w:r w:rsidR="003E11A7">
        <w:t>the</w:t>
      </w:r>
      <w:r>
        <w:t xml:space="preserve"> PBS listing would improve accessibility.</w:t>
      </w:r>
    </w:p>
    <w:p w14:paraId="1B72D6E8" w14:textId="253B90EB" w:rsidR="00207E3F" w:rsidRPr="008F24F3" w:rsidRDefault="00207E3F" w:rsidP="00207E3F">
      <w:r>
        <w:t xml:space="preserve">MSAC noted that the PBAC considered the claim of inferior safety of </w:t>
      </w:r>
      <w:r w:rsidR="00B20593">
        <w:t>incobotulinumtoxinA</w:t>
      </w:r>
      <w:r>
        <w:t xml:space="preserve"> versus placebo to be reasonable (</w:t>
      </w:r>
      <w:hyperlink r:id="rId17" w:history="1">
        <w:r>
          <w:rPr>
            <w:rStyle w:val="Hyperlink"/>
          </w:rPr>
          <w:t>PBAC Public Summary Document</w:t>
        </w:r>
      </w:hyperlink>
      <w:r>
        <w:t xml:space="preserve">, November 2024). </w:t>
      </w:r>
    </w:p>
    <w:p w14:paraId="2AEF68F7" w14:textId="55A5815C" w:rsidR="007A098A" w:rsidRDefault="00207E3F" w:rsidP="00207E3F">
      <w:r>
        <w:t xml:space="preserve">MSAC noted that the PBAC reviewed a cost-utility analysis, which presented a stepped economic evaluation based on the SIAXI and SIPEXI trials that compared </w:t>
      </w:r>
      <w:r w:rsidR="00385F0F">
        <w:t>incobtulinumtoxinA</w:t>
      </w:r>
      <w:r>
        <w:t xml:space="preserve"> with standard care. MBS costs were included as part of the total treatment cost for both adult and paediatric patients. The incremental cost-effectiveness ratios (ICERs) were </w:t>
      </w:r>
      <w:r w:rsidRPr="00DC7450">
        <w:t>$</w:t>
      </w:r>
      <w:r w:rsidR="00CB7273">
        <w:rPr>
          <w:rFonts w:eastAsia="Calibri" w:cs="Arial"/>
        </w:rPr>
        <w:t>25,000 to &lt; $35,000</w:t>
      </w:r>
      <w:r w:rsidRPr="00DC7450">
        <w:t xml:space="preserve"> per </w:t>
      </w:r>
      <w:r>
        <w:t>quality-adjusted life year (</w:t>
      </w:r>
      <w:r w:rsidRPr="00DC7450">
        <w:t>QALY</w:t>
      </w:r>
      <w:r>
        <w:t>)</w:t>
      </w:r>
      <w:r w:rsidRPr="00DC7450">
        <w:t xml:space="preserve"> gained for adults and $</w:t>
      </w:r>
      <w:r w:rsidR="00CB7273">
        <w:t>35,000 to &lt; $45,000</w:t>
      </w:r>
      <w:r w:rsidRPr="00DC7450">
        <w:t xml:space="preserve"> per QALY gained for children and adolescents</w:t>
      </w:r>
      <w:r w:rsidR="007A098A">
        <w:t xml:space="preserve">. </w:t>
      </w:r>
      <w:r w:rsidR="007A098A" w:rsidRPr="007A098A">
        <w:t>The PBAC considered that the ICER values presented for the base case of the submission were acceptable</w:t>
      </w:r>
      <w:r w:rsidR="007A098A">
        <w:t xml:space="preserve"> but </w:t>
      </w:r>
      <w:r w:rsidR="007150FD" w:rsidRPr="007150FD">
        <w:t xml:space="preserve">PBAC advised that for incobotulinumtoxinA to be </w:t>
      </w:r>
      <w:r w:rsidR="007150FD" w:rsidRPr="007150FD">
        <w:lastRenderedPageBreak/>
        <w:t>considered cost-effective the models should (i) incorporate a 2-year time horizon, and (ii) a price reduction so that the resultant ICERs do not exceed the base case values presented in the submission.</w:t>
      </w:r>
    </w:p>
    <w:p w14:paraId="05964C86" w14:textId="1C9D0215" w:rsidR="00207E3F" w:rsidRDefault="00207E3F" w:rsidP="00207E3F">
      <w:r>
        <w:t xml:space="preserve">MSAC noted that the proposed MBS fee </w:t>
      </w:r>
      <w:r w:rsidR="00E74854">
        <w:t>was</w:t>
      </w:r>
      <w:r>
        <w:t xml:space="preserve"> $142.25 for the injection administration for both the paediatric and adult populations. This fee is equivalent to MBS items </w:t>
      </w:r>
      <w:hyperlink r:id="rId18">
        <w:r w:rsidRPr="01CC3F84">
          <w:rPr>
            <w:rStyle w:val="Hyperlink"/>
          </w:rPr>
          <w:t>18372</w:t>
        </w:r>
      </w:hyperlink>
      <w:r>
        <w:t xml:space="preserve"> (paediatric) and </w:t>
      </w:r>
      <w:hyperlink r:id="rId19">
        <w:r w:rsidRPr="01CC3F84">
          <w:rPr>
            <w:rStyle w:val="Hyperlink"/>
          </w:rPr>
          <w:t>18374</w:t>
        </w:r>
      </w:hyperlink>
      <w:r>
        <w:t xml:space="preserve"> (adult), which are for the injection of Botox</w:t>
      </w:r>
      <w:r w:rsidR="05A700BB">
        <w:t>®</w:t>
      </w:r>
      <w:r w:rsidR="0D6A573D">
        <w:t xml:space="preserve"> </w:t>
      </w:r>
      <w:r w:rsidR="642C974D">
        <w:t>(</w:t>
      </w:r>
      <w:r w:rsidR="003D6912">
        <w:t xml:space="preserve">18372), </w:t>
      </w:r>
      <w:r w:rsidR="00F67C08">
        <w:t>Dysport® and IncobotulinumtoxinA (18374)</w:t>
      </w:r>
      <w:r>
        <w:t xml:space="preserve"> to treat bilateral blepharospasm. Clinical opinion was that the administration costs for </w:t>
      </w:r>
      <w:r w:rsidR="005C55AD">
        <w:t>those</w:t>
      </w:r>
      <w:r>
        <w:t xml:space="preserve"> existing</w:t>
      </w:r>
      <w:r w:rsidR="00A52BBB">
        <w:t xml:space="preserve"> items</w:t>
      </w:r>
      <w:r>
        <w:t xml:space="preserve"> and proposed </w:t>
      </w:r>
      <w:r w:rsidR="00FA12D5">
        <w:t>incobotulinumtoxinA</w:t>
      </w:r>
      <w:r>
        <w:t xml:space="preserve"> treatments should be identical, to which MSAC agreed. The proposed </w:t>
      </w:r>
      <w:r w:rsidR="00FA12D5">
        <w:t>incobotulinumtoxinA</w:t>
      </w:r>
      <w:r>
        <w:t xml:space="preserve"> treatment would also require access to a specialist consultation (MBS item 116, fee of $87.30), with some patients also requiring an ultrasound- (US-) assisted injection (MBS item 55848, fee of $153.20</w:t>
      </w:r>
      <w:r w:rsidRPr="01CC3F84">
        <w:rPr>
          <w:rFonts w:ascii="Arial" w:hAnsi="Arial" w:cs="Arial"/>
        </w:rPr>
        <w:t xml:space="preserve">). </w:t>
      </w:r>
      <w:r>
        <w:t>According to the SIAXI and SIPEXI trials, 55% of adult patients and 100% of paediatric patients will require a US-guided injection.</w:t>
      </w:r>
    </w:p>
    <w:p w14:paraId="7202686C" w14:textId="77777777" w:rsidR="00207E3F" w:rsidRDefault="00207E3F" w:rsidP="00207E3F">
      <w:r>
        <w:t>MSAC queried the rationale for 2 MBS listings (one for adults and one for paediatric patients) with the same fee, and advised that a single MBS listing for patients ≥2 years old would be appropriate.</w:t>
      </w:r>
    </w:p>
    <w:p w14:paraId="616CFCD4" w14:textId="6940FD5D" w:rsidR="00207E3F" w:rsidRDefault="00207E3F" w:rsidP="00207E3F">
      <w:r>
        <w:t xml:space="preserve">MSAC noted that the </w:t>
      </w:r>
      <w:r w:rsidR="00394FB9">
        <w:t xml:space="preserve">revised </w:t>
      </w:r>
      <w:r>
        <w:t xml:space="preserve">financial impact, including to the MBS, </w:t>
      </w:r>
      <w:r w:rsidR="00434F85">
        <w:t>that on balance</w:t>
      </w:r>
      <w:r>
        <w:t xml:space="preserve"> the utilisation estimates were </w:t>
      </w:r>
      <w:r w:rsidR="00650130">
        <w:t>reasonable to</w:t>
      </w:r>
      <w:r>
        <w:t xml:space="preserve"> the PBAC. The </w:t>
      </w:r>
      <w:r w:rsidR="00423F7A">
        <w:t>applicant prov</w:t>
      </w:r>
      <w:r w:rsidR="00127E85">
        <w:t xml:space="preserve">ided additional further calculations in their pre-MSAC response showing </w:t>
      </w:r>
      <w:r>
        <w:t>net cost to the MBS (assuming half of all patients require general anaesthesia (GA), and basing US use on the SIAXI and SIPEXI trials) was $</w:t>
      </w:r>
      <w:r w:rsidR="003E304F">
        <w:t>0</w:t>
      </w:r>
      <w:r w:rsidR="00B170C2">
        <w:t xml:space="preserve"> to &lt; $10 million</w:t>
      </w:r>
      <w:r>
        <w:t xml:space="preserve"> in year 1 and $</w:t>
      </w:r>
      <w:r w:rsidR="00B170C2">
        <w:t>0 to &lt; $10 million</w:t>
      </w:r>
      <w:r>
        <w:t xml:space="preserve"> in year 6 at the 85% rebate. MSAC considered it appropriate to use existing GA MBS items and that no new items would be required.</w:t>
      </w:r>
    </w:p>
    <w:p w14:paraId="2D2C4C20" w14:textId="77777777" w:rsidR="00207E3F" w:rsidRDefault="00207E3F" w:rsidP="00207E3F">
      <w:r>
        <w:t>MSAC considered that the MBS impact varies depending on the:</w:t>
      </w:r>
    </w:p>
    <w:p w14:paraId="5020DC5F" w14:textId="55357D3E" w:rsidR="00811BC8" w:rsidRPr="00A05E31" w:rsidRDefault="00207E3F" w:rsidP="4ED731F0">
      <w:pPr>
        <w:pStyle w:val="Bullet"/>
        <w:spacing w:before="0"/>
        <w:rPr>
          <w:rFonts w:ascii="Franklin Gothic Book" w:hAnsi="Franklin Gothic Book"/>
        </w:rPr>
      </w:pPr>
      <w:r w:rsidRPr="01CC3F84">
        <w:rPr>
          <w:rFonts w:ascii="Franklin Gothic Book" w:hAnsi="Franklin Gothic Book"/>
        </w:rPr>
        <w:t>setting, such as in hospital, a ‘day centre’ or clinic room (that is, if it is an A-, B- or C-type procedure)</w:t>
      </w:r>
    </w:p>
    <w:p w14:paraId="6BAA8946" w14:textId="77777777" w:rsidR="00207E3F" w:rsidRPr="00A05E31" w:rsidRDefault="00207E3F" w:rsidP="004D286C">
      <w:pPr>
        <w:pStyle w:val="Bullet"/>
        <w:spacing w:before="0"/>
        <w:rPr>
          <w:rFonts w:ascii="Franklin Gothic Book" w:hAnsi="Franklin Gothic Book"/>
        </w:rPr>
      </w:pPr>
      <w:r w:rsidRPr="00A05E31">
        <w:rPr>
          <w:rFonts w:ascii="Franklin Gothic Book" w:hAnsi="Franklin Gothic Book"/>
        </w:rPr>
        <w:t>use of US</w:t>
      </w:r>
    </w:p>
    <w:p w14:paraId="086143E9" w14:textId="77777777" w:rsidR="00207E3F" w:rsidRPr="00A05E31" w:rsidRDefault="00207E3F" w:rsidP="4ED731F0">
      <w:pPr>
        <w:pStyle w:val="Bullet"/>
        <w:spacing w:before="0"/>
        <w:rPr>
          <w:rFonts w:ascii="Franklin Gothic Book" w:hAnsi="Franklin Gothic Book"/>
        </w:rPr>
      </w:pPr>
      <w:r w:rsidRPr="01CC3F84">
        <w:rPr>
          <w:rFonts w:ascii="Franklin Gothic Book" w:hAnsi="Franklin Gothic Book"/>
        </w:rPr>
        <w:t>use of GA, and therefore the need for an anaesthetist (and pre-anaesthesia consultation and anaesthetic management).</w:t>
      </w:r>
    </w:p>
    <w:p w14:paraId="1676F054" w14:textId="692F34BA" w:rsidR="00207E3F" w:rsidRDefault="00207E3F" w:rsidP="00207E3F">
      <w:r>
        <w:t xml:space="preserve">MSAC considered the proportion of patients requiring US and GA to be uncertain among paediatric and adult patients. MSAC noted </w:t>
      </w:r>
      <w:r w:rsidR="00BE2298">
        <w:t xml:space="preserve">from </w:t>
      </w:r>
      <w:r w:rsidR="00177B31">
        <w:t xml:space="preserve">the pre-MSAC response </w:t>
      </w:r>
      <w:r>
        <w:t xml:space="preserve">that in the </w:t>
      </w:r>
      <w:r w:rsidRPr="00681028">
        <w:t xml:space="preserve">paediatric </w:t>
      </w:r>
      <w:r>
        <w:t xml:space="preserve">SIPEXI </w:t>
      </w:r>
      <w:r w:rsidRPr="00681028">
        <w:t>trial</w:t>
      </w:r>
      <w:r>
        <w:t>,</w:t>
      </w:r>
      <w:r w:rsidRPr="00681028">
        <w:t xml:space="preserve"> 90% of participants received some form of </w:t>
      </w:r>
      <w:r>
        <w:t xml:space="preserve">anaesthetic </w:t>
      </w:r>
      <w:r w:rsidRPr="00681028">
        <w:t>intervention throughout</w:t>
      </w:r>
      <w:r>
        <w:t>,</w:t>
      </w:r>
      <w:r w:rsidRPr="00681028">
        <w:t xml:space="preserve"> </w:t>
      </w:r>
      <w:r>
        <w:t xml:space="preserve">and about </w:t>
      </w:r>
      <w:r w:rsidRPr="00681028">
        <w:t>15% required concomitant GA</w:t>
      </w:r>
      <w:r>
        <w:t xml:space="preserve">. MSAC also noted that </w:t>
      </w:r>
      <w:r w:rsidR="00C66478">
        <w:t>incobotulinumtoxinA</w:t>
      </w:r>
      <w:r>
        <w:t xml:space="preserve"> would likely be administered in different settings and </w:t>
      </w:r>
      <w:r w:rsidR="00DE26BC">
        <w:t xml:space="preserve">may receive different level of </w:t>
      </w:r>
      <w:r>
        <w:t>MBS</w:t>
      </w:r>
      <w:r w:rsidR="00DE26BC">
        <w:t xml:space="preserve"> reimbursement</w:t>
      </w:r>
      <w:r>
        <w:t xml:space="preserve">. </w:t>
      </w:r>
    </w:p>
    <w:p w14:paraId="5F79304D" w14:textId="269017E8" w:rsidR="00207E3F" w:rsidRPr="00483AD5" w:rsidRDefault="00207E3F" w:rsidP="00207E3F">
      <w:r>
        <w:t xml:space="preserve">MSAC noted the Department’s query whether the MBS listing should be agnostic, based on the </w:t>
      </w:r>
      <w:r w:rsidRPr="00D94CDD">
        <w:t xml:space="preserve">MBS Review Taskforce </w:t>
      </w:r>
      <w:hyperlink r:id="rId20" w:history="1">
        <w:r w:rsidRPr="00F94D5F">
          <w:rPr>
            <w:rStyle w:val="Hyperlink"/>
          </w:rPr>
          <w:t>Final report on the review of neurosurgery and neurology MBS items</w:t>
        </w:r>
      </w:hyperlink>
      <w:r>
        <w:t xml:space="preserve"> (2018) that stated that Botox® and Dysport® could be used to treat </w:t>
      </w:r>
      <w:r w:rsidRPr="00970856">
        <w:t>chronic sialorrhea</w:t>
      </w:r>
      <w:r>
        <w:t xml:space="preserve">, not just </w:t>
      </w:r>
      <w:r w:rsidR="00B10A1D">
        <w:t>incobotulinumtoxinA</w:t>
      </w:r>
      <w:r>
        <w:t xml:space="preserve">. However, MSAC considered that </w:t>
      </w:r>
      <w:r w:rsidR="00C71DED">
        <w:t>different botulinum toxin products</w:t>
      </w:r>
      <w:r>
        <w:t xml:space="preserve"> are not</w:t>
      </w:r>
      <w:r w:rsidR="00115D53">
        <w:t xml:space="preserve"> </w:t>
      </w:r>
      <w:r w:rsidR="00D061A4">
        <w:t>biosimilar</w:t>
      </w:r>
      <w:r>
        <w:t xml:space="preserve"> </w:t>
      </w:r>
      <w:r w:rsidR="002D4321">
        <w:t xml:space="preserve">may </w:t>
      </w:r>
      <w:r>
        <w:t xml:space="preserve">require separate </w:t>
      </w:r>
      <w:r w:rsidR="00C71DED">
        <w:t xml:space="preserve">PBAC submissions </w:t>
      </w:r>
      <w:r>
        <w:t xml:space="preserve">for </w:t>
      </w:r>
      <w:r w:rsidR="00C71DED">
        <w:t xml:space="preserve">PBS </w:t>
      </w:r>
      <w:r>
        <w:t>listing</w:t>
      </w:r>
      <w:r w:rsidR="00C71DED">
        <w:t xml:space="preserve">. However, MSAC considered it </w:t>
      </w:r>
      <w:r w:rsidR="00B27C7A">
        <w:t xml:space="preserve">appropriate </w:t>
      </w:r>
      <w:r>
        <w:t xml:space="preserve">make the MBS item </w:t>
      </w:r>
      <w:r w:rsidR="00F32B21">
        <w:t xml:space="preserve">for administration </w:t>
      </w:r>
      <w:r>
        <w:t>agnostic</w:t>
      </w:r>
      <w:r w:rsidR="00B27C7A">
        <w:t xml:space="preserve"> to the type of </w:t>
      </w:r>
      <w:r w:rsidR="00BC6079">
        <w:t xml:space="preserve">PBS-listed </w:t>
      </w:r>
      <w:r w:rsidR="00B27C7A">
        <w:t>botulinum toxin product administered</w:t>
      </w:r>
      <w:r>
        <w:t xml:space="preserve">. MSAC noted that the </w:t>
      </w:r>
      <w:r w:rsidRPr="00A1304C">
        <w:t xml:space="preserve">PBAC advised </w:t>
      </w:r>
      <w:r>
        <w:t>restricting</w:t>
      </w:r>
      <w:r w:rsidRPr="00A1304C">
        <w:t xml:space="preserve"> the service to patients </w:t>
      </w:r>
      <w:r>
        <w:t>with</w:t>
      </w:r>
      <w:r w:rsidRPr="00A1304C">
        <w:t xml:space="preserve"> severe chronic sialorrhea</w:t>
      </w:r>
      <w:r>
        <w:t>, which would be determin</w:t>
      </w:r>
      <w:r w:rsidRPr="00A1304C">
        <w:t xml:space="preserve">ed by </w:t>
      </w:r>
      <w:r>
        <w:t xml:space="preserve">using the </w:t>
      </w:r>
      <w:r w:rsidRPr="0074224B">
        <w:t xml:space="preserve">Drooling Severity and Frequency Scale </w:t>
      </w:r>
      <w:r>
        <w:t>(</w:t>
      </w:r>
      <w:r w:rsidRPr="00A1304C">
        <w:t>DSFS</w:t>
      </w:r>
      <w:r>
        <w:t>)</w:t>
      </w:r>
      <w:r w:rsidR="0023268F">
        <w:t xml:space="preserve"> score of at least six</w:t>
      </w:r>
      <w:r w:rsidR="00B03FBA">
        <w:t xml:space="preserve"> and </w:t>
      </w:r>
      <w:r w:rsidR="00E7270A">
        <w:t xml:space="preserve">one point improvement is required to continue </w:t>
      </w:r>
      <w:r w:rsidR="00103330">
        <w:t>treatment on the PBS</w:t>
      </w:r>
      <w:r w:rsidRPr="00A1304C">
        <w:t xml:space="preserve">. </w:t>
      </w:r>
    </w:p>
    <w:p w14:paraId="50AC02F8" w14:textId="480EE435" w:rsidR="00A770A8" w:rsidRPr="00207E3F" w:rsidRDefault="00207E3F" w:rsidP="00A770A8">
      <w:r>
        <w:t xml:space="preserve">MSAC supported </w:t>
      </w:r>
      <w:r w:rsidR="00487C29">
        <w:t>creation of a new MBS item</w:t>
      </w:r>
      <w:r w:rsidR="3F144CF1">
        <w:t xml:space="preserve"> for</w:t>
      </w:r>
      <w:r w:rsidR="00487C29">
        <w:t xml:space="preserve"> </w:t>
      </w:r>
      <w:r>
        <w:t xml:space="preserve">the injection of incobotulinumtoxinA for patients with chronic sialorrhea, based on </w:t>
      </w:r>
      <w:r w:rsidR="00922299">
        <w:t>the codepen</w:t>
      </w:r>
      <w:r w:rsidR="007545EC">
        <w:t xml:space="preserve">dent </w:t>
      </w:r>
      <w:r w:rsidR="002A2DC6">
        <w:t xml:space="preserve">PBS </w:t>
      </w:r>
      <w:r w:rsidR="007545EC">
        <w:t>listing of</w:t>
      </w:r>
      <w:r>
        <w:t xml:space="preserve"> </w:t>
      </w:r>
      <w:r w:rsidR="00722466">
        <w:t>incobotulinumtoxinA</w:t>
      </w:r>
      <w:r>
        <w:t xml:space="preserve"> </w:t>
      </w:r>
      <w:r w:rsidR="007545EC">
        <w:t>for treatment of chronic sialorrhea</w:t>
      </w:r>
      <w:r w:rsidR="002A012A">
        <w:t>.</w:t>
      </w:r>
    </w:p>
    <w:p w14:paraId="6710B69D" w14:textId="3779A579" w:rsidR="00772829" w:rsidRPr="00CE28E3" w:rsidRDefault="00772829" w:rsidP="00A770A8">
      <w:pPr>
        <w:pStyle w:val="Heading2"/>
        <w:numPr>
          <w:ilvl w:val="0"/>
          <w:numId w:val="28"/>
        </w:numPr>
        <w:ind w:hanging="720"/>
      </w:pPr>
      <w:bookmarkStart w:id="9" w:name="_Toc69491416"/>
      <w:bookmarkEnd w:id="6"/>
      <w:bookmarkEnd w:id="8"/>
      <w:r w:rsidRPr="00CE28E3">
        <w:lastRenderedPageBreak/>
        <w:t>Background</w:t>
      </w:r>
      <w:bookmarkEnd w:id="9"/>
    </w:p>
    <w:p w14:paraId="41DD46EA" w14:textId="6B9D21A3" w:rsidR="00201CCE" w:rsidRDefault="00201CCE" w:rsidP="00201CCE">
      <w:pPr>
        <w:spacing w:line="276" w:lineRule="auto"/>
        <w:rPr>
          <w:rFonts w:cs="Segoe UI"/>
        </w:rPr>
      </w:pPr>
      <w:bookmarkStart w:id="10" w:name="ColumnTitle_Table1"/>
      <w:bookmarkStart w:id="11" w:name="_Hlk69734557"/>
      <w:bookmarkStart w:id="12" w:name="_Hlk68275617"/>
      <w:bookmarkEnd w:id="10"/>
      <w:r>
        <w:rPr>
          <w:rFonts w:cs="Segoe UI"/>
        </w:rPr>
        <w:t xml:space="preserve">In November 2024, </w:t>
      </w:r>
      <w:r w:rsidR="001643BE">
        <w:rPr>
          <w:rFonts w:cs="Segoe UI"/>
        </w:rPr>
        <w:t>t</w:t>
      </w:r>
      <w:r w:rsidR="00FB7044" w:rsidRPr="00FB7044">
        <w:rPr>
          <w:rFonts w:cs="Segoe UI"/>
        </w:rPr>
        <w:t>he PBAC deferred making a recommendation for the listing of incobotulinumtoxinA for the treatment of chronic sialorrhea due to neurological disorders. While the PBAC was of a mind to recommend incobotulinumtoxinA, the PBAC noted that an MSAC application for the administration of incobotulinumtoxinA for chronic sialorrhea was also required to ensure there would be access to the required MBS items.</w:t>
      </w:r>
    </w:p>
    <w:p w14:paraId="1066093C" w14:textId="70FCA14F" w:rsidR="00201CCE" w:rsidRDefault="00A45F02" w:rsidP="00F87E43">
      <w:pPr>
        <w:spacing w:before="0" w:line="276" w:lineRule="auto"/>
        <w:rPr>
          <w:highlight w:val="yellow"/>
        </w:rPr>
      </w:pPr>
      <w:r w:rsidRPr="00A45F02">
        <w:t>The PBAC considered that the evidence presented demonstrated an improvement in both the severity and frequency of sialorrhea compared with placebo.</w:t>
      </w:r>
      <w:r w:rsidR="00722987" w:rsidRPr="00722987">
        <w:t xml:space="preserve"> The PBAC considered that, on balance, the incobotulinumtoxinA utilisation estimates provided in the submission were reasonable.</w:t>
      </w:r>
    </w:p>
    <w:p w14:paraId="6BD1B2F4" w14:textId="0B3B24B9" w:rsidR="00AF6C6A" w:rsidRDefault="00AF6C6A" w:rsidP="00F87E43">
      <w:pPr>
        <w:spacing w:before="0" w:line="276" w:lineRule="auto"/>
      </w:pPr>
      <w:r w:rsidRPr="00BF32AA">
        <w:t>The</w:t>
      </w:r>
      <w:r>
        <w:t xml:space="preserve"> MSAC has not previously considered incobotulinumtoxinA injection for chronic sialorrhea. However, injection services for incobotulinumtoxinA in other clinical indications </w:t>
      </w:r>
      <w:r w:rsidR="00F61EB6">
        <w:t>had</w:t>
      </w:r>
      <w:r>
        <w:t xml:space="preserve"> been considered</w:t>
      </w:r>
      <w:r w:rsidR="00646861">
        <w:t>,</w:t>
      </w:r>
      <w:r>
        <w:t xml:space="preserve"> recommended by MSAC (Application </w:t>
      </w:r>
      <w:r w:rsidRPr="00D162D5">
        <w:t>1379 – IncobotulinumtoxinA, injection of, for blepharospasm, cervical dystonia (spasmodic torticollis) and post-stroke spasticity of the upper limb</w:t>
      </w:r>
      <w:r w:rsidR="00646861">
        <w:t>)</w:t>
      </w:r>
      <w:r>
        <w:t xml:space="preserve"> and are currently listed on the MBS alongside comparators Botox® and Dysport® (MBS Items: </w:t>
      </w:r>
      <w:hyperlink r:id="rId21" w:history="1">
        <w:r w:rsidRPr="004E6251">
          <w:rPr>
            <w:rStyle w:val="Hyperlink"/>
          </w:rPr>
          <w:t>18353</w:t>
        </w:r>
      </w:hyperlink>
      <w:r>
        <w:t xml:space="preserve">, </w:t>
      </w:r>
      <w:hyperlink r:id="rId22" w:history="1">
        <w:r w:rsidRPr="00E10490">
          <w:rPr>
            <w:rStyle w:val="Hyperlink"/>
          </w:rPr>
          <w:t>18365</w:t>
        </w:r>
      </w:hyperlink>
      <w:r>
        <w:t xml:space="preserve">, </w:t>
      </w:r>
      <w:hyperlink r:id="rId23" w:history="1">
        <w:r w:rsidRPr="00E10490">
          <w:rPr>
            <w:rStyle w:val="Hyperlink"/>
          </w:rPr>
          <w:t>18369</w:t>
        </w:r>
      </w:hyperlink>
      <w:r>
        <w:t xml:space="preserve">, and </w:t>
      </w:r>
      <w:hyperlink r:id="rId24" w:history="1">
        <w:r w:rsidRPr="00E10490">
          <w:rPr>
            <w:rStyle w:val="Hyperlink"/>
          </w:rPr>
          <w:t>18374</w:t>
        </w:r>
      </w:hyperlink>
      <w:r>
        <w:t xml:space="preserve">).  </w:t>
      </w:r>
    </w:p>
    <w:p w14:paraId="61EB6CFA" w14:textId="242B545F" w:rsidR="001C502B" w:rsidRDefault="001C502B" w:rsidP="00F87E43">
      <w:pPr>
        <w:spacing w:line="276" w:lineRule="auto"/>
        <w:rPr>
          <w:rFonts w:cs="Segoe UI"/>
        </w:rPr>
      </w:pPr>
      <w:r w:rsidRPr="006104A1">
        <w:rPr>
          <w:rFonts w:cs="Segoe UI"/>
        </w:rPr>
        <w:t>IncobotulinumtoxinA is the only botulinum toxin preparation that is TGA-indicated for the treatment of chronic sialorrhea</w:t>
      </w:r>
      <w:r w:rsidR="000F2130">
        <w:rPr>
          <w:rFonts w:cs="Segoe UI"/>
        </w:rPr>
        <w:t>.</w:t>
      </w:r>
      <w:r w:rsidR="00FB4DFA">
        <w:rPr>
          <w:rFonts w:cs="Segoe UI"/>
        </w:rPr>
        <w:t xml:space="preserve"> </w:t>
      </w:r>
    </w:p>
    <w:p w14:paraId="099A8D25" w14:textId="2D508A2B" w:rsidR="00AD54CD" w:rsidRDefault="00AD54CD" w:rsidP="00F87E43">
      <w:pPr>
        <w:spacing w:line="276" w:lineRule="auto"/>
        <w:rPr>
          <w:rFonts w:cs="Segoe UI"/>
        </w:rPr>
      </w:pPr>
      <w:r w:rsidRPr="01CC3F84">
        <w:rPr>
          <w:rFonts w:cs="Segoe UI"/>
        </w:rPr>
        <w:t xml:space="preserve">Injections </w:t>
      </w:r>
      <w:r w:rsidR="00930DEA" w:rsidRPr="01CC3F84">
        <w:rPr>
          <w:rFonts w:cs="Segoe UI"/>
        </w:rPr>
        <w:t xml:space="preserve">in this indication are recommended to be </w:t>
      </w:r>
      <w:r w:rsidRPr="01CC3F84">
        <w:rPr>
          <w:rFonts w:cs="Segoe UI"/>
        </w:rPr>
        <w:t xml:space="preserve">delivered </w:t>
      </w:r>
      <w:r w:rsidR="00287C44" w:rsidRPr="01CC3F84">
        <w:rPr>
          <w:rFonts w:cs="Segoe UI"/>
        </w:rPr>
        <w:t xml:space="preserve">less frequent than </w:t>
      </w:r>
      <w:r w:rsidRPr="01CC3F84">
        <w:rPr>
          <w:rFonts w:cs="Segoe UI"/>
        </w:rPr>
        <w:t xml:space="preserve">once every 16 weeks. </w:t>
      </w:r>
    </w:p>
    <w:p w14:paraId="2CC9F1AD" w14:textId="135A0418" w:rsidR="00FB4DFA" w:rsidRPr="006104A1" w:rsidRDefault="00FB4DFA" w:rsidP="00F87E43">
      <w:pPr>
        <w:spacing w:line="276" w:lineRule="auto"/>
        <w:rPr>
          <w:rFonts w:eastAsia="Segoe UI" w:cs="Segoe UI"/>
          <w:color w:val="000000"/>
        </w:rPr>
      </w:pPr>
      <w:r w:rsidRPr="006104A1">
        <w:rPr>
          <w:rFonts w:eastAsia="Segoe UI" w:cs="Segoe UI"/>
          <w:color w:val="000000"/>
        </w:rPr>
        <w:t xml:space="preserve">Neurologists, rehabilitation specialists, ENT surgeons, and plastic surgeons can provide the service to both adult and paediatric populations, in addition to geriatricians </w:t>
      </w:r>
      <w:r>
        <w:rPr>
          <w:rFonts w:eastAsia="Segoe UI" w:cs="Segoe UI"/>
          <w:color w:val="000000"/>
        </w:rPr>
        <w:t>for</w:t>
      </w:r>
      <w:r w:rsidRPr="006104A1">
        <w:rPr>
          <w:rFonts w:eastAsia="Segoe UI" w:cs="Segoe UI"/>
          <w:color w:val="000000"/>
        </w:rPr>
        <w:t xml:space="preserve"> the adult population, and paediatricians </w:t>
      </w:r>
      <w:r>
        <w:rPr>
          <w:rFonts w:eastAsia="Segoe UI" w:cs="Segoe UI"/>
          <w:color w:val="000000"/>
        </w:rPr>
        <w:t>for</w:t>
      </w:r>
      <w:r w:rsidRPr="006104A1">
        <w:rPr>
          <w:rFonts w:eastAsia="Segoe UI" w:cs="Segoe UI"/>
          <w:color w:val="000000"/>
        </w:rPr>
        <w:t xml:space="preserve"> the paediatric population. </w:t>
      </w:r>
    </w:p>
    <w:p w14:paraId="6F52500A" w14:textId="5EB8AA9E" w:rsidR="00772829" w:rsidRPr="00CE28E3" w:rsidRDefault="00772829" w:rsidP="00A770A8">
      <w:pPr>
        <w:pStyle w:val="Heading2"/>
        <w:numPr>
          <w:ilvl w:val="0"/>
          <w:numId w:val="28"/>
        </w:numPr>
        <w:ind w:hanging="720"/>
      </w:pPr>
      <w:bookmarkStart w:id="13" w:name="_Toc69491417"/>
      <w:bookmarkEnd w:id="11"/>
      <w:bookmarkEnd w:id="12"/>
      <w:r w:rsidRPr="00CE28E3">
        <w:t>Prerequisites to implementation of any funding advice</w:t>
      </w:r>
      <w:bookmarkEnd w:id="13"/>
    </w:p>
    <w:p w14:paraId="1ED23F56" w14:textId="2F387E89" w:rsidR="004A5277" w:rsidRDefault="008C6E91" w:rsidP="00F87E43">
      <w:pPr>
        <w:pStyle w:val="Instructionaltext"/>
        <w:spacing w:line="276" w:lineRule="auto"/>
        <w:rPr>
          <w:color w:val="000000" w:themeColor="text1"/>
        </w:rPr>
      </w:pPr>
      <w:r w:rsidRPr="00DA3791">
        <w:rPr>
          <w:rFonts w:cs="Segoe UI"/>
          <w:color w:val="auto"/>
        </w:rPr>
        <w:t>IncobotulinumtoxinA</w:t>
      </w:r>
      <w:r w:rsidR="00DD4E5A" w:rsidRPr="00DD4E5A">
        <w:rPr>
          <w:color w:val="000000" w:themeColor="text1"/>
        </w:rPr>
        <w:t xml:space="preserve"> was first registered on the Australian Register of Therapeutic Goods (ARTG) on the </w:t>
      </w:r>
      <w:r w:rsidR="008033C3" w:rsidRPr="00DD4E5A">
        <w:rPr>
          <w:color w:val="000000" w:themeColor="text1"/>
        </w:rPr>
        <w:t>21st of</w:t>
      </w:r>
      <w:r w:rsidR="00DD4E5A" w:rsidRPr="00DD4E5A">
        <w:rPr>
          <w:color w:val="000000" w:themeColor="text1"/>
        </w:rPr>
        <w:t xml:space="preserve"> March 2014. In October 2022 a request to extend the indication to include sialorrhea was submitted and was approved in November 2023.</w:t>
      </w:r>
      <w:r w:rsidR="00070B21">
        <w:rPr>
          <w:color w:val="000000" w:themeColor="text1"/>
        </w:rPr>
        <w:t xml:space="preserve"> </w:t>
      </w:r>
      <w:r w:rsidR="00DD4E5A" w:rsidRPr="00DD4E5A">
        <w:rPr>
          <w:color w:val="000000" w:themeColor="text1"/>
        </w:rPr>
        <w:t>It was approved for use in chronic sialorrhea in adults and children and adolescents (aged 2 years to 17 years)</w:t>
      </w:r>
      <w:r w:rsidR="008D49C9">
        <w:rPr>
          <w:color w:val="000000" w:themeColor="text1"/>
        </w:rPr>
        <w:t xml:space="preserve"> and has the </w:t>
      </w:r>
      <w:r w:rsidR="008D49C9" w:rsidRPr="00A21167">
        <w:rPr>
          <w:color w:val="000000" w:themeColor="text1"/>
        </w:rPr>
        <w:t>ARTG ID 205508</w:t>
      </w:r>
      <w:r w:rsidR="00070B21">
        <w:rPr>
          <w:color w:val="000000" w:themeColor="text1"/>
        </w:rPr>
        <w:t>.</w:t>
      </w:r>
    </w:p>
    <w:p w14:paraId="44C3B242" w14:textId="48A1043B" w:rsidR="00772829" w:rsidRPr="00CE28E3" w:rsidRDefault="00772829" w:rsidP="00A770A8">
      <w:pPr>
        <w:pStyle w:val="Heading2"/>
        <w:numPr>
          <w:ilvl w:val="0"/>
          <w:numId w:val="28"/>
        </w:numPr>
        <w:ind w:hanging="720"/>
      </w:pPr>
      <w:bookmarkStart w:id="14" w:name="_Toc69491418"/>
      <w:r w:rsidRPr="00CE28E3">
        <w:t>Proposal for public funding</w:t>
      </w:r>
      <w:bookmarkEnd w:id="14"/>
    </w:p>
    <w:p w14:paraId="14457913" w14:textId="12A66506" w:rsidR="006458A1" w:rsidRPr="00E45D8B" w:rsidRDefault="007F1CED" w:rsidP="00F87E43">
      <w:pPr>
        <w:pStyle w:val="Instructionaltext"/>
        <w:spacing w:line="276" w:lineRule="auto"/>
        <w:rPr>
          <w:color w:val="000000" w:themeColor="text1"/>
        </w:rPr>
      </w:pPr>
      <w:r w:rsidRPr="00E12517">
        <w:rPr>
          <w:color w:val="000000" w:themeColor="text1"/>
        </w:rPr>
        <w:t xml:space="preserve">The listing of two new MBS items </w:t>
      </w:r>
      <w:r w:rsidR="009923EE" w:rsidRPr="00AA7407">
        <w:rPr>
          <w:color w:val="000000" w:themeColor="text1"/>
        </w:rPr>
        <w:t>is</w:t>
      </w:r>
      <w:r w:rsidRPr="00E12517">
        <w:rPr>
          <w:color w:val="000000" w:themeColor="text1"/>
        </w:rPr>
        <w:t xml:space="preserve"> requested</w:t>
      </w:r>
      <w:r w:rsidR="009923EE" w:rsidRPr="00AA7407">
        <w:rPr>
          <w:color w:val="000000" w:themeColor="text1"/>
        </w:rPr>
        <w:t xml:space="preserve"> in order to provide injection services to adults</w:t>
      </w:r>
      <w:r w:rsidR="000D2178" w:rsidRPr="00E12517">
        <w:rPr>
          <w:color w:val="000000" w:themeColor="text1"/>
        </w:rPr>
        <w:t xml:space="preserve"> (</w:t>
      </w:r>
      <w:r w:rsidR="000D2178" w:rsidRPr="00E12517">
        <w:rPr>
          <w:color w:val="000000" w:themeColor="text1"/>
        </w:rPr>
        <w:fldChar w:fldCharType="begin"/>
      </w:r>
      <w:r w:rsidR="000D2178" w:rsidRPr="007F4514">
        <w:rPr>
          <w:color w:val="000000" w:themeColor="text1"/>
        </w:rPr>
        <w:instrText xml:space="preserve"> REF _Ref69481033 \h </w:instrText>
      </w:r>
      <w:r w:rsidR="00AA7407" w:rsidRPr="00AA7407">
        <w:rPr>
          <w:color w:val="000000" w:themeColor="text1"/>
        </w:rPr>
        <w:instrText xml:space="preserve"> \* MERGEFORMAT </w:instrText>
      </w:r>
      <w:r w:rsidR="000D2178" w:rsidRPr="00E12517">
        <w:rPr>
          <w:color w:val="000000" w:themeColor="text1"/>
        </w:rPr>
      </w:r>
      <w:r w:rsidR="000D2178" w:rsidRPr="00E12517">
        <w:rPr>
          <w:color w:val="000000" w:themeColor="text1"/>
        </w:rPr>
        <w:fldChar w:fldCharType="separate"/>
      </w:r>
      <w:r w:rsidR="00E12517" w:rsidRPr="00E12517">
        <w:rPr>
          <w:color w:val="000000" w:themeColor="text1"/>
        </w:rPr>
        <w:t>Table 1</w:t>
      </w:r>
      <w:r w:rsidR="000D2178" w:rsidRPr="00E12517">
        <w:rPr>
          <w:color w:val="000000" w:themeColor="text1"/>
        </w:rPr>
        <w:fldChar w:fldCharType="end"/>
      </w:r>
      <w:r w:rsidR="000D2178" w:rsidRPr="00E12517">
        <w:rPr>
          <w:color w:val="000000" w:themeColor="text1"/>
        </w:rPr>
        <w:t>)</w:t>
      </w:r>
      <w:r w:rsidR="009923EE" w:rsidRPr="00AA7407">
        <w:rPr>
          <w:color w:val="000000" w:themeColor="text1"/>
        </w:rPr>
        <w:t xml:space="preserve"> and </w:t>
      </w:r>
      <w:r w:rsidR="00AA7407" w:rsidRPr="00AA7407">
        <w:rPr>
          <w:color w:val="000000" w:themeColor="text1"/>
        </w:rPr>
        <w:t>paediatric</w:t>
      </w:r>
      <w:r w:rsidR="009923EE" w:rsidRPr="00AA7407">
        <w:rPr>
          <w:color w:val="000000" w:themeColor="text1"/>
        </w:rPr>
        <w:t xml:space="preserve"> patients</w:t>
      </w:r>
      <w:r w:rsidR="00AA7407" w:rsidRPr="00E45D8B">
        <w:rPr>
          <w:color w:val="000000" w:themeColor="text1"/>
        </w:rPr>
        <w:t xml:space="preserve"> (</w:t>
      </w:r>
      <w:r w:rsidR="00AA7407" w:rsidRPr="00E45D8B">
        <w:rPr>
          <w:color w:val="000000" w:themeColor="text1"/>
        </w:rPr>
        <w:fldChar w:fldCharType="begin"/>
      </w:r>
      <w:r w:rsidR="00AA7407" w:rsidRPr="00E45D8B">
        <w:rPr>
          <w:color w:val="000000" w:themeColor="text1"/>
        </w:rPr>
        <w:instrText xml:space="preserve"> REF _Ref190127255 \h </w:instrText>
      </w:r>
      <w:r w:rsidR="00F87E43">
        <w:rPr>
          <w:color w:val="000000" w:themeColor="text1"/>
        </w:rPr>
        <w:instrText xml:space="preserve"> \* MERGEFORMAT </w:instrText>
      </w:r>
      <w:r w:rsidR="00AA7407" w:rsidRPr="00E45D8B">
        <w:rPr>
          <w:color w:val="000000" w:themeColor="text1"/>
        </w:rPr>
      </w:r>
      <w:r w:rsidR="00AA7407" w:rsidRPr="00E45D8B">
        <w:rPr>
          <w:color w:val="000000" w:themeColor="text1"/>
        </w:rPr>
        <w:fldChar w:fldCharType="separate"/>
      </w:r>
      <w:r w:rsidR="00E12517" w:rsidRPr="00E45D8B">
        <w:rPr>
          <w:color w:val="000000" w:themeColor="text1"/>
        </w:rPr>
        <w:t>Table </w:t>
      </w:r>
      <w:r w:rsidR="00E12517" w:rsidRPr="00E45D8B">
        <w:rPr>
          <w:noProof/>
          <w:color w:val="000000" w:themeColor="text1"/>
        </w:rPr>
        <w:t>2</w:t>
      </w:r>
      <w:r w:rsidR="00AA7407" w:rsidRPr="00E45D8B">
        <w:rPr>
          <w:color w:val="000000" w:themeColor="text1"/>
        </w:rPr>
        <w:fldChar w:fldCharType="end"/>
      </w:r>
      <w:r w:rsidR="00AA7407" w:rsidRPr="00E45D8B">
        <w:rPr>
          <w:color w:val="000000" w:themeColor="text1"/>
        </w:rPr>
        <w:t>)</w:t>
      </w:r>
      <w:r w:rsidR="009923EE" w:rsidRPr="00E45D8B">
        <w:rPr>
          <w:color w:val="000000" w:themeColor="text1"/>
        </w:rPr>
        <w:t xml:space="preserve"> with chronic sialorrhea</w:t>
      </w:r>
      <w:r w:rsidR="002A7677" w:rsidRPr="00E45D8B">
        <w:rPr>
          <w:color w:val="000000" w:themeColor="text1"/>
        </w:rPr>
        <w:t>.</w:t>
      </w:r>
      <w:r w:rsidR="009923EE" w:rsidRPr="00E45D8B">
        <w:rPr>
          <w:color w:val="000000" w:themeColor="text1"/>
        </w:rPr>
        <w:t xml:space="preserve"> </w:t>
      </w:r>
    </w:p>
    <w:p w14:paraId="1DA2B74D" w14:textId="3F4CD2FE" w:rsidR="00F74824" w:rsidRDefault="006458A1" w:rsidP="00F87E43">
      <w:pPr>
        <w:pStyle w:val="Instructionaltext"/>
        <w:spacing w:after="120" w:line="276" w:lineRule="auto"/>
        <w:rPr>
          <w:color w:val="000000" w:themeColor="text1"/>
        </w:rPr>
      </w:pPr>
      <w:r w:rsidRPr="00E45D8B">
        <w:rPr>
          <w:color w:val="000000" w:themeColor="text1"/>
        </w:rPr>
        <w:t xml:space="preserve">The </w:t>
      </w:r>
      <w:r w:rsidR="00CB58C2" w:rsidRPr="00E45D8B">
        <w:rPr>
          <w:color w:val="000000" w:themeColor="text1"/>
        </w:rPr>
        <w:t xml:space="preserve">proposed </w:t>
      </w:r>
      <w:r w:rsidRPr="00E45D8B">
        <w:rPr>
          <w:color w:val="000000" w:themeColor="text1"/>
        </w:rPr>
        <w:t>fee</w:t>
      </w:r>
      <w:r w:rsidR="00CB58C2" w:rsidRPr="00E45D8B">
        <w:rPr>
          <w:color w:val="000000" w:themeColor="text1"/>
        </w:rPr>
        <w:t>/s</w:t>
      </w:r>
      <w:r w:rsidRPr="00E45D8B">
        <w:rPr>
          <w:color w:val="000000" w:themeColor="text1"/>
        </w:rPr>
        <w:t xml:space="preserve"> </w:t>
      </w:r>
      <w:r w:rsidR="00CB58C2" w:rsidRPr="00E45D8B">
        <w:rPr>
          <w:color w:val="000000" w:themeColor="text1"/>
        </w:rPr>
        <w:t>are</w:t>
      </w:r>
      <w:r w:rsidRPr="00E45D8B">
        <w:rPr>
          <w:color w:val="000000" w:themeColor="text1"/>
        </w:rPr>
        <w:t xml:space="preserve"> equivalent to the fee</w:t>
      </w:r>
      <w:r w:rsidR="00CB58C2" w:rsidRPr="00E45D8B">
        <w:rPr>
          <w:color w:val="000000" w:themeColor="text1"/>
        </w:rPr>
        <w:t>/s</w:t>
      </w:r>
      <w:r w:rsidRPr="00E45D8B">
        <w:rPr>
          <w:color w:val="000000" w:themeColor="text1"/>
        </w:rPr>
        <w:t xml:space="preserve"> for injection services of </w:t>
      </w:r>
      <w:r w:rsidR="00CB58C2" w:rsidRPr="00E45D8B">
        <w:rPr>
          <w:color w:val="000000" w:themeColor="text1"/>
        </w:rPr>
        <w:t xml:space="preserve">incobotulinumtoxinA </w:t>
      </w:r>
      <w:r w:rsidRPr="00E45D8B">
        <w:rPr>
          <w:color w:val="000000" w:themeColor="text1"/>
        </w:rPr>
        <w:t>for bilateral blepharospasm</w:t>
      </w:r>
      <w:r w:rsidR="0001528F">
        <w:rPr>
          <w:color w:val="000000" w:themeColor="text1"/>
        </w:rPr>
        <w:t xml:space="preserve"> (MBS Items </w:t>
      </w:r>
      <w:r w:rsidR="0001528F" w:rsidRPr="0064215F">
        <w:rPr>
          <w:color w:val="000000" w:themeColor="text1"/>
        </w:rPr>
        <w:t>1837</w:t>
      </w:r>
      <w:r w:rsidR="0001528F">
        <w:rPr>
          <w:color w:val="000000" w:themeColor="text1"/>
        </w:rPr>
        <w:t>2/</w:t>
      </w:r>
      <w:r w:rsidR="0001528F" w:rsidRPr="0064215F">
        <w:rPr>
          <w:color w:val="000000" w:themeColor="text1"/>
        </w:rPr>
        <w:t>4</w:t>
      </w:r>
      <w:r w:rsidR="0001528F">
        <w:rPr>
          <w:color w:val="000000" w:themeColor="text1"/>
        </w:rPr>
        <w:t>)</w:t>
      </w:r>
      <w:r w:rsidRPr="00E45D8B">
        <w:rPr>
          <w:color w:val="000000" w:themeColor="text1"/>
        </w:rPr>
        <w:t>, which</w:t>
      </w:r>
      <w:r w:rsidR="00E45D8B">
        <w:rPr>
          <w:color w:val="000000" w:themeColor="text1"/>
        </w:rPr>
        <w:t xml:space="preserve"> according to clinician response</w:t>
      </w:r>
      <w:r w:rsidRPr="00E45D8B">
        <w:rPr>
          <w:color w:val="000000" w:themeColor="text1"/>
        </w:rPr>
        <w:t xml:space="preserve"> similarly involve multiple injections to both sides of the </w:t>
      </w:r>
      <w:r w:rsidR="00CB58C2" w:rsidRPr="00E45D8B">
        <w:rPr>
          <w:color w:val="000000" w:themeColor="text1"/>
        </w:rPr>
        <w:t xml:space="preserve">patient’s </w:t>
      </w:r>
      <w:r w:rsidRPr="00E45D8B">
        <w:rPr>
          <w:color w:val="000000" w:themeColor="text1"/>
        </w:rPr>
        <w:t>face.</w:t>
      </w:r>
    </w:p>
    <w:p w14:paraId="4CA8A601" w14:textId="1AE9D399" w:rsidR="00B3552A" w:rsidRPr="00EF7855" w:rsidRDefault="00A7063B" w:rsidP="00E32F39">
      <w:pPr>
        <w:pStyle w:val="Instructionaltext-afterfiguretable"/>
        <w:spacing w:before="0" w:after="0" w:line="276" w:lineRule="auto"/>
        <w:rPr>
          <w:color w:val="000000" w:themeColor="text1"/>
        </w:rPr>
      </w:pPr>
      <w:r w:rsidRPr="00EF7855">
        <w:rPr>
          <w:color w:val="000000" w:themeColor="text1"/>
        </w:rPr>
        <w:t xml:space="preserve">The </w:t>
      </w:r>
      <w:r w:rsidR="00BA56B1" w:rsidRPr="00EF7855">
        <w:rPr>
          <w:color w:val="000000" w:themeColor="text1"/>
        </w:rPr>
        <w:t xml:space="preserve">Department considered </w:t>
      </w:r>
      <w:r w:rsidRPr="00EF7855">
        <w:rPr>
          <w:color w:val="000000" w:themeColor="text1"/>
        </w:rPr>
        <w:t xml:space="preserve">proposed MBS </w:t>
      </w:r>
      <w:r w:rsidR="003313CA" w:rsidRPr="00EF7855">
        <w:rPr>
          <w:color w:val="000000" w:themeColor="text1"/>
        </w:rPr>
        <w:t>item need</w:t>
      </w:r>
      <w:r w:rsidR="00DA3791" w:rsidRPr="00EF7855">
        <w:rPr>
          <w:color w:val="000000" w:themeColor="text1"/>
        </w:rPr>
        <w:t>s</w:t>
      </w:r>
      <w:r w:rsidR="003313CA" w:rsidRPr="00EF7855" w:rsidDel="00E714A0">
        <w:rPr>
          <w:color w:val="000000" w:themeColor="text1"/>
        </w:rPr>
        <w:t xml:space="preserve"> </w:t>
      </w:r>
      <w:r w:rsidR="00A2740C" w:rsidRPr="00EF7855">
        <w:rPr>
          <w:color w:val="000000" w:themeColor="text1"/>
        </w:rPr>
        <w:t>‘anaes.’ added to the descriptor to indicate to providers that this is a service for which anaesthesia may be required</w:t>
      </w:r>
      <w:r w:rsidR="00207DAB" w:rsidRPr="00EF7855">
        <w:rPr>
          <w:color w:val="000000" w:themeColor="text1"/>
        </w:rPr>
        <w:t xml:space="preserve">. </w:t>
      </w:r>
      <w:r w:rsidR="003D412D" w:rsidRPr="00EF7855">
        <w:rPr>
          <w:color w:val="000000" w:themeColor="text1"/>
        </w:rPr>
        <w:t xml:space="preserve">The SIPXI trial (2-17 years) </w:t>
      </w:r>
      <w:r w:rsidR="00D40998" w:rsidRPr="00EF7855">
        <w:rPr>
          <w:color w:val="000000" w:themeColor="text1"/>
        </w:rPr>
        <w:t>offered general anaesthesia, medication for analgesia, and analgosedation unless contraindicated and in line with international guidelines on sedation in children.</w:t>
      </w:r>
      <w:r w:rsidR="00D40998" w:rsidRPr="00976853">
        <w:rPr>
          <w:color w:val="000000" w:themeColor="text1"/>
        </w:rPr>
        <w:t xml:space="preserve"> </w:t>
      </w:r>
      <w:r w:rsidR="00D40998" w:rsidRPr="00EF7855">
        <w:rPr>
          <w:color w:val="000000" w:themeColor="text1"/>
        </w:rPr>
        <w:t xml:space="preserve">However the trial </w:t>
      </w:r>
      <w:r w:rsidR="00D40998" w:rsidRPr="00EF7855">
        <w:rPr>
          <w:color w:val="000000" w:themeColor="text1"/>
        </w:rPr>
        <w:lastRenderedPageBreak/>
        <w:t xml:space="preserve">did not report the exact proportion of patients who </w:t>
      </w:r>
      <w:r w:rsidR="009722E9" w:rsidRPr="00EF7855">
        <w:rPr>
          <w:color w:val="000000" w:themeColor="text1"/>
        </w:rPr>
        <w:t xml:space="preserve">required anaesthesia or sedation for the injection procedure. In the incobotulinumtoxinA arms of the SIPXI trial </w:t>
      </w:r>
      <w:r w:rsidR="002814E1" w:rsidRPr="00EF7855">
        <w:rPr>
          <w:color w:val="000000" w:themeColor="text1"/>
        </w:rPr>
        <w:t>38/248 (</w:t>
      </w:r>
      <w:r w:rsidR="004218E2" w:rsidRPr="00EF7855">
        <w:rPr>
          <w:color w:val="000000" w:themeColor="text1"/>
        </w:rPr>
        <w:t xml:space="preserve">25.7%) </w:t>
      </w:r>
      <w:r w:rsidR="00463F04" w:rsidRPr="00EF7855">
        <w:rPr>
          <w:color w:val="000000" w:themeColor="text1"/>
        </w:rPr>
        <w:t xml:space="preserve">of patients aged 6-17 years </w:t>
      </w:r>
      <w:r w:rsidR="004218E2" w:rsidRPr="00EF7855">
        <w:rPr>
          <w:color w:val="000000" w:themeColor="text1"/>
        </w:rPr>
        <w:t xml:space="preserve">and </w:t>
      </w:r>
      <w:r w:rsidR="004329E3" w:rsidRPr="00EF7855">
        <w:rPr>
          <w:color w:val="000000" w:themeColor="text1"/>
        </w:rPr>
        <w:t xml:space="preserve">4/35 (11.4%) </w:t>
      </w:r>
      <w:r w:rsidR="00463F04" w:rsidRPr="00EF7855">
        <w:rPr>
          <w:color w:val="000000" w:themeColor="text1"/>
        </w:rPr>
        <w:t xml:space="preserve">of patients aged </w:t>
      </w:r>
      <w:r w:rsidR="005B18FB" w:rsidRPr="00EF7855">
        <w:rPr>
          <w:color w:val="000000" w:themeColor="text1"/>
        </w:rPr>
        <w:t>2-5 years</w:t>
      </w:r>
      <w:r w:rsidR="003B0CD3" w:rsidRPr="00EF7855">
        <w:rPr>
          <w:color w:val="000000" w:themeColor="text1"/>
        </w:rPr>
        <w:t xml:space="preserve"> </w:t>
      </w:r>
      <w:r w:rsidR="004329E3" w:rsidRPr="00EF7855">
        <w:rPr>
          <w:color w:val="000000" w:themeColor="text1"/>
        </w:rPr>
        <w:t xml:space="preserve">were administered </w:t>
      </w:r>
      <w:r w:rsidR="00B2769E" w:rsidRPr="00EF7855">
        <w:rPr>
          <w:color w:val="000000" w:themeColor="text1"/>
        </w:rPr>
        <w:t>concomitant general anaesthetics.</w:t>
      </w:r>
      <w:r w:rsidR="00B2769E" w:rsidRPr="00976853">
        <w:rPr>
          <w:color w:val="000000" w:themeColor="text1"/>
        </w:rPr>
        <w:t xml:space="preserve"> </w:t>
      </w:r>
      <w:r w:rsidR="006004F5" w:rsidRPr="00EF7855">
        <w:rPr>
          <w:color w:val="000000" w:themeColor="text1"/>
        </w:rPr>
        <w:t xml:space="preserve">The clinical trial report also reported the proportion of patients </w:t>
      </w:r>
      <w:r w:rsidR="007D7FEB" w:rsidRPr="00EF7855">
        <w:rPr>
          <w:color w:val="000000" w:themeColor="text1"/>
        </w:rPr>
        <w:t xml:space="preserve">who used concomitant </w:t>
      </w:r>
      <w:r w:rsidR="009D70EF" w:rsidRPr="00EF7855">
        <w:rPr>
          <w:color w:val="000000" w:themeColor="text1"/>
        </w:rPr>
        <w:t>hypnotics and sedatives</w:t>
      </w:r>
      <w:r w:rsidR="004B00B5" w:rsidRPr="00EF7855">
        <w:rPr>
          <w:color w:val="000000" w:themeColor="text1"/>
        </w:rPr>
        <w:t xml:space="preserve"> (Anatomical Therapeutic Chemical </w:t>
      </w:r>
      <w:r w:rsidR="00011B59" w:rsidRPr="00EF7855">
        <w:rPr>
          <w:color w:val="000000" w:themeColor="text1"/>
        </w:rPr>
        <w:t xml:space="preserve">class level 3). However, </w:t>
      </w:r>
      <w:r w:rsidR="00976853" w:rsidRPr="00EF7855">
        <w:rPr>
          <w:color w:val="000000" w:themeColor="text1"/>
        </w:rPr>
        <w:t xml:space="preserve">the department considered that </w:t>
      </w:r>
      <w:r w:rsidR="00011B59" w:rsidRPr="00EF7855">
        <w:rPr>
          <w:color w:val="000000" w:themeColor="text1"/>
        </w:rPr>
        <w:t>it is not known whether th</w:t>
      </w:r>
      <w:r w:rsidR="002135A5" w:rsidRPr="00EF7855">
        <w:rPr>
          <w:color w:val="000000" w:themeColor="text1"/>
        </w:rPr>
        <w:t>ese</w:t>
      </w:r>
      <w:r w:rsidR="00011B59" w:rsidRPr="00EF7855">
        <w:rPr>
          <w:color w:val="000000" w:themeColor="text1"/>
        </w:rPr>
        <w:t xml:space="preserve"> </w:t>
      </w:r>
      <w:r w:rsidR="002135A5" w:rsidRPr="00EF7855">
        <w:rPr>
          <w:color w:val="000000" w:themeColor="text1"/>
        </w:rPr>
        <w:t>were used</w:t>
      </w:r>
      <w:r w:rsidR="00565A15" w:rsidRPr="00EF7855">
        <w:rPr>
          <w:color w:val="000000" w:themeColor="text1"/>
        </w:rPr>
        <w:t xml:space="preserve"> for procedural sedation or </w:t>
      </w:r>
      <w:r w:rsidR="002135A5" w:rsidRPr="00EF7855">
        <w:rPr>
          <w:color w:val="000000" w:themeColor="text1"/>
        </w:rPr>
        <w:t xml:space="preserve">other </w:t>
      </w:r>
      <w:r w:rsidR="00E52966" w:rsidRPr="00EF7855">
        <w:rPr>
          <w:color w:val="000000" w:themeColor="text1"/>
        </w:rPr>
        <w:t xml:space="preserve">indications. </w:t>
      </w:r>
      <w:r w:rsidR="00FF6E76" w:rsidRPr="00EF7855">
        <w:rPr>
          <w:color w:val="000000" w:themeColor="text1"/>
        </w:rPr>
        <w:t>The Royal Children’s Hospita</w:t>
      </w:r>
      <w:r w:rsidR="00772F04" w:rsidRPr="00EF7855">
        <w:rPr>
          <w:color w:val="000000" w:themeColor="text1"/>
        </w:rPr>
        <w:t>l Melbourn</w:t>
      </w:r>
      <w:r w:rsidR="00FD5C71" w:rsidRPr="00EF7855">
        <w:rPr>
          <w:color w:val="000000" w:themeColor="text1"/>
        </w:rPr>
        <w:t xml:space="preserve">e information guide </w:t>
      </w:r>
      <w:hyperlink r:id="rId25">
        <w:r w:rsidR="0473356D" w:rsidRPr="5B05C43F">
          <w:rPr>
            <w:rStyle w:val="Hyperlink"/>
          </w:rPr>
          <w:t xml:space="preserve">on </w:t>
        </w:r>
        <w:r w:rsidR="19645DE8" w:rsidRPr="5B05C43F">
          <w:rPr>
            <w:rStyle w:val="Hyperlink"/>
          </w:rPr>
          <w:t>Saliva Control in Children</w:t>
        </w:r>
      </w:hyperlink>
      <w:r w:rsidR="00D328A2" w:rsidRPr="00EF7855">
        <w:rPr>
          <w:color w:val="000000" w:themeColor="text1"/>
        </w:rPr>
        <w:t xml:space="preserve"> state that </w:t>
      </w:r>
      <w:r w:rsidR="00E33AD2" w:rsidRPr="00EF7855">
        <w:rPr>
          <w:color w:val="000000" w:themeColor="text1"/>
        </w:rPr>
        <w:t xml:space="preserve">the procedure is done under a brief general anaesthetic as a ‘day stay’ procedure. </w:t>
      </w:r>
    </w:p>
    <w:p w14:paraId="39392CFD" w14:textId="3685D095" w:rsidR="003328A9" w:rsidRPr="00CE28E3" w:rsidRDefault="00310C3F" w:rsidP="00E32F39">
      <w:pPr>
        <w:pStyle w:val="Caption"/>
        <w:spacing w:before="240"/>
        <w:rPr>
          <w:rFonts w:cs="Arial"/>
        </w:rPr>
      </w:pPr>
      <w:bookmarkStart w:id="15" w:name="_Ref69481033"/>
      <w:r>
        <w:t>Table</w:t>
      </w:r>
      <w:r w:rsidR="004A4FDF">
        <w:t> </w:t>
      </w:r>
      <w:r w:rsidR="00E12517">
        <w:fldChar w:fldCharType="begin"/>
      </w:r>
      <w:r w:rsidR="00E12517">
        <w:instrText xml:space="preserve"> SEQ Table \* ARABIC </w:instrText>
      </w:r>
      <w:r w:rsidR="00E12517">
        <w:fldChar w:fldCharType="separate"/>
      </w:r>
      <w:r w:rsidR="00E12517">
        <w:rPr>
          <w:noProof/>
        </w:rPr>
        <w:t>1</w:t>
      </w:r>
      <w:r w:rsidR="00E12517">
        <w:rPr>
          <w:noProof/>
        </w:rPr>
        <w:fldChar w:fldCharType="end"/>
      </w:r>
      <w:bookmarkEnd w:id="15"/>
      <w:r w:rsidR="003328A9" w:rsidRPr="00CE28E3">
        <w:rPr>
          <w:rFonts w:cs="Arial"/>
        </w:rPr>
        <w:tab/>
      </w:r>
      <w:r w:rsidR="00B26622" w:rsidRPr="00CE28E3">
        <w:rPr>
          <w:rFonts w:cs="Arial"/>
        </w:rPr>
        <w:t>Presentation of newly proposed MBS item</w:t>
      </w:r>
      <w:r w:rsidR="001A502C">
        <w:rPr>
          <w:rFonts w:cs="Arial"/>
        </w:rPr>
        <w:t xml:space="preserve">s for </w:t>
      </w:r>
      <w:r w:rsidR="00564981">
        <w:rPr>
          <w:rFonts w:cs="Arial"/>
        </w:rPr>
        <w:t xml:space="preserve">injection services for Xeomin for sialorrhea. </w:t>
      </w:r>
      <w:r w:rsidR="003328A9" w:rsidRPr="00CE28E3">
        <w:rPr>
          <w:rFonts w:cs="Arial"/>
        </w:rPr>
        <w:t xml:space="preserve"> </w:t>
      </w:r>
    </w:p>
    <w:tbl>
      <w:tblPr>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328A9" w:rsidRPr="00CE28E3" w14:paraId="7A70B700" w14:textId="77777777" w:rsidTr="04E3731F">
        <w:trPr>
          <w:trHeight w:val="314"/>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AF30" w14:textId="10943FD8" w:rsidR="003328A9" w:rsidRPr="00CE28E3" w:rsidRDefault="003328A9" w:rsidP="00F87E43">
            <w:pPr>
              <w:pStyle w:val="TableText"/>
              <w:rPr>
                <w:sz w:val="24"/>
              </w:rPr>
            </w:pPr>
            <w:r w:rsidRPr="00CE28E3">
              <w:t xml:space="preserve">Category </w:t>
            </w:r>
            <w:r w:rsidR="00396DD5">
              <w:t>3</w:t>
            </w:r>
            <w:r w:rsidRPr="00CE28E3">
              <w:t xml:space="preserve"> – </w:t>
            </w:r>
            <w:r w:rsidR="00396DD5">
              <w:t>THERAPEUTIC PROCEDURES</w:t>
            </w:r>
          </w:p>
        </w:tc>
      </w:tr>
      <w:tr w:rsidR="003328A9" w:rsidRPr="00CE28E3" w14:paraId="05A9B76F" w14:textId="77777777" w:rsidTr="04E3731F">
        <w:trPr>
          <w:trHeight w:val="22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DD428" w14:textId="1BFA01EC" w:rsidR="00E3330E" w:rsidRPr="00170D5B" w:rsidRDefault="00E3330E" w:rsidP="00F87E43">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r w:rsidR="00FE30CB">
              <w:rPr>
                <w:rFonts w:ascii="Arial Narrow" w:hAnsi="Arial Narrow"/>
                <w:sz w:val="20"/>
                <w:szCs w:val="20"/>
                <w:lang w:val="en-US" w:eastAsia="ja-JP"/>
              </w:rPr>
              <w:t>1</w:t>
            </w:r>
          </w:p>
          <w:p w14:paraId="4D6CB811" w14:textId="1326CE1F" w:rsidR="1FC52574" w:rsidRDefault="1FC52574" w:rsidP="04E3731F">
            <w:pPr>
              <w:spacing w:after="120"/>
              <w:rPr>
                <w:rFonts w:ascii="Arial Narrow" w:hAnsi="Arial Narrow"/>
                <w:sz w:val="20"/>
                <w:szCs w:val="20"/>
                <w:lang w:eastAsia="ja-JP"/>
              </w:rPr>
            </w:pPr>
            <w:r w:rsidRPr="04E3731F" w:rsidDel="1FC52574">
              <w:rPr>
                <w:rFonts w:ascii="Arial Narrow" w:hAnsi="Arial Narrow"/>
                <w:sz w:val="20"/>
                <w:szCs w:val="20"/>
                <w:lang w:val="en-US" w:eastAsia="ja-JP"/>
              </w:rPr>
              <w:t>IncobotulinumtoxinA (Xeomin</w:t>
            </w:r>
            <w:r w:rsidR="46EEC95A" w:rsidRPr="5B05C43F">
              <w:rPr>
                <w:rFonts w:ascii="Arial Narrow" w:hAnsi="Arial Narrow"/>
                <w:sz w:val="20"/>
                <w:szCs w:val="20"/>
                <w:lang w:val="en-US" w:eastAsia="ja-JP"/>
              </w:rPr>
              <w:t>),</w:t>
            </w:r>
            <w:r w:rsidRPr="04E3731F" w:rsidDel="1FC52574">
              <w:rPr>
                <w:rFonts w:ascii="Arial Narrow" w:hAnsi="Arial Narrow"/>
                <w:sz w:val="20"/>
                <w:szCs w:val="20"/>
                <w:lang w:val="en-US" w:eastAsia="ja-JP"/>
              </w:rPr>
              <w:t xml:space="preserve"> injection of, for the treatment of chronic sialorrhea including all such injections on any one day</w:t>
            </w:r>
            <w:r w:rsidRPr="04E3731F" w:rsidDel="09D48AD1">
              <w:rPr>
                <w:rFonts w:ascii="Arial Narrow" w:hAnsi="Arial Narrow"/>
                <w:sz w:val="20"/>
                <w:szCs w:val="20"/>
                <w:lang w:val="en-US" w:eastAsia="ja-JP"/>
              </w:rPr>
              <w:t xml:space="preserve">, </w:t>
            </w:r>
            <w:r w:rsidRPr="04E3731F" w:rsidDel="09D48AD1">
              <w:rPr>
                <w:rFonts w:ascii="Arial Narrow" w:hAnsi="Arial Narrow"/>
                <w:sz w:val="20"/>
                <w:szCs w:val="20"/>
                <w:lang w:eastAsia="ja-JP"/>
              </w:rPr>
              <w:t xml:space="preserve">if: </w:t>
            </w:r>
          </w:p>
          <w:p w14:paraId="06CD1487" w14:textId="54EE426D" w:rsidR="009931E5" w:rsidRPr="009931E5" w:rsidRDefault="009931E5" w:rsidP="00F87E43">
            <w:pPr>
              <w:spacing w:after="120" w:line="240" w:lineRule="auto"/>
              <w:rPr>
                <w:rFonts w:ascii="Arial Narrow" w:hAnsi="Arial Narrow"/>
                <w:sz w:val="20"/>
                <w:szCs w:val="20"/>
                <w:lang w:eastAsia="ja-JP"/>
              </w:rPr>
            </w:pPr>
            <w:r w:rsidRPr="009931E5">
              <w:rPr>
                <w:rFonts w:ascii="Arial Narrow" w:hAnsi="Arial Narrow"/>
                <w:sz w:val="20"/>
                <w:szCs w:val="20"/>
                <w:lang w:eastAsia="ja-JP"/>
              </w:rPr>
              <w:t>(a)    the patient is at least 1</w:t>
            </w:r>
            <w:r>
              <w:rPr>
                <w:rFonts w:ascii="Arial Narrow" w:hAnsi="Arial Narrow"/>
                <w:sz w:val="20"/>
                <w:szCs w:val="20"/>
                <w:lang w:eastAsia="ja-JP"/>
              </w:rPr>
              <w:t>8</w:t>
            </w:r>
            <w:r w:rsidRPr="009931E5">
              <w:rPr>
                <w:rFonts w:ascii="Arial Narrow" w:hAnsi="Arial Narrow"/>
                <w:sz w:val="20"/>
                <w:szCs w:val="20"/>
                <w:lang w:eastAsia="ja-JP"/>
              </w:rPr>
              <w:t xml:space="preserve"> years of age; and </w:t>
            </w:r>
          </w:p>
          <w:p w14:paraId="03F7602A" w14:textId="27F48414" w:rsidR="009931E5" w:rsidRDefault="009931E5" w:rsidP="00F87E43">
            <w:pPr>
              <w:spacing w:after="120" w:line="240" w:lineRule="auto"/>
              <w:rPr>
                <w:rFonts w:ascii="Arial Narrow" w:hAnsi="Arial Narrow"/>
                <w:sz w:val="20"/>
                <w:szCs w:val="20"/>
                <w:lang w:eastAsia="ja-JP"/>
              </w:rPr>
            </w:pPr>
            <w:r w:rsidRPr="009931E5">
              <w:rPr>
                <w:rFonts w:ascii="Arial Narrow" w:hAnsi="Arial Narrow"/>
                <w:sz w:val="20"/>
                <w:szCs w:val="20"/>
                <w:lang w:eastAsia="ja-JP"/>
              </w:rPr>
              <w:t xml:space="preserve">(b)    the </w:t>
            </w:r>
            <w:r>
              <w:rPr>
                <w:rFonts w:ascii="Arial Narrow" w:hAnsi="Arial Narrow"/>
                <w:sz w:val="20"/>
                <w:szCs w:val="20"/>
                <w:lang w:eastAsia="ja-JP"/>
              </w:rPr>
              <w:t>condition is due to a neurological disorder.</w:t>
            </w:r>
          </w:p>
          <w:p w14:paraId="627FF929" w14:textId="28DF5DC0" w:rsidR="00F1604F" w:rsidRDefault="00F1604F" w:rsidP="00F87E43">
            <w:pPr>
              <w:spacing w:after="120" w:line="240" w:lineRule="auto"/>
              <w:rPr>
                <w:rFonts w:ascii="Arial Narrow" w:hAnsi="Arial Narrow"/>
                <w:sz w:val="20"/>
                <w:szCs w:val="20"/>
                <w:lang w:val="en-US" w:eastAsia="ja-JP"/>
              </w:rPr>
            </w:pPr>
            <w:r>
              <w:rPr>
                <w:rFonts w:ascii="Arial Narrow" w:hAnsi="Arial Narrow"/>
                <w:sz w:val="20"/>
                <w:szCs w:val="20"/>
                <w:lang w:val="en-US" w:eastAsia="ja-JP"/>
              </w:rPr>
              <w:t xml:space="preserve">This item </w:t>
            </w:r>
            <w:r w:rsidR="002A4475">
              <w:rPr>
                <w:rFonts w:ascii="Arial Narrow" w:hAnsi="Arial Narrow"/>
                <w:sz w:val="20"/>
                <w:szCs w:val="20"/>
                <w:lang w:val="en-US" w:eastAsia="ja-JP"/>
              </w:rPr>
              <w:t>cannot</w:t>
            </w:r>
            <w:r>
              <w:rPr>
                <w:rFonts w:ascii="Arial Narrow" w:hAnsi="Arial Narrow"/>
                <w:sz w:val="20"/>
                <w:szCs w:val="20"/>
                <w:lang w:val="en-US" w:eastAsia="ja-JP"/>
              </w:rPr>
              <w:t xml:space="preserve"> be claimed more than once every 16 weeks.</w:t>
            </w:r>
          </w:p>
          <w:p w14:paraId="3EEC2DE6" w14:textId="7B6232D6" w:rsidR="003328A9" w:rsidRPr="0093499D" w:rsidRDefault="00853AE4" w:rsidP="00F87E43">
            <w:pPr>
              <w:spacing w:after="120" w:line="240" w:lineRule="auto"/>
              <w:rPr>
                <w:rFonts w:ascii="Arial Narrow" w:hAnsi="Arial Narrow"/>
                <w:i/>
                <w:sz w:val="20"/>
                <w:szCs w:val="20"/>
                <w:lang w:val="en-US" w:eastAsia="ja-JP"/>
              </w:rPr>
            </w:pPr>
            <w:r w:rsidRPr="00653CB6">
              <w:rPr>
                <w:rFonts w:ascii="Arial Narrow" w:hAnsi="Arial Narrow"/>
                <w:i/>
                <w:sz w:val="20"/>
                <w:szCs w:val="20"/>
                <w:lang w:val="en-US" w:eastAsia="ja-JP"/>
              </w:rPr>
              <w:t>(Anaes.)</w:t>
            </w:r>
          </w:p>
        </w:tc>
      </w:tr>
      <w:tr w:rsidR="003328A9" w:rsidRPr="005D749D" w14:paraId="190EE027" w14:textId="77777777" w:rsidTr="04E3731F">
        <w:trPr>
          <w:trHeight w:val="41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EDFDC" w14:textId="7CC9D243" w:rsidR="003328A9" w:rsidRPr="005D749D" w:rsidRDefault="00FE30CB" w:rsidP="00F87E43">
            <w:pPr>
              <w:spacing w:after="120" w:line="240" w:lineRule="auto"/>
              <w:rPr>
                <w:szCs w:val="20"/>
              </w:rPr>
            </w:pPr>
            <w:r w:rsidRPr="00FE30CB">
              <w:rPr>
                <w:rFonts w:ascii="Arial Narrow" w:hAnsi="Arial Narrow"/>
                <w:sz w:val="20"/>
                <w:szCs w:val="20"/>
                <w:lang w:val="en-US" w:eastAsia="ja-JP"/>
              </w:rPr>
              <w:t>Fee: $142.25 Benefit: 75% = $106.70 85% = $120.95</w:t>
            </w:r>
          </w:p>
        </w:tc>
      </w:tr>
    </w:tbl>
    <w:p w14:paraId="5E481389" w14:textId="27E3D45C" w:rsidR="00CC0AA5" w:rsidRPr="009923EE" w:rsidRDefault="009923EE" w:rsidP="00E32F39">
      <w:pPr>
        <w:pStyle w:val="Caption"/>
        <w:spacing w:before="240"/>
        <w:rPr>
          <w:rFonts w:cs="Arial"/>
        </w:rPr>
      </w:pPr>
      <w:bookmarkStart w:id="16" w:name="_Ref190127255"/>
      <w:r>
        <w:t>Table </w:t>
      </w:r>
      <w:r w:rsidR="00E12517">
        <w:fldChar w:fldCharType="begin"/>
      </w:r>
      <w:r w:rsidR="00E12517">
        <w:instrText xml:space="preserve"> SEQ Table \* ARABIC </w:instrText>
      </w:r>
      <w:r w:rsidR="00E12517">
        <w:fldChar w:fldCharType="separate"/>
      </w:r>
      <w:r w:rsidR="00E12517">
        <w:rPr>
          <w:noProof/>
        </w:rPr>
        <w:t>2</w:t>
      </w:r>
      <w:r w:rsidR="00E12517">
        <w:rPr>
          <w:noProof/>
        </w:rPr>
        <w:fldChar w:fldCharType="end"/>
      </w:r>
      <w:bookmarkEnd w:id="16"/>
      <w:r w:rsidRPr="00CE28E3">
        <w:rPr>
          <w:rFonts w:cs="Arial"/>
        </w:rPr>
        <w:tab/>
        <w:t>Presentation of newly proposed MBS item</w:t>
      </w:r>
      <w:r>
        <w:rPr>
          <w:rFonts w:cs="Arial"/>
        </w:rPr>
        <w:t xml:space="preserve">s for injection services for Xeomin for sialorrhea. </w:t>
      </w:r>
      <w:r w:rsidRPr="00CE28E3">
        <w:rPr>
          <w:rFonts w:cs="Aria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C0AA5" w:rsidRPr="00CE28E3" w14:paraId="0D3910D8" w14:textId="77777777" w:rsidTr="5B05C43F">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F5551" w14:textId="42EA1C5D" w:rsidR="00CC0AA5" w:rsidRPr="00CE28E3" w:rsidRDefault="00396DD5" w:rsidP="00F87E43">
            <w:pPr>
              <w:pStyle w:val="TableText"/>
              <w:rPr>
                <w:sz w:val="24"/>
              </w:rPr>
            </w:pPr>
            <w:r w:rsidRPr="00CE28E3">
              <w:t xml:space="preserve">Category </w:t>
            </w:r>
            <w:r>
              <w:t>3</w:t>
            </w:r>
            <w:r w:rsidRPr="00CE28E3">
              <w:t xml:space="preserve"> – </w:t>
            </w:r>
            <w:r>
              <w:t>THERAPEUTIC PROCEDURES</w:t>
            </w:r>
          </w:p>
        </w:tc>
      </w:tr>
      <w:tr w:rsidR="00CC0AA5" w:rsidRPr="00CE28E3" w14:paraId="0F0D30A6" w14:textId="77777777" w:rsidTr="5B05C43F">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7F13A" w14:textId="585FDF29" w:rsidR="00CC0AA5" w:rsidRPr="00170D5B" w:rsidRDefault="00CC0AA5" w:rsidP="00F87E43">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r w:rsidR="00FE30CB">
              <w:rPr>
                <w:rFonts w:ascii="Arial Narrow" w:hAnsi="Arial Narrow"/>
                <w:sz w:val="20"/>
                <w:szCs w:val="20"/>
                <w:lang w:val="en-US" w:eastAsia="ja-JP"/>
              </w:rPr>
              <w:t>2</w:t>
            </w:r>
          </w:p>
          <w:p w14:paraId="76BEFF93" w14:textId="35705C11" w:rsidR="00CC0AA5" w:rsidRPr="009931E5" w:rsidRDefault="00CC0AA5" w:rsidP="00F87E43">
            <w:pPr>
              <w:spacing w:after="120"/>
              <w:rPr>
                <w:rFonts w:ascii="Arial Narrow" w:hAnsi="Arial Narrow"/>
                <w:sz w:val="20"/>
                <w:szCs w:val="20"/>
                <w:lang w:eastAsia="ja-JP"/>
              </w:rPr>
            </w:pPr>
            <w:r>
              <w:rPr>
                <w:rFonts w:ascii="Arial Narrow" w:hAnsi="Arial Narrow"/>
                <w:sz w:val="20"/>
                <w:szCs w:val="20"/>
                <w:lang w:val="en-US" w:eastAsia="ja-JP"/>
              </w:rPr>
              <w:t>IncobotulinumtoxinA</w:t>
            </w:r>
            <w:r w:rsidRPr="00BA4FF2">
              <w:rPr>
                <w:rFonts w:ascii="Arial Narrow" w:hAnsi="Arial Narrow"/>
                <w:sz w:val="20"/>
                <w:szCs w:val="20"/>
                <w:lang w:val="en-US" w:eastAsia="ja-JP"/>
              </w:rPr>
              <w:t xml:space="preserve"> (</w:t>
            </w:r>
            <w:r>
              <w:rPr>
                <w:rFonts w:ascii="Arial Narrow" w:hAnsi="Arial Narrow"/>
                <w:sz w:val="20"/>
                <w:szCs w:val="20"/>
                <w:lang w:val="en-US" w:eastAsia="ja-JP"/>
              </w:rPr>
              <w:t>Xeomin</w:t>
            </w:r>
            <w:r w:rsidR="0BB45EF4" w:rsidRPr="5B05C43F">
              <w:rPr>
                <w:rFonts w:ascii="Arial Narrow" w:hAnsi="Arial Narrow"/>
                <w:sz w:val="20"/>
                <w:szCs w:val="20"/>
                <w:lang w:val="en-US" w:eastAsia="ja-JP"/>
              </w:rPr>
              <w:t>),</w:t>
            </w:r>
            <w:r w:rsidRPr="00BA4FF2">
              <w:rPr>
                <w:rFonts w:ascii="Arial Narrow" w:hAnsi="Arial Narrow"/>
                <w:sz w:val="20"/>
                <w:szCs w:val="20"/>
                <w:lang w:val="en-US" w:eastAsia="ja-JP"/>
              </w:rPr>
              <w:t xml:space="preserve"> injection of, for the treatment of </w:t>
            </w:r>
            <w:r>
              <w:rPr>
                <w:rFonts w:ascii="Arial Narrow" w:hAnsi="Arial Narrow"/>
                <w:sz w:val="20"/>
                <w:szCs w:val="20"/>
                <w:lang w:val="en-US" w:eastAsia="ja-JP"/>
              </w:rPr>
              <w:t>chronic sialorrhea</w:t>
            </w:r>
            <w:r w:rsidRPr="00BA4FF2">
              <w:rPr>
                <w:rFonts w:ascii="Arial Narrow" w:hAnsi="Arial Narrow"/>
                <w:sz w:val="20"/>
                <w:szCs w:val="20"/>
                <w:lang w:val="en-US" w:eastAsia="ja-JP"/>
              </w:rPr>
              <w:t xml:space="preserve"> including all such injections on any one day</w:t>
            </w:r>
            <w:r>
              <w:rPr>
                <w:rFonts w:ascii="Arial Narrow" w:hAnsi="Arial Narrow"/>
                <w:sz w:val="20"/>
                <w:szCs w:val="20"/>
                <w:lang w:val="en-US" w:eastAsia="ja-JP"/>
              </w:rPr>
              <w:t xml:space="preserve">, </w:t>
            </w:r>
            <w:r w:rsidRPr="009931E5">
              <w:rPr>
                <w:rFonts w:ascii="Arial Narrow" w:hAnsi="Arial Narrow"/>
                <w:sz w:val="20"/>
                <w:szCs w:val="20"/>
                <w:lang w:eastAsia="ja-JP"/>
              </w:rPr>
              <w:t xml:space="preserve">if: </w:t>
            </w:r>
          </w:p>
          <w:p w14:paraId="185F9EB2" w14:textId="2386B83C" w:rsidR="00CC0AA5" w:rsidRPr="009931E5" w:rsidRDefault="00CC0AA5" w:rsidP="00F87E43">
            <w:pPr>
              <w:spacing w:after="120" w:line="240" w:lineRule="auto"/>
              <w:rPr>
                <w:rFonts w:ascii="Arial Narrow" w:hAnsi="Arial Narrow"/>
                <w:sz w:val="20"/>
                <w:szCs w:val="20"/>
                <w:lang w:eastAsia="ja-JP"/>
              </w:rPr>
            </w:pPr>
            <w:r w:rsidRPr="009931E5">
              <w:rPr>
                <w:rFonts w:ascii="Arial Narrow" w:hAnsi="Arial Narrow"/>
                <w:sz w:val="20"/>
                <w:szCs w:val="20"/>
                <w:lang w:eastAsia="ja-JP"/>
              </w:rPr>
              <w:t xml:space="preserve">(a)    the patient is at </w:t>
            </w:r>
            <w:r>
              <w:rPr>
                <w:rFonts w:ascii="Arial Narrow" w:hAnsi="Arial Narrow"/>
                <w:sz w:val="20"/>
                <w:szCs w:val="20"/>
                <w:lang w:eastAsia="ja-JP"/>
              </w:rPr>
              <w:t>2-17</w:t>
            </w:r>
            <w:r w:rsidRPr="009931E5">
              <w:rPr>
                <w:rFonts w:ascii="Arial Narrow" w:hAnsi="Arial Narrow"/>
                <w:sz w:val="20"/>
                <w:szCs w:val="20"/>
                <w:lang w:eastAsia="ja-JP"/>
              </w:rPr>
              <w:t xml:space="preserve"> years of age; and </w:t>
            </w:r>
          </w:p>
          <w:p w14:paraId="2757C28C" w14:textId="2A80A861" w:rsidR="00CC0AA5" w:rsidRPr="009931E5" w:rsidRDefault="00CC0AA5" w:rsidP="00F87E43">
            <w:pPr>
              <w:spacing w:after="120" w:line="240" w:lineRule="auto"/>
              <w:rPr>
                <w:rFonts w:ascii="Arial Narrow" w:hAnsi="Arial Narrow"/>
                <w:sz w:val="20"/>
                <w:szCs w:val="20"/>
                <w:lang w:eastAsia="ja-JP"/>
              </w:rPr>
            </w:pPr>
            <w:r w:rsidRPr="009931E5">
              <w:rPr>
                <w:rFonts w:ascii="Arial Narrow" w:hAnsi="Arial Narrow"/>
                <w:sz w:val="20"/>
                <w:szCs w:val="20"/>
                <w:lang w:eastAsia="ja-JP"/>
              </w:rPr>
              <w:t xml:space="preserve">(b)    the </w:t>
            </w:r>
            <w:r>
              <w:rPr>
                <w:rFonts w:ascii="Arial Narrow" w:hAnsi="Arial Narrow"/>
                <w:sz w:val="20"/>
                <w:szCs w:val="20"/>
                <w:lang w:eastAsia="ja-JP"/>
              </w:rPr>
              <w:t>condition is due to a neurological or neurodevelopmental disorder.</w:t>
            </w:r>
          </w:p>
          <w:p w14:paraId="480BD029" w14:textId="77777777" w:rsidR="00CC0AA5" w:rsidRDefault="00203B59" w:rsidP="00F87E43">
            <w:pPr>
              <w:spacing w:after="120" w:line="240" w:lineRule="auto"/>
              <w:rPr>
                <w:rFonts w:ascii="Arial Narrow" w:hAnsi="Arial Narrow"/>
                <w:sz w:val="20"/>
                <w:szCs w:val="20"/>
                <w:lang w:val="en-US" w:eastAsia="ja-JP"/>
              </w:rPr>
            </w:pPr>
            <w:r>
              <w:rPr>
                <w:rFonts w:ascii="Arial Narrow" w:hAnsi="Arial Narrow"/>
                <w:sz w:val="20"/>
                <w:szCs w:val="20"/>
                <w:lang w:val="en-US" w:eastAsia="ja-JP"/>
              </w:rPr>
              <w:t>This item cannot be claimed more than once every 16 weeks.</w:t>
            </w:r>
          </w:p>
          <w:p w14:paraId="62AFD863" w14:textId="31AFD71B" w:rsidR="00853AE4" w:rsidRPr="00653CB6" w:rsidRDefault="00853AE4" w:rsidP="00F87E43">
            <w:pPr>
              <w:spacing w:after="120" w:line="240" w:lineRule="auto"/>
              <w:rPr>
                <w:rFonts w:ascii="Arial Narrow" w:hAnsi="Arial Narrow"/>
                <w:i/>
                <w:sz w:val="20"/>
                <w:szCs w:val="20"/>
                <w:lang w:val="en-US" w:eastAsia="ja-JP"/>
              </w:rPr>
            </w:pPr>
            <w:r w:rsidRPr="00653CB6">
              <w:rPr>
                <w:rFonts w:ascii="Arial Narrow" w:hAnsi="Arial Narrow"/>
                <w:i/>
                <w:sz w:val="20"/>
                <w:szCs w:val="20"/>
                <w:lang w:val="en-US" w:eastAsia="ja-JP"/>
              </w:rPr>
              <w:t>(Anaes.)</w:t>
            </w:r>
          </w:p>
        </w:tc>
      </w:tr>
      <w:tr w:rsidR="00CC0AA5" w:rsidRPr="005D749D" w14:paraId="6AB2B2B6" w14:textId="77777777" w:rsidTr="5B05C43F">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00C40" w14:textId="799A0363" w:rsidR="00CC0AA5" w:rsidRPr="00FE30CB" w:rsidRDefault="00FE30CB" w:rsidP="00F87E43">
            <w:pPr>
              <w:spacing w:after="120" w:line="240" w:lineRule="auto"/>
              <w:rPr>
                <w:rFonts w:ascii="Arial Narrow" w:hAnsi="Arial Narrow"/>
                <w:sz w:val="20"/>
                <w:szCs w:val="20"/>
                <w:lang w:val="en-US" w:eastAsia="ja-JP"/>
              </w:rPr>
            </w:pPr>
            <w:r w:rsidRPr="00FE30CB">
              <w:rPr>
                <w:rFonts w:ascii="Arial Narrow" w:hAnsi="Arial Narrow"/>
                <w:sz w:val="20"/>
                <w:szCs w:val="20"/>
                <w:lang w:val="en-US" w:eastAsia="ja-JP"/>
              </w:rPr>
              <w:t>Fee: $142.25 Benefit: 75% = $106.70 85% = $120.95</w:t>
            </w:r>
          </w:p>
        </w:tc>
      </w:tr>
    </w:tbl>
    <w:p w14:paraId="08023E7E" w14:textId="56DA43AE" w:rsidR="005861C6" w:rsidRPr="00EF7855" w:rsidRDefault="0005736C" w:rsidP="00A770A8">
      <w:pPr>
        <w:pStyle w:val="Instructionaltext-afterfiguretable"/>
        <w:spacing w:line="276" w:lineRule="auto"/>
        <w:rPr>
          <w:color w:val="000000" w:themeColor="text1"/>
        </w:rPr>
      </w:pPr>
      <w:r w:rsidRPr="00EF7855">
        <w:rPr>
          <w:color w:val="000000" w:themeColor="text1"/>
        </w:rPr>
        <w:t xml:space="preserve">It was assumed that all services will also attract a specialist consultation fee of $87.30 (MBS item 116). </w:t>
      </w:r>
    </w:p>
    <w:p w14:paraId="38367E2A" w14:textId="1D5208A9" w:rsidR="00A24F2F" w:rsidRPr="00EF7855" w:rsidRDefault="0005736C" w:rsidP="00FB1023">
      <w:pPr>
        <w:pStyle w:val="Instructionaltext-afterfiguretable"/>
        <w:spacing w:before="0" w:line="276" w:lineRule="auto"/>
        <w:rPr>
          <w:color w:val="000000" w:themeColor="text1"/>
        </w:rPr>
      </w:pPr>
      <w:r w:rsidRPr="00EF7855">
        <w:rPr>
          <w:color w:val="000000" w:themeColor="text1"/>
        </w:rPr>
        <w:t xml:space="preserve">Additionally, per </w:t>
      </w:r>
      <w:r w:rsidR="009B0CD8" w:rsidRPr="00EF7855">
        <w:rPr>
          <w:color w:val="000000" w:themeColor="text1"/>
        </w:rPr>
        <w:t>the key</w:t>
      </w:r>
      <w:r w:rsidRPr="00EF7855">
        <w:rPr>
          <w:color w:val="000000" w:themeColor="text1"/>
        </w:rPr>
        <w:t xml:space="preserve"> trial</w:t>
      </w:r>
      <w:r w:rsidR="009B0CD8" w:rsidRPr="00EF7855">
        <w:rPr>
          <w:color w:val="000000" w:themeColor="text1"/>
        </w:rPr>
        <w:t xml:space="preserve">s, </w:t>
      </w:r>
      <w:r w:rsidRPr="00EF7855">
        <w:rPr>
          <w:color w:val="000000" w:themeColor="text1"/>
        </w:rPr>
        <w:t xml:space="preserve">55% of adults and 100% of patients aged 2-17 </w:t>
      </w:r>
      <w:r w:rsidR="00A7571F" w:rsidRPr="00EF7855">
        <w:rPr>
          <w:color w:val="000000" w:themeColor="text1"/>
        </w:rPr>
        <w:t xml:space="preserve">years </w:t>
      </w:r>
      <w:r w:rsidRPr="00EF7855">
        <w:rPr>
          <w:color w:val="000000" w:themeColor="text1"/>
        </w:rPr>
        <w:t xml:space="preserve">required ultrasound imaging to guide injections. </w:t>
      </w:r>
      <w:r w:rsidR="0053175E" w:rsidRPr="00EF7855">
        <w:rPr>
          <w:color w:val="000000" w:themeColor="text1"/>
        </w:rPr>
        <w:t xml:space="preserve">In the paediatric trial </w:t>
      </w:r>
      <w:r w:rsidR="00476FD5" w:rsidRPr="00EF7855">
        <w:rPr>
          <w:color w:val="000000" w:themeColor="text1"/>
        </w:rPr>
        <w:t>(SIPXI) i</w:t>
      </w:r>
      <w:r w:rsidR="0053175E" w:rsidRPr="00EF7855">
        <w:rPr>
          <w:color w:val="000000" w:themeColor="text1"/>
        </w:rPr>
        <w:t xml:space="preserve">njection of both salivary glands at each side was performed at each injection visit using mandatory ultrasound guidance. </w:t>
      </w:r>
      <w:r w:rsidR="006A4D8E" w:rsidRPr="00EF7855">
        <w:rPr>
          <w:color w:val="000000" w:themeColor="text1"/>
        </w:rPr>
        <w:t xml:space="preserve">The </w:t>
      </w:r>
      <w:r w:rsidR="005A60F9" w:rsidRPr="00EF7855">
        <w:rPr>
          <w:color w:val="000000" w:themeColor="text1"/>
        </w:rPr>
        <w:t xml:space="preserve">ADAR </w:t>
      </w:r>
      <w:r w:rsidR="00B20864" w:rsidRPr="00EF7855">
        <w:rPr>
          <w:color w:val="000000" w:themeColor="text1"/>
        </w:rPr>
        <w:t xml:space="preserve">incorporated </w:t>
      </w:r>
      <w:r w:rsidRPr="00EF7855">
        <w:rPr>
          <w:color w:val="000000" w:themeColor="text1"/>
        </w:rPr>
        <w:t>an ultrasound fee of $153.20 (MBS item 55848)</w:t>
      </w:r>
      <w:r w:rsidR="005A60F9" w:rsidRPr="00EF7855">
        <w:rPr>
          <w:color w:val="000000" w:themeColor="text1"/>
        </w:rPr>
        <w:t xml:space="preserve"> for </w:t>
      </w:r>
      <w:r w:rsidR="0014061B" w:rsidRPr="00EF7855">
        <w:rPr>
          <w:color w:val="000000" w:themeColor="text1"/>
        </w:rPr>
        <w:t xml:space="preserve">musculoskeletal ultrasound, in conjunction with a surgical procedure using interventional techniques. </w:t>
      </w:r>
      <w:r w:rsidR="00671261" w:rsidRPr="00EF7855">
        <w:rPr>
          <w:color w:val="000000" w:themeColor="text1"/>
        </w:rPr>
        <w:t xml:space="preserve">The use of this item may not be appropriate as the item is for use with a surgical procedure. </w:t>
      </w:r>
    </w:p>
    <w:p w14:paraId="34E0B08F" w14:textId="1BA4EDDB" w:rsidR="00772829" w:rsidRPr="00CE28E3" w:rsidRDefault="00772829" w:rsidP="00A770A8">
      <w:pPr>
        <w:pStyle w:val="Heading2"/>
        <w:numPr>
          <w:ilvl w:val="0"/>
          <w:numId w:val="28"/>
        </w:numPr>
        <w:ind w:hanging="720"/>
      </w:pPr>
      <w:bookmarkStart w:id="17" w:name="_Toc69491419"/>
      <w:r w:rsidRPr="00CE28E3">
        <w:lastRenderedPageBreak/>
        <w:t>Population</w:t>
      </w:r>
      <w:bookmarkEnd w:id="17"/>
      <w:r w:rsidRPr="00CE28E3">
        <w:t xml:space="preserve"> </w:t>
      </w:r>
    </w:p>
    <w:p w14:paraId="478B5230" w14:textId="65DB2415" w:rsidR="0036449D" w:rsidRDefault="0036449D" w:rsidP="00F87E43">
      <w:pPr>
        <w:spacing w:line="276" w:lineRule="auto"/>
        <w:rPr>
          <w:rFonts w:cs="Segoe UI"/>
        </w:rPr>
      </w:pPr>
      <w:r>
        <w:rPr>
          <w:rFonts w:cs="Segoe UI"/>
        </w:rPr>
        <w:t>As this is part of a streamlined-codependent submission, there was no PICO developed</w:t>
      </w:r>
      <w:r w:rsidR="00CD1BD1">
        <w:rPr>
          <w:rFonts w:cs="Segoe UI"/>
        </w:rPr>
        <w:t xml:space="preserve"> via PASC</w:t>
      </w:r>
      <w:r>
        <w:rPr>
          <w:rFonts w:cs="Segoe UI"/>
        </w:rPr>
        <w:t xml:space="preserve">. </w:t>
      </w:r>
      <w:r w:rsidR="00CD1BD1">
        <w:rPr>
          <w:rFonts w:cs="Segoe UI"/>
        </w:rPr>
        <w:t xml:space="preserve">The population </w:t>
      </w:r>
      <w:r w:rsidR="00CA75E0">
        <w:rPr>
          <w:rFonts w:cs="Segoe UI"/>
        </w:rPr>
        <w:t xml:space="preserve">that are eligible for incobotulinumtoxinA injection for chronic sialorrhea treatment are as per the TGA approved </w:t>
      </w:r>
      <w:r w:rsidR="0034033B">
        <w:rPr>
          <w:rFonts w:cs="Segoe UI"/>
        </w:rPr>
        <w:t>Product Information</w:t>
      </w:r>
      <w:r w:rsidR="00CA75E0">
        <w:rPr>
          <w:rFonts w:cs="Segoe UI"/>
        </w:rPr>
        <w:t>:</w:t>
      </w:r>
    </w:p>
    <w:p w14:paraId="27CDA040" w14:textId="524145D2" w:rsidR="009D76BB" w:rsidRPr="004D286C" w:rsidRDefault="00CA75E0" w:rsidP="00F87E43">
      <w:pPr>
        <w:spacing w:line="276" w:lineRule="auto"/>
        <w:ind w:left="720"/>
        <w:rPr>
          <w:rFonts w:cs="Segoe UI"/>
        </w:rPr>
      </w:pPr>
      <w:r w:rsidRPr="004D286C">
        <w:rPr>
          <w:rFonts w:cs="Segoe UI"/>
        </w:rPr>
        <w:t>“</w:t>
      </w:r>
      <w:r w:rsidR="009D76BB" w:rsidRPr="004D286C">
        <w:rPr>
          <w:rFonts w:cs="Segoe UI"/>
        </w:rPr>
        <w:t>Children and adolescents aged 2-17 years with chronic sialorrhea due to neurological or neurodevelopmental disorders, and adults (≥18 years) with chronic sialorrhea due to neurological disorders.</w:t>
      </w:r>
      <w:r w:rsidRPr="004D286C">
        <w:rPr>
          <w:rFonts w:cs="Segoe UI"/>
        </w:rPr>
        <w:t>”</w:t>
      </w:r>
    </w:p>
    <w:p w14:paraId="7A163290" w14:textId="4EE6154C" w:rsidR="009E0555" w:rsidRDefault="009D76BB" w:rsidP="00F87E43">
      <w:pPr>
        <w:spacing w:line="276" w:lineRule="auto"/>
        <w:rPr>
          <w:rStyle w:val="fontstyle01"/>
          <w:rFonts w:ascii="Franklin Gothic Book" w:hAnsi="Franklin Gothic Book" w:cs="Segoe UI"/>
          <w:sz w:val="22"/>
          <w:szCs w:val="22"/>
        </w:rPr>
      </w:pPr>
      <w:r w:rsidRPr="004A624C">
        <w:rPr>
          <w:rFonts w:cs="Segoe UI"/>
        </w:rPr>
        <w:t xml:space="preserve">Sialorrhea (excessive drooling) is an excess spillage of saliva over the lip margin. Sialorrhea is generally diagnosed by clinical assessment </w:t>
      </w:r>
      <w:r w:rsidR="00E12798" w:rsidRPr="004A624C">
        <w:rPr>
          <w:rFonts w:cs="Segoe UI"/>
        </w:rPr>
        <w:t>based on</w:t>
      </w:r>
      <w:r w:rsidRPr="004A624C">
        <w:rPr>
          <w:rFonts w:cs="Segoe UI"/>
        </w:rPr>
        <w:t xml:space="preserve"> the experience of the patients and parents/caregivers as well as the observations by healthcare professionals. However, the </w:t>
      </w:r>
      <w:r w:rsidR="00E12798" w:rsidRPr="004A624C">
        <w:rPr>
          <w:rFonts w:cs="Segoe UI"/>
        </w:rPr>
        <w:t>most used</w:t>
      </w:r>
      <w:r w:rsidRPr="004A624C">
        <w:rPr>
          <w:rFonts w:cs="Segoe UI"/>
        </w:rPr>
        <w:t xml:space="preserve"> quantitative measure to describe the severity of sialorrhea is the Drooling Severity and Frequency Scale (DSFS).</w:t>
      </w:r>
      <w:r w:rsidR="00E5594B">
        <w:rPr>
          <w:rFonts w:eastAsia="Segoe UI" w:cs="Segoe UI"/>
          <w:color w:val="000000"/>
        </w:rPr>
        <w:t xml:space="preserve"> </w:t>
      </w:r>
      <w:r w:rsidR="009E0555" w:rsidRPr="004A624C">
        <w:rPr>
          <w:rFonts w:cs="Segoe UI"/>
        </w:rPr>
        <w:t xml:space="preserve">Patients with severe chronic sialorrhea </w:t>
      </w:r>
      <w:r w:rsidR="009E0555" w:rsidRPr="004A624C">
        <w:rPr>
          <w:rStyle w:val="fontstyle01"/>
          <w:rFonts w:ascii="Franklin Gothic Book" w:hAnsi="Franklin Gothic Book" w:cs="Segoe UI"/>
          <w:sz w:val="22"/>
          <w:szCs w:val="22"/>
        </w:rPr>
        <w:t>can suffer from quality-of-life issues (such as social</w:t>
      </w:r>
      <w:r w:rsidR="009E0555" w:rsidRPr="004A624C">
        <w:rPr>
          <w:rFonts w:cs="Segoe UI"/>
        </w:rPr>
        <w:t xml:space="preserve"> </w:t>
      </w:r>
      <w:r w:rsidR="009E0555" w:rsidRPr="004A624C">
        <w:rPr>
          <w:rStyle w:val="fontstyle01"/>
          <w:rFonts w:ascii="Franklin Gothic Book" w:hAnsi="Franklin Gothic Book" w:cs="Segoe UI"/>
          <w:sz w:val="22"/>
          <w:szCs w:val="22"/>
        </w:rPr>
        <w:t>isolation) and unintelligible speech to facial skin maceration and even increased</w:t>
      </w:r>
      <w:r w:rsidR="009E0555" w:rsidRPr="004A624C">
        <w:rPr>
          <w:rFonts w:cs="Segoe UI"/>
        </w:rPr>
        <w:t xml:space="preserve"> </w:t>
      </w:r>
      <w:r w:rsidR="009E0555" w:rsidRPr="004A624C">
        <w:rPr>
          <w:rStyle w:val="fontstyle01"/>
          <w:rFonts w:ascii="Franklin Gothic Book" w:hAnsi="Franklin Gothic Book" w:cs="Segoe UI"/>
          <w:sz w:val="22"/>
          <w:szCs w:val="22"/>
        </w:rPr>
        <w:t>morbidity and mortality due to dehydration, choking, aspiration, and pneumonia.</w:t>
      </w:r>
      <w:r w:rsidR="009E0555">
        <w:rPr>
          <w:rStyle w:val="FootnoteReference"/>
          <w:rFonts w:eastAsia="Segoe UI" w:cs="Segoe UI"/>
          <w:color w:val="000000"/>
        </w:rPr>
        <w:footnoteReference w:id="2"/>
      </w:r>
    </w:p>
    <w:p w14:paraId="5DB1106E" w14:textId="76FC9727" w:rsidR="00F40906" w:rsidRDefault="00C760C2" w:rsidP="00F87E43">
      <w:pPr>
        <w:spacing w:line="276" w:lineRule="auto"/>
        <w:rPr>
          <w:rStyle w:val="fontstyle01"/>
          <w:rFonts w:ascii="Franklin Gothic Book" w:hAnsi="Franklin Gothic Book" w:cs="Segoe UI"/>
          <w:sz w:val="22"/>
          <w:szCs w:val="22"/>
        </w:rPr>
      </w:pPr>
      <w:r>
        <w:rPr>
          <w:rFonts w:cs="Segoe UI"/>
        </w:rPr>
        <w:t>The proposed PBS restriction requires the individual to reach</w:t>
      </w:r>
      <w:r w:rsidR="004A0F67">
        <w:rPr>
          <w:rFonts w:cs="Segoe UI"/>
        </w:rPr>
        <w:t xml:space="preserve"> a combined DSFS score of </w:t>
      </w:r>
      <w:r w:rsidR="009D76BB" w:rsidRPr="004A624C">
        <w:rPr>
          <w:rFonts w:eastAsia="Segoe UI" w:cs="Segoe UI"/>
          <w:color w:val="000000"/>
        </w:rPr>
        <w:t>6 or more</w:t>
      </w:r>
      <w:r w:rsidR="004A0F67">
        <w:rPr>
          <w:rFonts w:eastAsia="Segoe UI" w:cs="Segoe UI"/>
          <w:color w:val="000000"/>
        </w:rPr>
        <w:t xml:space="preserve"> – indicated </w:t>
      </w:r>
      <w:r w:rsidR="00DA7424">
        <w:rPr>
          <w:rFonts w:eastAsia="Segoe UI" w:cs="Segoe UI"/>
          <w:color w:val="000000"/>
        </w:rPr>
        <w:t>severe chronic sialorrhea – to</w:t>
      </w:r>
      <w:r w:rsidR="009D76BB" w:rsidRPr="004A624C">
        <w:rPr>
          <w:rFonts w:eastAsia="Segoe UI" w:cs="Segoe UI"/>
          <w:color w:val="000000"/>
        </w:rPr>
        <w:t xml:space="preserve"> initiate treatment with incobotulinumtoxinA</w:t>
      </w:r>
      <w:r w:rsidR="00BD24E7">
        <w:rPr>
          <w:rFonts w:eastAsia="Segoe UI" w:cs="Segoe UI"/>
          <w:color w:val="000000"/>
        </w:rPr>
        <w:t xml:space="preserve"> and maintain an at least a one-point improvement compared to baseline to maintain treatment.</w:t>
      </w:r>
      <w:r w:rsidR="009D76BB" w:rsidRPr="004A624C">
        <w:rPr>
          <w:rFonts w:eastAsia="Segoe UI" w:cs="Segoe UI"/>
          <w:color w:val="000000"/>
        </w:rPr>
        <w:t xml:space="preserve"> </w:t>
      </w:r>
      <w:r w:rsidR="00EE32AC" w:rsidRPr="00EE32AC">
        <w:rPr>
          <w:rFonts w:eastAsia="Segoe UI" w:cs="Segoe UI"/>
          <w:color w:val="000000"/>
        </w:rPr>
        <w:t xml:space="preserve">Paediatric patients who initiate treatment for cerebral palsy or developmental disorders </w:t>
      </w:r>
      <w:r w:rsidR="00B44942">
        <w:rPr>
          <w:rFonts w:eastAsia="Segoe UI" w:cs="Segoe UI"/>
          <w:color w:val="000000"/>
        </w:rPr>
        <w:t xml:space="preserve">will be </w:t>
      </w:r>
      <w:r w:rsidR="00EE32AC" w:rsidRPr="00EE32AC">
        <w:rPr>
          <w:rFonts w:eastAsia="Segoe UI" w:cs="Segoe UI"/>
          <w:color w:val="000000"/>
        </w:rPr>
        <w:t>eligible for continued treatment as an adult.</w:t>
      </w:r>
      <w:r w:rsidR="00B423D1">
        <w:rPr>
          <w:rFonts w:eastAsia="Segoe UI" w:cs="Segoe UI"/>
          <w:color w:val="000000"/>
        </w:rPr>
        <w:t xml:space="preserve"> </w:t>
      </w:r>
      <w:r w:rsidR="00772680">
        <w:rPr>
          <w:rStyle w:val="fontstyle01"/>
          <w:rFonts w:ascii="Franklin Gothic Book" w:hAnsi="Franklin Gothic Book" w:cs="Segoe UI"/>
          <w:sz w:val="22"/>
          <w:szCs w:val="22"/>
        </w:rPr>
        <w:t>The PBAC considered that th</w:t>
      </w:r>
      <w:r w:rsidR="007D7582">
        <w:rPr>
          <w:rStyle w:val="fontstyle01"/>
          <w:rFonts w:ascii="Franklin Gothic Book" w:hAnsi="Franklin Gothic Book" w:cs="Segoe UI"/>
          <w:sz w:val="22"/>
          <w:szCs w:val="22"/>
        </w:rPr>
        <w:t>ese criteria</w:t>
      </w:r>
      <w:r w:rsidR="00772680">
        <w:rPr>
          <w:rStyle w:val="fontstyle01"/>
          <w:rFonts w:ascii="Franklin Gothic Book" w:hAnsi="Franklin Gothic Book" w:cs="Segoe UI"/>
          <w:sz w:val="22"/>
          <w:szCs w:val="22"/>
        </w:rPr>
        <w:t xml:space="preserve"> </w:t>
      </w:r>
      <w:r w:rsidR="007D7582">
        <w:rPr>
          <w:rStyle w:val="fontstyle01"/>
          <w:rFonts w:ascii="Franklin Gothic Book" w:hAnsi="Franklin Gothic Book" w:cs="Segoe UI"/>
          <w:sz w:val="22"/>
          <w:szCs w:val="22"/>
        </w:rPr>
        <w:t xml:space="preserve">were </w:t>
      </w:r>
      <w:r w:rsidR="00772680">
        <w:rPr>
          <w:rStyle w:val="fontstyle01"/>
          <w:rFonts w:ascii="Franklin Gothic Book" w:hAnsi="Franklin Gothic Book" w:cs="Segoe UI"/>
          <w:sz w:val="22"/>
          <w:szCs w:val="22"/>
        </w:rPr>
        <w:t>appropriate</w:t>
      </w:r>
      <w:r w:rsidR="004E05F7">
        <w:rPr>
          <w:rStyle w:val="fontstyle01"/>
          <w:rFonts w:ascii="Franklin Gothic Book" w:hAnsi="Franklin Gothic Book" w:cs="Segoe UI"/>
          <w:sz w:val="22"/>
          <w:szCs w:val="22"/>
        </w:rPr>
        <w:t xml:space="preserve">. </w:t>
      </w:r>
      <w:r w:rsidR="004E05F7" w:rsidRPr="004E05F7">
        <w:rPr>
          <w:rStyle w:val="fontstyle01"/>
          <w:rFonts w:ascii="Franklin Gothic Book" w:hAnsi="Franklin Gothic Book" w:cs="Segoe UI"/>
          <w:sz w:val="22"/>
          <w:szCs w:val="22"/>
        </w:rPr>
        <w:t xml:space="preserve">The PBAC also noted that the submission suggested that it may be reasonable to extend the PBS listing criteria to include patients with other neurological conditions known to cause chronic sialorrhea. However, the PBAC advised that the proposed extension to the PBS listing was not appropriate due to the lack of clinical trial evidence. </w:t>
      </w:r>
      <w:r w:rsidR="00B44942" w:rsidRPr="005F2440">
        <w:rPr>
          <w:iCs/>
          <w:color w:val="000000" w:themeColor="text1"/>
        </w:rPr>
        <w:t>(</w:t>
      </w:r>
      <w:r w:rsidR="00B44942" w:rsidRPr="004D286C">
        <w:rPr>
          <w:iCs/>
          <w:color w:val="000000" w:themeColor="text1"/>
        </w:rPr>
        <w:t>6.04 incobotulinumtoxinA, ratified minutes, Nov 2024, paragraph</w:t>
      </w:r>
      <w:r w:rsidR="004E05F7" w:rsidRPr="004D286C">
        <w:rPr>
          <w:iCs/>
          <w:color w:val="000000" w:themeColor="text1"/>
        </w:rPr>
        <w:t>s</w:t>
      </w:r>
      <w:r w:rsidR="00B44942" w:rsidRPr="004D286C">
        <w:rPr>
          <w:iCs/>
          <w:color w:val="000000" w:themeColor="text1"/>
        </w:rPr>
        <w:t xml:space="preserve"> 7.4</w:t>
      </w:r>
      <w:r w:rsidR="004E05F7" w:rsidRPr="004D286C">
        <w:rPr>
          <w:iCs/>
          <w:color w:val="000000" w:themeColor="text1"/>
        </w:rPr>
        <w:t xml:space="preserve"> to 7.5</w:t>
      </w:r>
      <w:r w:rsidR="00B44942" w:rsidRPr="005F2440">
        <w:rPr>
          <w:iCs/>
          <w:color w:val="000000" w:themeColor="text1"/>
        </w:rPr>
        <w:t>)</w:t>
      </w:r>
      <w:r w:rsidR="00772680" w:rsidRPr="005F2440">
        <w:rPr>
          <w:rStyle w:val="fontstyle01"/>
          <w:rFonts w:ascii="Franklin Gothic Book" w:hAnsi="Franklin Gothic Book" w:cs="Segoe UI"/>
          <w:iCs/>
          <w:sz w:val="22"/>
          <w:szCs w:val="22"/>
        </w:rPr>
        <w:t>.</w:t>
      </w:r>
    </w:p>
    <w:p w14:paraId="66BDFCC1" w14:textId="369BE6CE" w:rsidR="00772829" w:rsidRPr="00CE28E3" w:rsidRDefault="00772829" w:rsidP="00A770A8">
      <w:pPr>
        <w:pStyle w:val="Heading2"/>
        <w:numPr>
          <w:ilvl w:val="0"/>
          <w:numId w:val="28"/>
        </w:numPr>
        <w:ind w:hanging="720"/>
      </w:pPr>
      <w:bookmarkStart w:id="18" w:name="_Toc69491420"/>
      <w:r w:rsidRPr="00CE28E3">
        <w:t>Comparator</w:t>
      </w:r>
      <w:bookmarkEnd w:id="18"/>
    </w:p>
    <w:p w14:paraId="36A151EA" w14:textId="4A98D1F2" w:rsidR="007E6A74" w:rsidRPr="00F444F8" w:rsidRDefault="007E6A74" w:rsidP="00F87E43">
      <w:pPr>
        <w:pStyle w:val="Instructionaltext"/>
        <w:spacing w:after="120" w:line="276" w:lineRule="auto"/>
        <w:rPr>
          <w:rFonts w:cs="Segoe UI"/>
          <w:color w:val="000000" w:themeColor="text1"/>
        </w:rPr>
      </w:pPr>
      <w:r w:rsidRPr="00F444F8">
        <w:rPr>
          <w:rFonts w:cs="Segoe UI"/>
          <w:color w:val="000000" w:themeColor="text1"/>
        </w:rPr>
        <w:t xml:space="preserve">The comparator </w:t>
      </w:r>
      <w:r w:rsidR="00F64B51">
        <w:rPr>
          <w:rFonts w:cs="Segoe UI"/>
          <w:color w:val="000000" w:themeColor="text1"/>
        </w:rPr>
        <w:t>in the PBAC sub</w:t>
      </w:r>
      <w:r w:rsidR="00FD1F4A">
        <w:rPr>
          <w:rFonts w:cs="Segoe UI"/>
          <w:color w:val="000000" w:themeColor="text1"/>
        </w:rPr>
        <w:t>mission was</w:t>
      </w:r>
      <w:r w:rsidRPr="00F444F8">
        <w:rPr>
          <w:rFonts w:cs="Segoe UI"/>
          <w:color w:val="000000" w:themeColor="text1"/>
        </w:rPr>
        <w:t xml:space="preserve"> supportive care via current clinical management.</w:t>
      </w:r>
    </w:p>
    <w:p w14:paraId="742B4692" w14:textId="48F9B1E1" w:rsidR="002B305F" w:rsidRPr="002B305F" w:rsidRDefault="009E0A5A" w:rsidP="00F87E43">
      <w:pPr>
        <w:pStyle w:val="Instructionaltext"/>
        <w:spacing w:after="120" w:line="276" w:lineRule="auto"/>
        <w:rPr>
          <w:color w:val="000000" w:themeColor="text1"/>
        </w:rPr>
      </w:pPr>
      <w:r>
        <w:rPr>
          <w:rFonts w:cs="Segoe UI"/>
          <w:color w:val="000000" w:themeColor="text1"/>
        </w:rPr>
        <w:t xml:space="preserve">The comparator was considered by PBAC. </w:t>
      </w:r>
      <w:r w:rsidR="00D736D8" w:rsidRPr="002B305F">
        <w:rPr>
          <w:rFonts w:cs="Segoe UI"/>
          <w:color w:val="000000" w:themeColor="text1"/>
        </w:rPr>
        <w:t xml:space="preserve">The </w:t>
      </w:r>
      <w:r w:rsidR="00BF5700" w:rsidRPr="002B305F">
        <w:rPr>
          <w:rFonts w:cs="Segoe UI"/>
          <w:color w:val="000000" w:themeColor="text1"/>
        </w:rPr>
        <w:t xml:space="preserve">PBAC noted </w:t>
      </w:r>
      <w:r w:rsidR="007078C3" w:rsidRPr="002B305F">
        <w:rPr>
          <w:rFonts w:cs="Segoe UI"/>
          <w:color w:val="000000" w:themeColor="text1"/>
        </w:rPr>
        <w:t xml:space="preserve">that </w:t>
      </w:r>
      <w:r w:rsidR="00EF64FC" w:rsidRPr="002B305F">
        <w:rPr>
          <w:rFonts w:cs="Segoe UI"/>
          <w:color w:val="000000" w:themeColor="text1"/>
        </w:rPr>
        <w:t>other botulinum toxin type A injections are not TGA</w:t>
      </w:r>
      <w:r w:rsidR="00D736D8" w:rsidRPr="002B305F">
        <w:rPr>
          <w:rFonts w:cs="Segoe UI"/>
          <w:color w:val="000000" w:themeColor="text1"/>
        </w:rPr>
        <w:t>-</w:t>
      </w:r>
      <w:r w:rsidR="00EF64FC" w:rsidRPr="002B305F">
        <w:rPr>
          <w:rFonts w:cs="Segoe UI"/>
          <w:color w:val="000000" w:themeColor="text1"/>
        </w:rPr>
        <w:t xml:space="preserve">approved for sialorrhea treatment and while </w:t>
      </w:r>
      <w:r w:rsidR="007078C3" w:rsidRPr="002B305F">
        <w:rPr>
          <w:rFonts w:cs="Segoe UI"/>
          <w:color w:val="000000" w:themeColor="text1"/>
        </w:rPr>
        <w:t xml:space="preserve">several anticholinergics are used off-label to treat sialorrhea, they are associated with </w:t>
      </w:r>
      <w:r w:rsidR="00080FB3" w:rsidRPr="002B305F">
        <w:rPr>
          <w:rFonts w:cs="Segoe UI"/>
          <w:color w:val="000000" w:themeColor="text1"/>
        </w:rPr>
        <w:t xml:space="preserve">toxicity and </w:t>
      </w:r>
      <w:r w:rsidR="007078C3" w:rsidRPr="002B305F">
        <w:rPr>
          <w:rFonts w:cs="Segoe UI"/>
          <w:color w:val="000000" w:themeColor="text1"/>
        </w:rPr>
        <w:t>poor tolerance</w:t>
      </w:r>
      <w:r w:rsidR="00080FB3" w:rsidRPr="002B305F">
        <w:rPr>
          <w:rFonts w:cs="Segoe UI"/>
          <w:color w:val="000000" w:themeColor="text1"/>
        </w:rPr>
        <w:t xml:space="preserve">. </w:t>
      </w:r>
      <w:r w:rsidR="004A79A5" w:rsidRPr="002B305F">
        <w:rPr>
          <w:rFonts w:cs="Segoe UI"/>
          <w:color w:val="000000" w:themeColor="text1"/>
        </w:rPr>
        <w:t>Considering</w:t>
      </w:r>
      <w:r w:rsidR="00D736D8" w:rsidRPr="002B305F">
        <w:rPr>
          <w:rFonts w:cs="Segoe UI"/>
          <w:color w:val="000000" w:themeColor="text1"/>
        </w:rPr>
        <w:t xml:space="preserve"> this t</w:t>
      </w:r>
      <w:r w:rsidR="002B305F" w:rsidRPr="002B305F">
        <w:rPr>
          <w:rFonts w:cs="Segoe UI"/>
          <w:color w:val="000000" w:themeColor="text1"/>
        </w:rPr>
        <w:t>he PBAC accepted the nominated comparator</w:t>
      </w:r>
      <w:r w:rsidR="00857181">
        <w:rPr>
          <w:rFonts w:cs="Segoe UI"/>
          <w:color w:val="000000" w:themeColor="text1"/>
        </w:rPr>
        <w:t xml:space="preserve"> of supportive care</w:t>
      </w:r>
      <w:r w:rsidR="003D2D1D">
        <w:rPr>
          <w:rFonts w:cs="Segoe UI"/>
          <w:color w:val="000000" w:themeColor="text1"/>
        </w:rPr>
        <w:t xml:space="preserve"> via current clinical management</w:t>
      </w:r>
      <w:r w:rsidR="002B305F" w:rsidRPr="002B305F">
        <w:rPr>
          <w:rFonts w:cs="Segoe UI"/>
          <w:color w:val="000000" w:themeColor="text1"/>
        </w:rPr>
        <w:t xml:space="preserve"> </w:t>
      </w:r>
      <w:r w:rsidR="002B305F" w:rsidRPr="005F2440">
        <w:rPr>
          <w:color w:val="000000" w:themeColor="text1"/>
        </w:rPr>
        <w:t>(</w:t>
      </w:r>
      <w:r w:rsidR="002B305F" w:rsidRPr="004D286C">
        <w:rPr>
          <w:color w:val="000000" w:themeColor="text1"/>
        </w:rPr>
        <w:t xml:space="preserve">6.04 incobotulinumtoxinA, ratified minutes, Nov 2024, paragraph </w:t>
      </w:r>
      <w:r w:rsidR="004A79A5" w:rsidRPr="004D286C">
        <w:rPr>
          <w:color w:val="000000" w:themeColor="text1"/>
        </w:rPr>
        <w:t>7</w:t>
      </w:r>
      <w:r w:rsidR="002B305F" w:rsidRPr="004D286C">
        <w:rPr>
          <w:color w:val="000000" w:themeColor="text1"/>
        </w:rPr>
        <w:t>.</w:t>
      </w:r>
      <w:r w:rsidR="004A79A5" w:rsidRPr="004D286C">
        <w:rPr>
          <w:color w:val="000000" w:themeColor="text1"/>
        </w:rPr>
        <w:t>6</w:t>
      </w:r>
      <w:r w:rsidR="002B305F" w:rsidRPr="005F2440">
        <w:rPr>
          <w:color w:val="000000" w:themeColor="text1"/>
        </w:rPr>
        <w:t>)</w:t>
      </w:r>
      <w:r w:rsidR="002B305F" w:rsidRPr="005F2440">
        <w:rPr>
          <w:rStyle w:val="fontstyle01"/>
          <w:rFonts w:ascii="Franklin Gothic Book" w:hAnsi="Franklin Gothic Book" w:cs="Segoe UI"/>
          <w:color w:val="000000" w:themeColor="text1"/>
          <w:sz w:val="22"/>
          <w:szCs w:val="22"/>
        </w:rPr>
        <w:t>.</w:t>
      </w:r>
    </w:p>
    <w:p w14:paraId="03C7A1F1" w14:textId="03A004A4" w:rsidR="00772829" w:rsidRPr="00CE28E3" w:rsidRDefault="00772829" w:rsidP="00A770A8">
      <w:pPr>
        <w:pStyle w:val="Heading2"/>
        <w:numPr>
          <w:ilvl w:val="0"/>
          <w:numId w:val="28"/>
        </w:numPr>
        <w:ind w:hanging="720"/>
      </w:pPr>
      <w:bookmarkStart w:id="19" w:name="_Toc69491422"/>
      <w:r w:rsidRPr="00CE28E3">
        <w:lastRenderedPageBreak/>
        <w:t>Characteristics of the evidence base</w:t>
      </w:r>
      <w:bookmarkEnd w:id="19"/>
    </w:p>
    <w:p w14:paraId="5D62FF2E" w14:textId="14790926" w:rsidR="00B50A67" w:rsidRPr="00DA1D12" w:rsidRDefault="00DE0D3B" w:rsidP="00F87E43">
      <w:pPr>
        <w:pStyle w:val="Instructionaltext"/>
        <w:widowControl w:val="0"/>
        <w:spacing w:line="276" w:lineRule="auto"/>
        <w:rPr>
          <w:rFonts w:eastAsia="Calibri" w:cs="Arial"/>
          <w:color w:val="auto"/>
        </w:rPr>
      </w:pPr>
      <w:r w:rsidRPr="00DA1D12">
        <w:rPr>
          <w:color w:val="000000" w:themeColor="text1"/>
        </w:rPr>
        <w:t>The PBAC considered the results of t</w:t>
      </w:r>
      <w:r w:rsidR="00B50A67" w:rsidRPr="00DA1D12">
        <w:rPr>
          <w:color w:val="000000" w:themeColor="text1"/>
        </w:rPr>
        <w:t xml:space="preserve">wo </w:t>
      </w:r>
      <w:r w:rsidR="007123FB" w:rsidRPr="00DA1D12">
        <w:rPr>
          <w:color w:val="000000" w:themeColor="text1"/>
        </w:rPr>
        <w:t xml:space="preserve">phase III </w:t>
      </w:r>
      <w:r w:rsidR="00B50A67" w:rsidRPr="00DA1D12">
        <w:rPr>
          <w:color w:val="000000" w:themeColor="text1"/>
        </w:rPr>
        <w:t>trial</w:t>
      </w:r>
      <w:r w:rsidR="007123FB" w:rsidRPr="00DA1D12">
        <w:rPr>
          <w:color w:val="000000" w:themeColor="text1"/>
        </w:rPr>
        <w:t xml:space="preserve">s </w:t>
      </w:r>
      <w:r w:rsidR="00354659" w:rsidRPr="00DA1D12">
        <w:rPr>
          <w:color w:val="000000" w:themeColor="text1"/>
        </w:rPr>
        <w:t>– SIAXI</w:t>
      </w:r>
      <w:r w:rsidR="00354659" w:rsidRPr="00DA1D12">
        <w:rPr>
          <w:rStyle w:val="FootnoteReference"/>
          <w:color w:val="000000" w:themeColor="text1"/>
        </w:rPr>
        <w:footnoteReference w:id="3"/>
      </w:r>
      <w:r w:rsidR="00354659" w:rsidRPr="00DA1D12">
        <w:rPr>
          <w:color w:val="000000" w:themeColor="text1"/>
        </w:rPr>
        <w:t xml:space="preserve"> and SIPEXI</w:t>
      </w:r>
      <w:r w:rsidR="00354659" w:rsidRPr="00DA1D12">
        <w:rPr>
          <w:rStyle w:val="FootnoteReference"/>
          <w:color w:val="000000" w:themeColor="text1"/>
        </w:rPr>
        <w:footnoteReference w:id="4"/>
      </w:r>
      <w:r w:rsidR="00354659" w:rsidRPr="00DA1D12">
        <w:rPr>
          <w:color w:val="000000" w:themeColor="text1"/>
        </w:rPr>
        <w:t xml:space="preserve"> - </w:t>
      </w:r>
      <w:r w:rsidR="007123FB" w:rsidRPr="00DA1D12">
        <w:rPr>
          <w:color w:val="000000" w:themeColor="text1"/>
        </w:rPr>
        <w:t xml:space="preserve">form the evidence base for </w:t>
      </w:r>
      <w:r w:rsidR="77614045" w:rsidRPr="00DA1D12">
        <w:rPr>
          <w:color w:val="000000" w:themeColor="text1"/>
        </w:rPr>
        <w:t>incobotulinumtoxinA</w:t>
      </w:r>
      <w:r w:rsidR="76C00CCD" w:rsidRPr="00DA1D12">
        <w:rPr>
          <w:color w:val="000000" w:themeColor="text1"/>
        </w:rPr>
        <w:t xml:space="preserve"> </w:t>
      </w:r>
      <w:r w:rsidR="3765A713" w:rsidRPr="00DA1D12">
        <w:rPr>
          <w:color w:val="000000" w:themeColor="text1"/>
        </w:rPr>
        <w:t>treatment</w:t>
      </w:r>
      <w:r w:rsidR="007123FB" w:rsidRPr="00DA1D12">
        <w:rPr>
          <w:color w:val="000000" w:themeColor="text1"/>
        </w:rPr>
        <w:t xml:space="preserve"> of chronic sialorrhea (</w:t>
      </w:r>
      <w:r w:rsidR="007123FB" w:rsidRPr="00DA1D12">
        <w:rPr>
          <w:color w:val="000000" w:themeColor="text1"/>
        </w:rPr>
        <w:fldChar w:fldCharType="begin"/>
      </w:r>
      <w:r w:rsidR="007123FB" w:rsidRPr="00DA1D12">
        <w:rPr>
          <w:color w:val="000000" w:themeColor="text1"/>
        </w:rPr>
        <w:instrText xml:space="preserve"> REF _Ref69725651 \h </w:instrText>
      </w:r>
      <w:r w:rsidR="00AC77D5" w:rsidRPr="00DA1D12">
        <w:rPr>
          <w:color w:val="000000" w:themeColor="text1"/>
        </w:rPr>
        <w:instrText xml:space="preserve"> \* MERGEFORMAT </w:instrText>
      </w:r>
      <w:r w:rsidR="007123FB" w:rsidRPr="00DA1D12">
        <w:rPr>
          <w:color w:val="000000" w:themeColor="text1"/>
        </w:rPr>
      </w:r>
      <w:r w:rsidR="007123FB" w:rsidRPr="00DA1D12">
        <w:rPr>
          <w:color w:val="000000" w:themeColor="text1"/>
        </w:rPr>
        <w:fldChar w:fldCharType="separate"/>
      </w:r>
      <w:r w:rsidR="00E12517" w:rsidRPr="00DA1D12">
        <w:rPr>
          <w:color w:val="000000" w:themeColor="text1"/>
        </w:rPr>
        <w:t>Table 3</w:t>
      </w:r>
      <w:r w:rsidR="007123FB" w:rsidRPr="00DA1D12">
        <w:rPr>
          <w:color w:val="000000" w:themeColor="text1"/>
        </w:rPr>
        <w:fldChar w:fldCharType="end"/>
      </w:r>
      <w:r w:rsidR="007123FB" w:rsidRPr="00DA1D12">
        <w:rPr>
          <w:color w:val="000000" w:themeColor="text1"/>
        </w:rPr>
        <w:t>)</w:t>
      </w:r>
      <w:r w:rsidR="00AC77D5" w:rsidRPr="00DA1D12">
        <w:rPr>
          <w:color w:val="000000" w:themeColor="text1"/>
        </w:rPr>
        <w:t xml:space="preserve">. </w:t>
      </w:r>
      <w:r w:rsidR="00354659" w:rsidRPr="00DA1D12">
        <w:rPr>
          <w:color w:val="000000" w:themeColor="text1"/>
        </w:rPr>
        <w:t>These trials consist of a</w:t>
      </w:r>
      <w:r w:rsidR="00F00308" w:rsidRPr="00DA1D12">
        <w:rPr>
          <w:color w:val="000000" w:themeColor="text1"/>
        </w:rPr>
        <w:t xml:space="preserve"> randomised, double-blind</w:t>
      </w:r>
      <w:r w:rsidR="003D3525" w:rsidRPr="00DA1D12">
        <w:rPr>
          <w:color w:val="000000" w:themeColor="text1"/>
        </w:rPr>
        <w:t xml:space="preserve">, placebo-controlled period evaluating efficacy and safety, and a randomised open-label </w:t>
      </w:r>
      <w:r w:rsidR="006D4D95" w:rsidRPr="00DA1D12">
        <w:rPr>
          <w:color w:val="000000" w:themeColor="text1"/>
        </w:rPr>
        <w:t xml:space="preserve">non-controlled </w:t>
      </w:r>
      <w:r w:rsidR="003D3525" w:rsidRPr="00DA1D12">
        <w:rPr>
          <w:color w:val="000000" w:themeColor="text1"/>
        </w:rPr>
        <w:t>extension period evaluating safety.</w:t>
      </w:r>
      <w:r w:rsidR="000F1F58" w:rsidRPr="00DA1D12">
        <w:rPr>
          <w:color w:val="000000" w:themeColor="text1"/>
        </w:rPr>
        <w:t xml:space="preserve"> </w:t>
      </w:r>
      <w:r w:rsidR="00CD3011" w:rsidRPr="00DA1D12">
        <w:rPr>
          <w:rFonts w:eastAsia="Calibri" w:cs="Arial"/>
          <w:snapToGrid w:val="0"/>
          <w:color w:val="auto"/>
        </w:rPr>
        <w:t xml:space="preserve">The PBAC considered that the evidence presented demonstrated an improvement in both the severity and frequency of sialorrhea compared with placebo. However, </w:t>
      </w:r>
      <w:r w:rsidR="00CD3011" w:rsidRPr="00DA1D12">
        <w:rPr>
          <w:rFonts w:eastAsia="Calibri" w:cs="Arial"/>
          <w:color w:val="auto"/>
        </w:rPr>
        <w:t>due to short trial durations and the lack established MCIDs, the magnitude of this benefit was uncertain</w:t>
      </w:r>
      <w:r w:rsidR="001312D3" w:rsidRPr="00DA1D12">
        <w:rPr>
          <w:rFonts w:eastAsia="Calibri" w:cs="Arial"/>
          <w:color w:val="auto"/>
        </w:rPr>
        <w:t xml:space="preserve"> </w:t>
      </w:r>
      <w:r w:rsidR="001312D3" w:rsidRPr="00DA1D12">
        <w:rPr>
          <w:color w:val="000000" w:themeColor="text1"/>
        </w:rPr>
        <w:t>(6.04 incobotulinumtoxinA, ratified minutes, Nov 2024, paragraph 7.</w:t>
      </w:r>
      <w:r w:rsidR="006B3250" w:rsidRPr="00DA1D12">
        <w:rPr>
          <w:color w:val="000000" w:themeColor="text1"/>
        </w:rPr>
        <w:t>7</w:t>
      </w:r>
      <w:r w:rsidR="001312D3" w:rsidRPr="00DA1D12">
        <w:rPr>
          <w:color w:val="000000" w:themeColor="text1"/>
        </w:rPr>
        <w:t>)</w:t>
      </w:r>
      <w:r w:rsidR="00CD3011" w:rsidRPr="00DA1D12">
        <w:rPr>
          <w:rFonts w:eastAsia="Calibri" w:cs="Arial"/>
          <w:color w:val="auto"/>
        </w:rPr>
        <w:t>.</w:t>
      </w:r>
      <w:r w:rsidR="008B15CE" w:rsidRPr="00DA1D12">
        <w:t xml:space="preserve"> </w:t>
      </w:r>
      <w:r w:rsidR="008B15CE" w:rsidRPr="00DA1D12">
        <w:rPr>
          <w:rFonts w:eastAsia="Calibri" w:cs="Arial"/>
          <w:color w:val="auto"/>
        </w:rPr>
        <w:t>The PBAC considered that the claim of inferior safety of incobotulinumtoxinA versus placebo was reasonable</w:t>
      </w:r>
      <w:r w:rsidR="00454BD9" w:rsidRPr="00DA1D12">
        <w:rPr>
          <w:rFonts w:eastAsia="Calibri" w:cs="Arial"/>
          <w:color w:val="auto"/>
        </w:rPr>
        <w:t xml:space="preserve"> </w:t>
      </w:r>
      <w:bookmarkStart w:id="20" w:name="_Hlk193266860"/>
      <w:r w:rsidR="00454BD9" w:rsidRPr="00DA1D12">
        <w:rPr>
          <w:color w:val="000000" w:themeColor="text1"/>
        </w:rPr>
        <w:t>(6.04 incobotulinumtoxinA, ratified minutes, Nov 2024, paragraph 7.8)</w:t>
      </w:r>
      <w:bookmarkEnd w:id="20"/>
      <w:r w:rsidR="008B15CE" w:rsidRPr="00DA1D12">
        <w:rPr>
          <w:rFonts w:eastAsia="Calibri" w:cs="Arial"/>
          <w:color w:val="auto"/>
        </w:rPr>
        <w:t>.</w:t>
      </w:r>
    </w:p>
    <w:p w14:paraId="692BCA4B" w14:textId="20AD61A0" w:rsidR="00956ACE" w:rsidRPr="00330A0A" w:rsidRDefault="00956ACE" w:rsidP="00F87E43">
      <w:pPr>
        <w:pStyle w:val="Caption"/>
        <w:keepNext w:val="0"/>
        <w:widowControl w:val="0"/>
        <w:rPr>
          <w:color w:val="538135" w:themeColor="accent6" w:themeShade="BF"/>
          <w:sz w:val="16"/>
          <w:szCs w:val="16"/>
        </w:rPr>
      </w:pPr>
      <w:bookmarkStart w:id="21" w:name="_Ref69725651"/>
      <w:r w:rsidRPr="00CE28E3">
        <w:t>Table</w:t>
      </w:r>
      <w:r w:rsidR="004A4FDF">
        <w:t> </w:t>
      </w:r>
      <w:r w:rsidR="00E12517">
        <w:fldChar w:fldCharType="begin"/>
      </w:r>
      <w:r w:rsidR="00E12517">
        <w:instrText xml:space="preserve"> SEQ Table \* ARABIC </w:instrText>
      </w:r>
      <w:r w:rsidR="00E12517">
        <w:fldChar w:fldCharType="separate"/>
      </w:r>
      <w:r w:rsidR="00E12517">
        <w:rPr>
          <w:noProof/>
        </w:rPr>
        <w:t>3</w:t>
      </w:r>
      <w:r w:rsidR="00E12517">
        <w:rPr>
          <w:noProof/>
        </w:rPr>
        <w:fldChar w:fldCharType="end"/>
      </w:r>
      <w:bookmarkEnd w:id="21"/>
      <w:r w:rsidRPr="00CE28E3">
        <w:tab/>
        <w:t xml:space="preserve">Key features of the </w:t>
      </w:r>
      <w:r w:rsidR="00CB3BC3">
        <w:t>clinical</w:t>
      </w:r>
      <w:r w:rsidR="00CB3BC3" w:rsidRPr="00CE28E3">
        <w:t xml:space="preserve"> </w:t>
      </w:r>
      <w:r w:rsidRPr="00CE28E3">
        <w:t>eviden</w:t>
      </w:r>
      <w:r w:rsidRPr="00E12517">
        <w:rPr>
          <w:color w:val="000000" w:themeColor="text1"/>
        </w:rPr>
        <w:t xml:space="preserve">ce </w:t>
      </w:r>
      <w:r w:rsidR="00CB3BC3" w:rsidRPr="00E12517">
        <w:rPr>
          <w:color w:val="000000" w:themeColor="text1"/>
        </w:rPr>
        <w:t>for incobotulinumtoxinA (Xeomin®) for chronic sialorrhea treatment</w:t>
      </w:r>
      <w:r w:rsidR="00B6510D">
        <w:rPr>
          <w:color w:val="000000" w:themeColor="text1"/>
        </w:rPr>
        <w:t xml:space="preserve"> (considered by PBAC)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0"/>
        <w:gridCol w:w="597"/>
        <w:gridCol w:w="1733"/>
        <w:gridCol w:w="1077"/>
        <w:gridCol w:w="1832"/>
        <w:gridCol w:w="1091"/>
        <w:gridCol w:w="1446"/>
      </w:tblGrid>
      <w:tr w:rsidR="00A4058B" w:rsidRPr="00E3366E" w14:paraId="475D8C60" w14:textId="77777777" w:rsidTr="005F3025">
        <w:trPr>
          <w:cantSplit/>
          <w:tblHeader/>
        </w:trPr>
        <w:tc>
          <w:tcPr>
            <w:tcW w:w="688" w:type="pct"/>
            <w:shd w:val="clear" w:color="auto" w:fill="D0CECE" w:themeFill="background2" w:themeFillShade="E6"/>
            <w:vAlign w:val="center"/>
          </w:tcPr>
          <w:p w14:paraId="4FFC981B" w14:textId="77777777" w:rsidR="00956ACE" w:rsidRPr="00E3366E" w:rsidRDefault="00956ACE" w:rsidP="00F87E43">
            <w:pPr>
              <w:pStyle w:val="In-tableHeading"/>
              <w:keepNext w:val="0"/>
              <w:widowControl w:val="0"/>
            </w:pPr>
            <w:bookmarkStart w:id="22" w:name="ColumnTitle_Table3"/>
            <w:bookmarkStart w:id="23" w:name="_Hlk68276112"/>
            <w:bookmarkEnd w:id="22"/>
            <w:r w:rsidRPr="00E3366E">
              <w:t>References</w:t>
            </w:r>
          </w:p>
        </w:tc>
        <w:tc>
          <w:tcPr>
            <w:tcW w:w="331" w:type="pct"/>
            <w:shd w:val="clear" w:color="auto" w:fill="D0CECE" w:themeFill="background2" w:themeFillShade="E6"/>
            <w:vAlign w:val="center"/>
          </w:tcPr>
          <w:p w14:paraId="28641D20" w14:textId="77777777" w:rsidR="00956ACE" w:rsidRPr="00E3366E" w:rsidRDefault="00956ACE" w:rsidP="00F87E43">
            <w:pPr>
              <w:pStyle w:val="In-tableHeading"/>
              <w:keepNext w:val="0"/>
              <w:widowControl w:val="0"/>
            </w:pPr>
            <w:r w:rsidRPr="00E3366E">
              <w:t>N</w:t>
            </w:r>
          </w:p>
        </w:tc>
        <w:tc>
          <w:tcPr>
            <w:tcW w:w="961" w:type="pct"/>
            <w:shd w:val="clear" w:color="auto" w:fill="D0CECE" w:themeFill="background2" w:themeFillShade="E6"/>
            <w:vAlign w:val="center"/>
          </w:tcPr>
          <w:p w14:paraId="23BE1BE2" w14:textId="0DE3768C" w:rsidR="00956ACE" w:rsidRPr="00E3366E" w:rsidRDefault="00956ACE" w:rsidP="00F87E43">
            <w:pPr>
              <w:pStyle w:val="In-tableHeading"/>
              <w:keepNext w:val="0"/>
              <w:widowControl w:val="0"/>
            </w:pPr>
            <w:r w:rsidRPr="00E3366E">
              <w:t>Design/duration</w:t>
            </w:r>
          </w:p>
        </w:tc>
        <w:tc>
          <w:tcPr>
            <w:tcW w:w="597" w:type="pct"/>
            <w:shd w:val="clear" w:color="auto" w:fill="D0CECE" w:themeFill="background2" w:themeFillShade="E6"/>
            <w:vAlign w:val="center"/>
          </w:tcPr>
          <w:p w14:paraId="4F407CF9" w14:textId="77777777" w:rsidR="00956ACE" w:rsidRPr="00E3366E" w:rsidRDefault="00956ACE" w:rsidP="00F87E43">
            <w:pPr>
              <w:pStyle w:val="In-tableHeading"/>
              <w:keepNext w:val="0"/>
              <w:widowControl w:val="0"/>
            </w:pPr>
            <w:r w:rsidRPr="00E3366E">
              <w:t>Risk of bias</w:t>
            </w:r>
          </w:p>
        </w:tc>
        <w:tc>
          <w:tcPr>
            <w:tcW w:w="1016" w:type="pct"/>
            <w:shd w:val="clear" w:color="auto" w:fill="D0CECE" w:themeFill="background2" w:themeFillShade="E6"/>
            <w:vAlign w:val="center"/>
          </w:tcPr>
          <w:p w14:paraId="78074E6B" w14:textId="77777777" w:rsidR="00956ACE" w:rsidRPr="00E3366E" w:rsidRDefault="00956ACE" w:rsidP="00F87E43">
            <w:pPr>
              <w:pStyle w:val="In-tableHeading"/>
              <w:keepNext w:val="0"/>
              <w:widowControl w:val="0"/>
            </w:pPr>
            <w:r w:rsidRPr="00E3366E">
              <w:t>Patient population</w:t>
            </w:r>
          </w:p>
        </w:tc>
        <w:tc>
          <w:tcPr>
            <w:tcW w:w="605" w:type="pct"/>
            <w:shd w:val="clear" w:color="auto" w:fill="D0CECE" w:themeFill="background2" w:themeFillShade="E6"/>
            <w:vAlign w:val="center"/>
          </w:tcPr>
          <w:p w14:paraId="4B5869A3" w14:textId="77777777" w:rsidR="00956ACE" w:rsidRPr="00E3366E" w:rsidRDefault="00956ACE" w:rsidP="00F87E43">
            <w:pPr>
              <w:pStyle w:val="In-tableHeading"/>
              <w:keepNext w:val="0"/>
              <w:widowControl w:val="0"/>
            </w:pPr>
            <w:r w:rsidRPr="00E3366E">
              <w:t>Outcome(s)</w:t>
            </w:r>
          </w:p>
        </w:tc>
        <w:tc>
          <w:tcPr>
            <w:tcW w:w="798" w:type="pct"/>
            <w:shd w:val="clear" w:color="auto" w:fill="D0CECE" w:themeFill="background2" w:themeFillShade="E6"/>
            <w:vAlign w:val="center"/>
          </w:tcPr>
          <w:p w14:paraId="19D97B58" w14:textId="77777777" w:rsidR="00956ACE" w:rsidRPr="00E3366E" w:rsidRDefault="00956ACE" w:rsidP="00F87E43">
            <w:pPr>
              <w:pStyle w:val="In-tableHeading"/>
              <w:keepNext w:val="0"/>
              <w:widowControl w:val="0"/>
            </w:pPr>
            <w:r w:rsidRPr="00E3366E">
              <w:t>Use in modelled evaluation</w:t>
            </w:r>
          </w:p>
        </w:tc>
      </w:tr>
      <w:tr w:rsidR="00956ACE" w:rsidRPr="00E3366E" w14:paraId="0C31313E" w14:textId="77777777" w:rsidTr="005F3025">
        <w:trPr>
          <w:cantSplit/>
        </w:trPr>
        <w:tc>
          <w:tcPr>
            <w:tcW w:w="5000" w:type="pct"/>
            <w:gridSpan w:val="7"/>
            <w:vAlign w:val="center"/>
          </w:tcPr>
          <w:p w14:paraId="6ADF1B8F" w14:textId="30E686F1" w:rsidR="00956ACE" w:rsidRPr="00E3366E" w:rsidRDefault="00907CC6" w:rsidP="00F87E43">
            <w:pPr>
              <w:pStyle w:val="In-tableHeading"/>
              <w:keepNext w:val="0"/>
              <w:widowControl w:val="0"/>
            </w:pPr>
            <w:r w:rsidRPr="00E3366E">
              <w:t>IncobotulinumtoxinA</w:t>
            </w:r>
            <w:r w:rsidR="003B55C2" w:rsidRPr="00E3366E">
              <w:t xml:space="preserve"> vs placebo (standard care)</w:t>
            </w:r>
          </w:p>
        </w:tc>
      </w:tr>
      <w:tr w:rsidR="008C2DC8" w:rsidRPr="00E3366E" w14:paraId="7E776818" w14:textId="77777777" w:rsidTr="005F3025">
        <w:trPr>
          <w:cantSplit/>
        </w:trPr>
        <w:tc>
          <w:tcPr>
            <w:tcW w:w="688" w:type="pct"/>
            <w:vAlign w:val="center"/>
          </w:tcPr>
          <w:p w14:paraId="563AC767" w14:textId="04FB7BEF" w:rsidR="00956ACE" w:rsidRPr="00E3366E" w:rsidRDefault="00165FBB" w:rsidP="00F87E43">
            <w:pPr>
              <w:pStyle w:val="TableText"/>
              <w:widowControl w:val="0"/>
              <w:rPr>
                <w:lang w:val="en-US"/>
              </w:rPr>
            </w:pPr>
            <w:r w:rsidRPr="00E3366E">
              <w:rPr>
                <w:lang w:val="en-US"/>
              </w:rPr>
              <w:t>Jost 2019</w:t>
            </w:r>
          </w:p>
        </w:tc>
        <w:tc>
          <w:tcPr>
            <w:tcW w:w="331" w:type="pct"/>
            <w:vAlign w:val="center"/>
          </w:tcPr>
          <w:p w14:paraId="280096E2" w14:textId="3ECE3B2B" w:rsidR="00956ACE" w:rsidRPr="00E3366E" w:rsidRDefault="008160B3" w:rsidP="00F87E43">
            <w:pPr>
              <w:pStyle w:val="TableText"/>
              <w:widowControl w:val="0"/>
              <w:rPr>
                <w:lang w:val="en-US"/>
              </w:rPr>
            </w:pPr>
            <w:r w:rsidRPr="00E3366E">
              <w:rPr>
                <w:lang w:val="en-US"/>
              </w:rPr>
              <w:t>184</w:t>
            </w:r>
          </w:p>
        </w:tc>
        <w:tc>
          <w:tcPr>
            <w:tcW w:w="961" w:type="pct"/>
            <w:vAlign w:val="center"/>
          </w:tcPr>
          <w:p w14:paraId="2B16B3DA" w14:textId="4FC33D0C" w:rsidR="00284A36" w:rsidRPr="00E3366E" w:rsidRDefault="00284A36" w:rsidP="00F87E43">
            <w:pPr>
              <w:pStyle w:val="TableText"/>
              <w:widowControl w:val="0"/>
              <w:rPr>
                <w:lang w:val="en-US"/>
              </w:rPr>
            </w:pPr>
            <w:r w:rsidRPr="00E3366E">
              <w:rPr>
                <w:lang w:val="en-US"/>
              </w:rPr>
              <w:t xml:space="preserve">DB RCT = </w:t>
            </w:r>
            <w:r w:rsidR="005D4048" w:rsidRPr="00E3366E">
              <w:rPr>
                <w:lang w:val="en-US"/>
              </w:rPr>
              <w:t>16 weeks</w:t>
            </w:r>
          </w:p>
          <w:p w14:paraId="39A9151F" w14:textId="5996FE50" w:rsidR="00956ACE" w:rsidRPr="00E3366E" w:rsidRDefault="00284A36" w:rsidP="00F87E43">
            <w:pPr>
              <w:pStyle w:val="TableText"/>
              <w:widowControl w:val="0"/>
              <w:rPr>
                <w:lang w:val="en-US"/>
              </w:rPr>
            </w:pPr>
            <w:r w:rsidRPr="00E3366E">
              <w:rPr>
                <w:lang w:val="en-US"/>
              </w:rPr>
              <w:t xml:space="preserve">OL = </w:t>
            </w:r>
            <w:r w:rsidR="00E87B37" w:rsidRPr="00E3366E">
              <w:rPr>
                <w:lang w:val="en-US"/>
              </w:rPr>
              <w:t>48 weeks</w:t>
            </w:r>
            <w:r w:rsidRPr="00E3366E">
              <w:rPr>
                <w:lang w:val="en-US"/>
              </w:rPr>
              <w:t xml:space="preserve"> </w:t>
            </w:r>
          </w:p>
        </w:tc>
        <w:tc>
          <w:tcPr>
            <w:tcW w:w="597" w:type="pct"/>
            <w:vAlign w:val="center"/>
          </w:tcPr>
          <w:p w14:paraId="269C28DF" w14:textId="77777777" w:rsidR="00956ACE" w:rsidRPr="004D286C" w:rsidRDefault="00956ACE" w:rsidP="00F87E43">
            <w:pPr>
              <w:pStyle w:val="TableText"/>
              <w:widowControl w:val="0"/>
              <w:rPr>
                <w:lang w:val="en-US"/>
              </w:rPr>
            </w:pPr>
            <w:r w:rsidRPr="004D286C">
              <w:rPr>
                <w:lang w:val="en-US"/>
              </w:rPr>
              <w:t>Low</w:t>
            </w:r>
          </w:p>
        </w:tc>
        <w:tc>
          <w:tcPr>
            <w:tcW w:w="1016" w:type="pct"/>
            <w:vAlign w:val="center"/>
          </w:tcPr>
          <w:p w14:paraId="4FD8A7FC" w14:textId="0C585B31" w:rsidR="00956ACE" w:rsidRPr="00E3366E" w:rsidRDefault="000F38C4" w:rsidP="00F87E43">
            <w:pPr>
              <w:pStyle w:val="TableText"/>
              <w:widowControl w:val="0"/>
              <w:rPr>
                <w:color w:val="000000" w:themeColor="text1"/>
              </w:rPr>
            </w:pPr>
            <w:r w:rsidRPr="00E3366E">
              <w:rPr>
                <w:color w:val="000000" w:themeColor="text1"/>
              </w:rPr>
              <w:t xml:space="preserve">Adults with chronic sialorrhea due to Parkinson’s </w:t>
            </w:r>
            <w:r w:rsidRPr="00E3366E">
              <w:rPr>
                <w:lang w:val="en-US"/>
              </w:rPr>
              <w:t>disease</w:t>
            </w:r>
            <w:r w:rsidRPr="00E3366E">
              <w:rPr>
                <w:color w:val="000000" w:themeColor="text1"/>
              </w:rPr>
              <w:t xml:space="preserve">, stroke, and traumatic brain injury randomised to Xeomin or placebo treatment arms. </w:t>
            </w:r>
          </w:p>
        </w:tc>
        <w:tc>
          <w:tcPr>
            <w:tcW w:w="605" w:type="pct"/>
            <w:vAlign w:val="center"/>
          </w:tcPr>
          <w:p w14:paraId="1F508307" w14:textId="77777777" w:rsidR="00A621A2" w:rsidRPr="00E3366E" w:rsidRDefault="00AE2266" w:rsidP="00F87E43">
            <w:pPr>
              <w:pStyle w:val="TableText"/>
              <w:widowControl w:val="0"/>
              <w:rPr>
                <w:lang w:val="en-US"/>
              </w:rPr>
            </w:pPr>
            <w:r w:rsidRPr="004D286C">
              <w:rPr>
                <w:lang w:val="en-US"/>
              </w:rPr>
              <w:t xml:space="preserve">Efficacy: </w:t>
            </w:r>
            <w:r w:rsidR="005A65AF" w:rsidRPr="00E3366E">
              <w:rPr>
                <w:lang w:val="en-US"/>
              </w:rPr>
              <w:t>uSFR</w:t>
            </w:r>
            <w:r w:rsidRPr="00E3366E">
              <w:rPr>
                <w:lang w:val="en-US"/>
              </w:rPr>
              <w:t xml:space="preserve">, </w:t>
            </w:r>
            <w:r w:rsidR="00394BB1" w:rsidRPr="00E3366E">
              <w:rPr>
                <w:lang w:val="en-US"/>
              </w:rPr>
              <w:t>DSFS</w:t>
            </w:r>
            <w:r w:rsidRPr="00E3366E">
              <w:rPr>
                <w:lang w:val="en-US"/>
              </w:rPr>
              <w:t xml:space="preserve">, </w:t>
            </w:r>
            <w:r w:rsidR="005A65AF" w:rsidRPr="00E3366E">
              <w:rPr>
                <w:lang w:val="en-US"/>
              </w:rPr>
              <w:t>GICS</w:t>
            </w:r>
            <w:r w:rsidRPr="00E3366E">
              <w:rPr>
                <w:lang w:val="en-US"/>
              </w:rPr>
              <w:t xml:space="preserve">, </w:t>
            </w:r>
            <w:r w:rsidR="00A621A2" w:rsidRPr="00E3366E">
              <w:rPr>
                <w:lang w:val="en-US"/>
              </w:rPr>
              <w:t>EQ-5D-3L</w:t>
            </w:r>
          </w:p>
          <w:p w14:paraId="0E02165C" w14:textId="77777777" w:rsidR="008C2DC8" w:rsidRPr="00E3366E" w:rsidRDefault="008C2DC8" w:rsidP="00F87E43">
            <w:pPr>
              <w:pStyle w:val="TableText"/>
              <w:widowControl w:val="0"/>
              <w:rPr>
                <w:lang w:val="en-US"/>
              </w:rPr>
            </w:pPr>
          </w:p>
          <w:p w14:paraId="45B1587F" w14:textId="40B8A06B" w:rsidR="008C2DC8" w:rsidRPr="00E3366E" w:rsidRDefault="008C2DC8" w:rsidP="00F87E43">
            <w:pPr>
              <w:pStyle w:val="TableText"/>
              <w:widowControl w:val="0"/>
              <w:rPr>
                <w:lang w:val="en-US"/>
              </w:rPr>
            </w:pPr>
            <w:r w:rsidRPr="004D286C">
              <w:rPr>
                <w:lang w:val="en-US"/>
              </w:rPr>
              <w:t>Safety</w:t>
            </w:r>
          </w:p>
        </w:tc>
        <w:tc>
          <w:tcPr>
            <w:tcW w:w="798" w:type="pct"/>
            <w:vAlign w:val="center"/>
          </w:tcPr>
          <w:p w14:paraId="61F2E54F" w14:textId="7D6FD271" w:rsidR="00394BB1" w:rsidRPr="00E3366E" w:rsidRDefault="00394BB1" w:rsidP="00F87E43">
            <w:pPr>
              <w:pStyle w:val="TableText"/>
              <w:widowControl w:val="0"/>
              <w:rPr>
                <w:lang w:val="en-US"/>
              </w:rPr>
            </w:pPr>
            <w:r w:rsidRPr="00E3366E">
              <w:rPr>
                <w:lang w:val="en-US"/>
              </w:rPr>
              <w:t>uSFR</w:t>
            </w:r>
          </w:p>
          <w:p w14:paraId="702CE135" w14:textId="77777777" w:rsidR="00956ACE" w:rsidRPr="00E3366E" w:rsidRDefault="00394BB1" w:rsidP="00F87E43">
            <w:pPr>
              <w:pStyle w:val="TableText"/>
              <w:widowControl w:val="0"/>
              <w:rPr>
                <w:lang w:val="en-US"/>
              </w:rPr>
            </w:pPr>
            <w:r w:rsidRPr="00E3366E">
              <w:rPr>
                <w:lang w:val="en-US"/>
              </w:rPr>
              <w:t>DSFS</w:t>
            </w:r>
          </w:p>
          <w:p w14:paraId="3F9CD3D5" w14:textId="0FAAE313" w:rsidR="00A621A2" w:rsidRPr="00E3366E" w:rsidRDefault="00A621A2" w:rsidP="00F87E43">
            <w:pPr>
              <w:pStyle w:val="TableText"/>
              <w:widowControl w:val="0"/>
              <w:rPr>
                <w:lang w:val="en-US"/>
              </w:rPr>
            </w:pPr>
            <w:r w:rsidRPr="00E3366E">
              <w:rPr>
                <w:lang w:val="en-US"/>
              </w:rPr>
              <w:t>EQ-5D-3L</w:t>
            </w:r>
          </w:p>
        </w:tc>
      </w:tr>
      <w:tr w:rsidR="008C2DC8" w:rsidRPr="00E3366E" w14:paraId="6E4E23A7" w14:textId="77777777" w:rsidTr="005F3025">
        <w:trPr>
          <w:cantSplit/>
        </w:trPr>
        <w:tc>
          <w:tcPr>
            <w:tcW w:w="688" w:type="pct"/>
            <w:vAlign w:val="center"/>
          </w:tcPr>
          <w:p w14:paraId="45E15921" w14:textId="63EF1BD9" w:rsidR="00956ACE" w:rsidRPr="00E3366E" w:rsidRDefault="00261AAB" w:rsidP="00F87E43">
            <w:pPr>
              <w:pStyle w:val="TableText"/>
              <w:widowControl w:val="0"/>
              <w:rPr>
                <w:lang w:val="en-US"/>
              </w:rPr>
            </w:pPr>
            <w:r w:rsidRPr="00E3366E">
              <w:rPr>
                <w:lang w:val="en-US"/>
              </w:rPr>
              <w:t>Berweck 2021</w:t>
            </w:r>
          </w:p>
        </w:tc>
        <w:tc>
          <w:tcPr>
            <w:tcW w:w="331" w:type="pct"/>
            <w:vAlign w:val="center"/>
          </w:tcPr>
          <w:p w14:paraId="71251CEE" w14:textId="670C4964" w:rsidR="00956ACE" w:rsidRPr="00E3366E" w:rsidRDefault="00A4673D" w:rsidP="00F87E43">
            <w:pPr>
              <w:pStyle w:val="TableText"/>
              <w:widowControl w:val="0"/>
              <w:rPr>
                <w:lang w:val="en-US"/>
              </w:rPr>
            </w:pPr>
            <w:r w:rsidRPr="00E3366E">
              <w:rPr>
                <w:lang w:val="en-US"/>
              </w:rPr>
              <w:t>220</w:t>
            </w:r>
          </w:p>
        </w:tc>
        <w:tc>
          <w:tcPr>
            <w:tcW w:w="961" w:type="pct"/>
            <w:vAlign w:val="center"/>
          </w:tcPr>
          <w:p w14:paraId="26C581E7" w14:textId="77777777" w:rsidR="005D4048" w:rsidRPr="00E3366E" w:rsidRDefault="005D4048" w:rsidP="00F87E43">
            <w:pPr>
              <w:pStyle w:val="TableText"/>
              <w:widowControl w:val="0"/>
              <w:rPr>
                <w:lang w:val="en-US"/>
              </w:rPr>
            </w:pPr>
            <w:r w:rsidRPr="00E3366E">
              <w:rPr>
                <w:lang w:val="en-US"/>
              </w:rPr>
              <w:t>DB RCT = 16 weeks</w:t>
            </w:r>
          </w:p>
          <w:p w14:paraId="37D3BD6A" w14:textId="6B160FC0" w:rsidR="00956ACE" w:rsidRPr="00E3366E" w:rsidRDefault="005D4048" w:rsidP="00F87E43">
            <w:pPr>
              <w:pStyle w:val="TableText"/>
              <w:widowControl w:val="0"/>
              <w:rPr>
                <w:lang w:val="en-US"/>
              </w:rPr>
            </w:pPr>
            <w:r w:rsidRPr="00E3366E">
              <w:rPr>
                <w:lang w:val="en-US"/>
              </w:rPr>
              <w:t xml:space="preserve">OL = </w:t>
            </w:r>
            <w:r w:rsidR="00E87B37" w:rsidRPr="00E3366E">
              <w:rPr>
                <w:lang w:val="en-US"/>
              </w:rPr>
              <w:t>48 weeks</w:t>
            </w:r>
          </w:p>
        </w:tc>
        <w:tc>
          <w:tcPr>
            <w:tcW w:w="597" w:type="pct"/>
            <w:vAlign w:val="center"/>
          </w:tcPr>
          <w:p w14:paraId="51165529" w14:textId="5D68814E" w:rsidR="00956ACE" w:rsidRPr="004D286C" w:rsidRDefault="00261AAB" w:rsidP="00F87E43">
            <w:pPr>
              <w:pStyle w:val="TableText"/>
              <w:widowControl w:val="0"/>
              <w:rPr>
                <w:lang w:val="en-US"/>
              </w:rPr>
            </w:pPr>
            <w:r w:rsidRPr="004D286C">
              <w:rPr>
                <w:lang w:val="en-US"/>
              </w:rPr>
              <w:t>Low</w:t>
            </w:r>
          </w:p>
        </w:tc>
        <w:tc>
          <w:tcPr>
            <w:tcW w:w="1016" w:type="pct"/>
            <w:vAlign w:val="center"/>
          </w:tcPr>
          <w:p w14:paraId="60CDF4F0" w14:textId="19434D21" w:rsidR="00956ACE" w:rsidRPr="00E3366E" w:rsidRDefault="000F38C4" w:rsidP="00F87E43">
            <w:pPr>
              <w:pStyle w:val="TableText"/>
              <w:widowControl w:val="0"/>
              <w:rPr>
                <w:color w:val="000000" w:themeColor="text1"/>
              </w:rPr>
            </w:pPr>
            <w:r w:rsidRPr="00E3366E">
              <w:rPr>
                <w:color w:val="000000" w:themeColor="text1"/>
              </w:rPr>
              <w:t>Children and adolescents with chronic sialorrhea due to cerebral palsy, traumatic brain injury, or other congenital neurodevelopmental disorders, randomised to Xeomin or placebo treatment arms.</w:t>
            </w:r>
          </w:p>
        </w:tc>
        <w:tc>
          <w:tcPr>
            <w:tcW w:w="605" w:type="pct"/>
            <w:vAlign w:val="center"/>
          </w:tcPr>
          <w:p w14:paraId="41DBE227" w14:textId="77777777" w:rsidR="00956ACE" w:rsidRPr="00E3366E" w:rsidRDefault="008C2DC8" w:rsidP="00F87E43">
            <w:pPr>
              <w:pStyle w:val="TableText"/>
              <w:widowControl w:val="0"/>
              <w:rPr>
                <w:lang w:val="en-US"/>
              </w:rPr>
            </w:pPr>
            <w:r w:rsidRPr="004D286C">
              <w:rPr>
                <w:lang w:val="en-US"/>
              </w:rPr>
              <w:t xml:space="preserve">Efficacy: </w:t>
            </w:r>
            <w:r w:rsidR="00A4058B" w:rsidRPr="00E3366E">
              <w:rPr>
                <w:lang w:val="en-US"/>
              </w:rPr>
              <w:t>uSFR</w:t>
            </w:r>
            <w:r w:rsidRPr="00E3366E">
              <w:rPr>
                <w:lang w:val="en-US"/>
              </w:rPr>
              <w:t xml:space="preserve">, </w:t>
            </w:r>
            <w:r w:rsidR="00A4058B" w:rsidRPr="00E3366E">
              <w:rPr>
                <w:lang w:val="en-US"/>
              </w:rPr>
              <w:t>mTDS</w:t>
            </w:r>
            <w:r w:rsidRPr="00E3366E">
              <w:rPr>
                <w:lang w:val="en-US"/>
              </w:rPr>
              <w:t xml:space="preserve">, </w:t>
            </w:r>
            <w:r w:rsidR="00A4058B" w:rsidRPr="00E3366E">
              <w:rPr>
                <w:lang w:val="en-US"/>
              </w:rPr>
              <w:t>GICS</w:t>
            </w:r>
            <w:r w:rsidRPr="00E3366E">
              <w:rPr>
                <w:lang w:val="en-US"/>
              </w:rPr>
              <w:t>.</w:t>
            </w:r>
          </w:p>
          <w:p w14:paraId="4B50FFC6" w14:textId="77777777" w:rsidR="00EF2D55" w:rsidRPr="00E3366E" w:rsidRDefault="00EF2D55" w:rsidP="00F87E43">
            <w:pPr>
              <w:pStyle w:val="TableText"/>
              <w:widowControl w:val="0"/>
              <w:rPr>
                <w:lang w:val="en-US"/>
              </w:rPr>
            </w:pPr>
          </w:p>
          <w:p w14:paraId="583A7C5E" w14:textId="5699EFDB" w:rsidR="00EF2D55" w:rsidRPr="00E3366E" w:rsidRDefault="00EF2D55" w:rsidP="00F87E43">
            <w:pPr>
              <w:pStyle w:val="TableText"/>
              <w:widowControl w:val="0"/>
              <w:rPr>
                <w:lang w:val="en-US"/>
              </w:rPr>
            </w:pPr>
            <w:r w:rsidRPr="004D286C">
              <w:rPr>
                <w:lang w:val="en-US"/>
              </w:rPr>
              <w:t>Safety</w:t>
            </w:r>
          </w:p>
        </w:tc>
        <w:tc>
          <w:tcPr>
            <w:tcW w:w="798" w:type="pct"/>
            <w:vAlign w:val="center"/>
          </w:tcPr>
          <w:p w14:paraId="6AFB7CBE" w14:textId="77777777" w:rsidR="00A4058B" w:rsidRPr="00E3366E" w:rsidRDefault="00A4058B" w:rsidP="00F87E43">
            <w:pPr>
              <w:pStyle w:val="TableText"/>
              <w:widowControl w:val="0"/>
              <w:rPr>
                <w:lang w:val="en-US"/>
              </w:rPr>
            </w:pPr>
            <w:r w:rsidRPr="00E3366E">
              <w:rPr>
                <w:lang w:val="en-US"/>
              </w:rPr>
              <w:t>uSFR</w:t>
            </w:r>
          </w:p>
          <w:p w14:paraId="56C2128A" w14:textId="7E0152F9" w:rsidR="00956ACE" w:rsidRPr="00E3366E" w:rsidRDefault="00A4058B" w:rsidP="00F87E43">
            <w:pPr>
              <w:pStyle w:val="TableText"/>
              <w:widowControl w:val="0"/>
              <w:rPr>
                <w:lang w:val="en-US"/>
              </w:rPr>
            </w:pPr>
            <w:r w:rsidRPr="00E3366E">
              <w:rPr>
                <w:lang w:val="en-US"/>
              </w:rPr>
              <w:t>mTDS</w:t>
            </w:r>
          </w:p>
        </w:tc>
      </w:tr>
    </w:tbl>
    <w:p w14:paraId="77F184CE" w14:textId="40628795" w:rsidR="00956ACE" w:rsidRDefault="00956ACE" w:rsidP="00F87E43">
      <w:pPr>
        <w:pStyle w:val="TableFigureFooter"/>
        <w:widowControl w:val="0"/>
        <w:rPr>
          <w:color w:val="258221"/>
        </w:rPr>
      </w:pPr>
      <w:bookmarkStart w:id="24" w:name="_Hlk68276176"/>
      <w:bookmarkEnd w:id="23"/>
      <w:r w:rsidRPr="00CE28E3">
        <w:t>DB = double blind;</w:t>
      </w:r>
      <w:r w:rsidR="00394BB1">
        <w:t xml:space="preserve"> DSFS = drooling severity and frequency scale;</w:t>
      </w:r>
      <w:r w:rsidR="00AE2266">
        <w:t xml:space="preserve"> EQ-5D-3L = </w:t>
      </w:r>
      <w:r w:rsidR="00AE2266" w:rsidRPr="00AE2266">
        <w:t>EuroQol-5 Dimensions-3 Level</w:t>
      </w:r>
      <w:r w:rsidR="00AE2266">
        <w:t>;</w:t>
      </w:r>
      <w:r w:rsidR="006A2BF1" w:rsidRPr="006A2BF1">
        <w:t xml:space="preserve"> GICS: global impression of change scale</w:t>
      </w:r>
      <w:r w:rsidR="006A2BF1">
        <w:t xml:space="preserve">; </w:t>
      </w:r>
      <w:r w:rsidR="00391179">
        <w:t>mTDS = modified teacher’s drooling scale;</w:t>
      </w:r>
      <w:r w:rsidRPr="00CE28E3">
        <w:t xml:space="preserve"> OL = open label; OS = overall survival; R</w:t>
      </w:r>
      <w:r w:rsidR="005D4048">
        <w:t>CT</w:t>
      </w:r>
      <w:r w:rsidRPr="00CE28E3">
        <w:t xml:space="preserve"> = randomised</w:t>
      </w:r>
      <w:r w:rsidR="005D4048">
        <w:t xml:space="preserve"> controlled trial</w:t>
      </w:r>
      <w:r w:rsidR="00394BB1">
        <w:t>; uSFR = unstimulated salivary flow rate</w:t>
      </w:r>
    </w:p>
    <w:p w14:paraId="3B9FC2AD" w14:textId="4B8D3D84" w:rsidR="00772829" w:rsidRDefault="00772829" w:rsidP="00A770A8">
      <w:pPr>
        <w:pStyle w:val="Heading2"/>
        <w:numPr>
          <w:ilvl w:val="0"/>
          <w:numId w:val="28"/>
        </w:numPr>
        <w:ind w:hanging="720"/>
      </w:pPr>
      <w:bookmarkStart w:id="25" w:name="ColumnTitle_Table4"/>
      <w:bookmarkStart w:id="26" w:name="_Toc69491423"/>
      <w:bookmarkEnd w:id="24"/>
      <w:bookmarkEnd w:id="25"/>
      <w:r w:rsidRPr="00CE28E3">
        <w:t>Comparative safety</w:t>
      </w:r>
      <w:bookmarkEnd w:id="26"/>
      <w:r w:rsidR="008C5116">
        <w:t xml:space="preserve"> and efficacy</w:t>
      </w:r>
    </w:p>
    <w:p w14:paraId="011EB122" w14:textId="77777777" w:rsidR="0000005E" w:rsidRPr="00EF7855" w:rsidRDefault="0000005E" w:rsidP="0000005E">
      <w:pPr>
        <w:pStyle w:val="Instructionaltext"/>
        <w:widowControl w:val="0"/>
        <w:spacing w:line="276" w:lineRule="auto"/>
        <w:rPr>
          <w:color w:val="000000" w:themeColor="text1"/>
        </w:rPr>
      </w:pPr>
      <w:r w:rsidRPr="00EF7855">
        <w:rPr>
          <w:rFonts w:eastAsia="Calibri" w:cs="Arial"/>
          <w:color w:val="auto"/>
        </w:rPr>
        <w:t xml:space="preserve">The ADAR presented the key results from the clinical. These have not been re-presented as PBAC has assessed the clinical evidence. </w:t>
      </w:r>
    </w:p>
    <w:p w14:paraId="21F79FF9" w14:textId="5A31D009" w:rsidR="00DF19AA" w:rsidRPr="00EF7855" w:rsidRDefault="0000005E" w:rsidP="00F87E43">
      <w:pPr>
        <w:spacing w:before="0" w:line="276" w:lineRule="auto"/>
        <w:rPr>
          <w:color w:val="000000" w:themeColor="text1"/>
        </w:rPr>
      </w:pPr>
      <w:r w:rsidRPr="00EF7855">
        <w:rPr>
          <w:rFonts w:eastAsia="Calibri" w:cs="Arial"/>
          <w:snapToGrid w:val="0"/>
        </w:rPr>
        <w:t xml:space="preserve">The PBAC considered that the evidence presented demonstrated an improvement in both the severity and frequency of sialorrhea compared with placebo. However, </w:t>
      </w:r>
      <w:r w:rsidRPr="00EF7855">
        <w:rPr>
          <w:rFonts w:eastAsia="Calibri" w:cs="Arial"/>
        </w:rPr>
        <w:t xml:space="preserve">due to short trial durations and the lack established </w:t>
      </w:r>
      <w:r w:rsidR="000267D8" w:rsidRPr="00EF7855">
        <w:rPr>
          <w:rFonts w:eastAsia="Calibri" w:cs="Arial"/>
        </w:rPr>
        <w:t>minimal clinically important differences (MCID)</w:t>
      </w:r>
      <w:r w:rsidRPr="00EF7855">
        <w:rPr>
          <w:rFonts w:eastAsia="Calibri" w:cs="Arial"/>
        </w:rPr>
        <w:t xml:space="preserve">, the magnitude of this </w:t>
      </w:r>
      <w:r w:rsidRPr="00EF7855">
        <w:rPr>
          <w:rFonts w:eastAsia="Calibri" w:cs="Arial"/>
        </w:rPr>
        <w:lastRenderedPageBreak/>
        <w:t>benefit was uncertain</w:t>
      </w:r>
      <w:r w:rsidR="00E867FB" w:rsidRPr="00EF7855">
        <w:rPr>
          <w:rFonts w:eastAsia="Calibri" w:cs="Arial"/>
        </w:rPr>
        <w:t xml:space="preserve"> </w:t>
      </w:r>
      <w:r w:rsidR="00E867FB" w:rsidRPr="00EF7855">
        <w:rPr>
          <w:color w:val="000000" w:themeColor="text1"/>
        </w:rPr>
        <w:t>(6.04 incobotulinumtoxinA, ratified minutes, Nov 2024, paragraph 7.7)</w:t>
      </w:r>
      <w:r w:rsidRPr="00EF7855">
        <w:rPr>
          <w:rFonts w:eastAsia="Calibri" w:cs="Arial"/>
        </w:rPr>
        <w:t>.</w:t>
      </w:r>
      <w:r w:rsidRPr="00EF7855">
        <w:t xml:space="preserve"> </w:t>
      </w:r>
      <w:r w:rsidRPr="00EF7855">
        <w:rPr>
          <w:rFonts w:eastAsia="Calibri" w:cs="Arial"/>
        </w:rPr>
        <w:t>The PBAC considered that the claim of inferior safety of incobotulinumtoxinA versus placebo was reasonable</w:t>
      </w:r>
      <w:r w:rsidR="00E867FB" w:rsidRPr="00EF7855">
        <w:rPr>
          <w:rFonts w:eastAsia="Calibri" w:cs="Arial"/>
        </w:rPr>
        <w:t xml:space="preserve"> </w:t>
      </w:r>
      <w:r w:rsidR="00E867FB" w:rsidRPr="00EF7855">
        <w:rPr>
          <w:color w:val="000000" w:themeColor="text1"/>
        </w:rPr>
        <w:t>(6.04 incobotulinumtoxinA, ratified minutes, Nov 2024, paragraph 7.8)</w:t>
      </w:r>
      <w:r w:rsidRPr="00EF7855">
        <w:rPr>
          <w:rFonts w:eastAsia="Calibri" w:cs="Arial"/>
        </w:rPr>
        <w:t>.</w:t>
      </w:r>
    </w:p>
    <w:p w14:paraId="0D09C9E4" w14:textId="19AA49EC" w:rsidR="00772829" w:rsidRPr="00CE28E3" w:rsidRDefault="00772829" w:rsidP="00A770A8">
      <w:pPr>
        <w:pStyle w:val="Heading2"/>
        <w:numPr>
          <w:ilvl w:val="0"/>
          <w:numId w:val="28"/>
        </w:numPr>
        <w:ind w:hanging="720"/>
      </w:pPr>
      <w:bookmarkStart w:id="27" w:name="_Toc69491425"/>
      <w:r w:rsidRPr="00CE28E3">
        <w:t>Economic evaluation</w:t>
      </w:r>
      <w:bookmarkEnd w:id="27"/>
    </w:p>
    <w:p w14:paraId="777C8F96" w14:textId="35FAB9D5" w:rsidR="0050345F" w:rsidRPr="00EF7855" w:rsidRDefault="00BF7D35" w:rsidP="00F87E43">
      <w:pPr>
        <w:pStyle w:val="Instructionaltext"/>
        <w:widowControl w:val="0"/>
        <w:spacing w:line="276" w:lineRule="auto"/>
        <w:rPr>
          <w:rFonts w:eastAsia="Calibri" w:cs="Arial"/>
          <w:color w:val="auto"/>
        </w:rPr>
      </w:pPr>
      <w:r w:rsidRPr="00EF7855">
        <w:rPr>
          <w:rFonts w:cstheme="minorHAnsi"/>
          <w:color w:val="000000" w:themeColor="text1"/>
        </w:rPr>
        <w:t xml:space="preserve">The PBAC considered </w:t>
      </w:r>
      <w:r w:rsidR="00A15102" w:rsidRPr="00EF7855">
        <w:rPr>
          <w:rFonts w:eastAsia="Calibri" w:cs="Arial"/>
          <w:color w:val="auto"/>
        </w:rPr>
        <w:t>a cost-utility analysis to support the cost-effectiveness of incobotulinumtoxinA versus placebo, with the economic model reporting incremental cost-effectiveness ratios (ICERs) of $</w:t>
      </w:r>
      <w:r w:rsidR="002D6314">
        <w:rPr>
          <w:rFonts w:eastAsia="Calibri" w:cs="Arial"/>
          <w:color w:val="auto"/>
        </w:rPr>
        <w:t>25,000 to &lt; $</w:t>
      </w:r>
      <w:r w:rsidR="00712781">
        <w:rPr>
          <w:rFonts w:eastAsia="Calibri" w:cs="Arial"/>
          <w:color w:val="auto"/>
        </w:rPr>
        <w:t>35,000</w:t>
      </w:r>
      <w:r w:rsidR="00A15102" w:rsidRPr="00EF7855">
        <w:rPr>
          <w:rFonts w:eastAsia="Calibri" w:cs="Arial"/>
          <w:color w:val="auto"/>
        </w:rPr>
        <w:t xml:space="preserve"> per quality adjusted life year (QALY) gained for adults and $</w:t>
      </w:r>
      <w:r w:rsidR="00EA544F">
        <w:rPr>
          <w:rFonts w:eastAsia="Calibri" w:cs="Arial"/>
          <w:color w:val="auto"/>
        </w:rPr>
        <w:t>35,000 to &lt; $45,000</w:t>
      </w:r>
      <w:r w:rsidR="00A15102" w:rsidRPr="00EF7855">
        <w:rPr>
          <w:rFonts w:eastAsia="Calibri" w:cs="Arial"/>
          <w:color w:val="auto"/>
        </w:rPr>
        <w:t xml:space="preserve"> per QALY gained for children and adolescents. The PBAC considered that the ICER values presented for the base case of the submission were acceptable.</w:t>
      </w:r>
      <w:r w:rsidR="00060C8F" w:rsidRPr="00EF7855">
        <w:t xml:space="preserve"> </w:t>
      </w:r>
      <w:r w:rsidR="00060C8F" w:rsidRPr="00EF7855">
        <w:rPr>
          <w:rFonts w:eastAsia="Calibri" w:cs="Arial"/>
          <w:color w:val="auto"/>
        </w:rPr>
        <w:t>The PBAC advised that for incobotulinumtoxinA to be considered cost-effective the models should (i) incorporate a 2-year time horizon</w:t>
      </w:r>
      <w:r w:rsidR="00BC0311" w:rsidRPr="00EF7855">
        <w:rPr>
          <w:rFonts w:eastAsia="Calibri" w:cs="Arial"/>
          <w:color w:val="auto"/>
        </w:rPr>
        <w:t xml:space="preserve"> (base case 5 years)</w:t>
      </w:r>
      <w:r w:rsidR="00060C8F" w:rsidRPr="00EF7855">
        <w:rPr>
          <w:rFonts w:eastAsia="Calibri" w:cs="Arial"/>
          <w:color w:val="auto"/>
        </w:rPr>
        <w:t>, and (ii) a price reduction so that the resultant ICERs do not exceed the base case values presented in the submission.</w:t>
      </w:r>
      <w:r w:rsidR="0050345F" w:rsidRPr="00EF7855">
        <w:rPr>
          <w:rFonts w:eastAsia="Calibri" w:cs="Arial"/>
          <w:color w:val="auto"/>
        </w:rPr>
        <w:t xml:space="preserve"> The </w:t>
      </w:r>
      <w:r w:rsidR="002A565B" w:rsidRPr="00EF7855">
        <w:rPr>
          <w:rFonts w:eastAsia="Calibri" w:cs="Arial"/>
          <w:color w:val="auto"/>
        </w:rPr>
        <w:t>k</w:t>
      </w:r>
      <w:r w:rsidR="0050345F" w:rsidRPr="00EF7855">
        <w:rPr>
          <w:rFonts w:eastAsia="Calibri" w:cs="Arial"/>
          <w:color w:val="auto"/>
        </w:rPr>
        <w:t xml:space="preserve">ey results considered by the PBAC are presented in Table </w:t>
      </w:r>
      <w:r w:rsidR="00B23D29" w:rsidRPr="00EF7855">
        <w:rPr>
          <w:rFonts w:eastAsia="Calibri" w:cs="Arial"/>
          <w:color w:val="auto"/>
        </w:rPr>
        <w:t>4</w:t>
      </w:r>
      <w:r w:rsidR="0050345F" w:rsidRPr="00EF7855">
        <w:rPr>
          <w:rFonts w:eastAsia="Calibri" w:cs="Arial"/>
          <w:color w:val="auto"/>
        </w:rPr>
        <w:t xml:space="preserve">. </w:t>
      </w:r>
    </w:p>
    <w:p w14:paraId="31537015" w14:textId="482160D3" w:rsidR="000B7178" w:rsidRPr="000B7178" w:rsidRDefault="000B7178" w:rsidP="000B7178">
      <w:pPr>
        <w:keepNext/>
        <w:spacing w:before="0" w:after="0" w:line="256" w:lineRule="auto"/>
        <w:rPr>
          <w:rFonts w:ascii="Arial Narrow" w:eastAsia="Arial Narrow" w:hAnsi="Arial Narrow" w:cs="Arial Narrow"/>
          <w:b/>
          <w:bCs/>
          <w:sz w:val="20"/>
          <w:szCs w:val="20"/>
          <w:lang w:eastAsia="en-AU"/>
        </w:rPr>
      </w:pPr>
      <w:bookmarkStart w:id="28" w:name="_Ref175330260"/>
      <w:r w:rsidRPr="000B7178">
        <w:rPr>
          <w:rFonts w:ascii="Arial Narrow" w:eastAsia="Arial Narrow" w:hAnsi="Arial Narrow" w:cs="Arial Narrow"/>
          <w:b/>
          <w:bCs/>
          <w:sz w:val="20"/>
          <w:szCs w:val="20"/>
          <w:lang w:eastAsia="en-AU"/>
        </w:rPr>
        <w:t xml:space="preserve">Table </w:t>
      </w:r>
      <w:r w:rsidRPr="000B7178">
        <w:rPr>
          <w:rFonts w:ascii="Calibri" w:eastAsia="Times New Roman" w:hAnsi="Calibri" w:cs="Arial"/>
          <w:sz w:val="24"/>
          <w:szCs w:val="24"/>
          <w:lang w:eastAsia="en-AU"/>
        </w:rPr>
        <w:fldChar w:fldCharType="begin"/>
      </w:r>
      <w:r w:rsidRPr="000B7178">
        <w:rPr>
          <w:rFonts w:ascii="Arial Narrow" w:eastAsia="Arial Narrow" w:hAnsi="Arial Narrow" w:cs="Arial Narrow"/>
          <w:b/>
          <w:sz w:val="20"/>
          <w:szCs w:val="20"/>
          <w:lang w:eastAsia="en-AU"/>
        </w:rPr>
        <w:instrText xml:space="preserve"> SEQ Table \* ARABIC </w:instrText>
      </w:r>
      <w:r w:rsidRPr="000B7178">
        <w:rPr>
          <w:rFonts w:ascii="Calibri" w:eastAsia="Times New Roman" w:hAnsi="Calibri" w:cs="Arial"/>
          <w:sz w:val="24"/>
          <w:szCs w:val="24"/>
          <w:lang w:eastAsia="en-AU"/>
        </w:rPr>
        <w:fldChar w:fldCharType="separate"/>
      </w:r>
      <w:r w:rsidR="00B23D29">
        <w:rPr>
          <w:rFonts w:ascii="Arial Narrow" w:eastAsia="Arial Narrow" w:hAnsi="Arial Narrow" w:cs="Arial Narrow"/>
          <w:b/>
          <w:noProof/>
          <w:sz w:val="20"/>
          <w:szCs w:val="20"/>
          <w:lang w:eastAsia="en-AU"/>
        </w:rPr>
        <w:t>4</w:t>
      </w:r>
      <w:r w:rsidRPr="000B7178">
        <w:rPr>
          <w:rFonts w:ascii="Calibri" w:eastAsia="Times New Roman" w:hAnsi="Calibri" w:cs="Arial"/>
          <w:sz w:val="24"/>
          <w:szCs w:val="24"/>
          <w:lang w:eastAsia="en-AU"/>
        </w:rPr>
        <w:fldChar w:fldCharType="end"/>
      </w:r>
      <w:bookmarkEnd w:id="28"/>
      <w:r w:rsidRPr="000B7178">
        <w:rPr>
          <w:rFonts w:ascii="Arial Narrow" w:eastAsia="Arial Narrow" w:hAnsi="Arial Narrow" w:cs="Arial Narrow"/>
          <w:b/>
          <w:bCs/>
          <w:sz w:val="20"/>
          <w:szCs w:val="20"/>
          <w:lang w:eastAsia="en-AU"/>
        </w:rPr>
        <w:t>: Key sensitivity analyses for adult and children and adolescent models</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510"/>
        <w:gridCol w:w="1319"/>
        <w:gridCol w:w="1642"/>
      </w:tblGrid>
      <w:tr w:rsidR="008B6D58" w:rsidRPr="000B7178" w14:paraId="3EECD6ED" w14:textId="77777777" w:rsidTr="00815834">
        <w:trPr>
          <w:trHeight w:val="154"/>
          <w:tblHeader/>
        </w:trPr>
        <w:tc>
          <w:tcPr>
            <w:tcW w:w="2519" w:type="pct"/>
            <w:tcBorders>
              <w:top w:val="single" w:sz="4" w:space="0" w:color="auto"/>
              <w:left w:val="single" w:sz="4" w:space="0" w:color="auto"/>
              <w:bottom w:val="single" w:sz="4" w:space="0" w:color="auto"/>
              <w:right w:val="single" w:sz="4" w:space="0" w:color="auto"/>
            </w:tcBorders>
            <w:hideMark/>
          </w:tcPr>
          <w:p w14:paraId="68FFA14E" w14:textId="77777777" w:rsidR="000B7178" w:rsidRPr="000D07A8" w:rsidRDefault="000B7178" w:rsidP="000B7178">
            <w:pPr>
              <w:keepNext/>
              <w:keepLines/>
              <w:spacing w:before="0" w:after="0" w:line="240" w:lineRule="auto"/>
              <w:rPr>
                <w:rFonts w:ascii="Arial Narrow" w:eastAsia="MS Gothic" w:hAnsi="Arial Narrow" w:cs="Times New Roman"/>
                <w:b/>
                <w:sz w:val="20"/>
                <w:szCs w:val="20"/>
                <w:lang w:val="en-US" w:eastAsia="en-AU"/>
              </w:rPr>
            </w:pPr>
            <w:r w:rsidRPr="000D07A8">
              <w:rPr>
                <w:rFonts w:ascii="Arial Narrow" w:eastAsia="MS Gothic" w:hAnsi="Arial Narrow" w:cs="Times New Roman"/>
                <w:b/>
                <w:sz w:val="20"/>
                <w:szCs w:val="20"/>
                <w:lang w:val="en-US" w:eastAsia="en-AU"/>
              </w:rPr>
              <w:t>Analyses</w:t>
            </w:r>
          </w:p>
        </w:tc>
        <w:tc>
          <w:tcPr>
            <w:tcW w:w="838" w:type="pct"/>
            <w:tcBorders>
              <w:top w:val="single" w:sz="4" w:space="0" w:color="auto"/>
              <w:left w:val="single" w:sz="4" w:space="0" w:color="auto"/>
              <w:bottom w:val="single" w:sz="4" w:space="0" w:color="auto"/>
              <w:right w:val="single" w:sz="4" w:space="0" w:color="auto"/>
            </w:tcBorders>
            <w:hideMark/>
          </w:tcPr>
          <w:p w14:paraId="31DC18B6" w14:textId="77777777" w:rsidR="000B7178" w:rsidRPr="000D07A8" w:rsidRDefault="000B7178" w:rsidP="000B7178">
            <w:pPr>
              <w:keepNext/>
              <w:keepLines/>
              <w:spacing w:before="0" w:after="0" w:line="240" w:lineRule="auto"/>
              <w:rPr>
                <w:rFonts w:ascii="Arial Narrow" w:eastAsia="MS Gothic" w:hAnsi="Arial Narrow" w:cs="Times New Roman"/>
                <w:b/>
                <w:sz w:val="20"/>
                <w:szCs w:val="20"/>
                <w:lang w:val="en-US" w:eastAsia="en-AU"/>
              </w:rPr>
            </w:pPr>
            <w:r w:rsidRPr="000D07A8">
              <w:rPr>
                <w:rFonts w:ascii="Arial Narrow" w:eastAsia="MS Gothic" w:hAnsi="Arial Narrow" w:cs="Times New Roman"/>
                <w:b/>
                <w:sz w:val="20"/>
                <w:szCs w:val="20"/>
                <w:lang w:val="en-US" w:eastAsia="en-AU"/>
              </w:rPr>
              <w:t>Incremental cost</w:t>
            </w:r>
          </w:p>
        </w:tc>
        <w:tc>
          <w:tcPr>
            <w:tcW w:w="732" w:type="pct"/>
            <w:tcBorders>
              <w:top w:val="single" w:sz="4" w:space="0" w:color="auto"/>
              <w:left w:val="single" w:sz="4" w:space="0" w:color="auto"/>
              <w:bottom w:val="single" w:sz="4" w:space="0" w:color="auto"/>
              <w:right w:val="single" w:sz="4" w:space="0" w:color="auto"/>
            </w:tcBorders>
            <w:hideMark/>
          </w:tcPr>
          <w:p w14:paraId="63ACBCC1" w14:textId="77777777" w:rsidR="000B7178" w:rsidRPr="000D07A8" w:rsidRDefault="000B7178" w:rsidP="000B7178">
            <w:pPr>
              <w:keepNext/>
              <w:keepLines/>
              <w:spacing w:before="0" w:after="0" w:line="240" w:lineRule="auto"/>
              <w:rPr>
                <w:rFonts w:ascii="Arial Narrow" w:eastAsia="MS Gothic" w:hAnsi="Arial Narrow" w:cs="Times New Roman"/>
                <w:b/>
                <w:sz w:val="20"/>
                <w:szCs w:val="20"/>
                <w:lang w:val="en-US" w:eastAsia="en-AU"/>
              </w:rPr>
            </w:pPr>
            <w:r w:rsidRPr="000D07A8">
              <w:rPr>
                <w:rFonts w:ascii="Arial Narrow" w:eastAsia="MS Gothic" w:hAnsi="Arial Narrow" w:cs="Times New Roman"/>
                <w:b/>
                <w:sz w:val="20"/>
                <w:szCs w:val="20"/>
                <w:lang w:val="en-US" w:eastAsia="en-AU"/>
              </w:rPr>
              <w:t>Incremental QALY</w:t>
            </w:r>
          </w:p>
        </w:tc>
        <w:tc>
          <w:tcPr>
            <w:tcW w:w="911" w:type="pct"/>
            <w:tcBorders>
              <w:top w:val="single" w:sz="4" w:space="0" w:color="auto"/>
              <w:left w:val="single" w:sz="4" w:space="0" w:color="auto"/>
              <w:bottom w:val="single" w:sz="4" w:space="0" w:color="auto"/>
              <w:right w:val="single" w:sz="4" w:space="0" w:color="auto"/>
            </w:tcBorders>
            <w:hideMark/>
          </w:tcPr>
          <w:p w14:paraId="74D2329E" w14:textId="77777777" w:rsidR="000B7178" w:rsidRPr="000D07A8" w:rsidRDefault="000B7178" w:rsidP="000B7178">
            <w:pPr>
              <w:keepNext/>
              <w:keepLines/>
              <w:spacing w:before="0" w:after="0" w:line="240" w:lineRule="auto"/>
              <w:rPr>
                <w:rFonts w:ascii="Arial Narrow" w:eastAsia="MS Gothic" w:hAnsi="Arial Narrow" w:cs="Times New Roman"/>
                <w:b/>
                <w:sz w:val="20"/>
                <w:szCs w:val="20"/>
                <w:lang w:val="en-US" w:eastAsia="en-AU"/>
              </w:rPr>
            </w:pPr>
            <w:r w:rsidRPr="000D07A8">
              <w:rPr>
                <w:rFonts w:ascii="Arial Narrow" w:eastAsia="MS Gothic" w:hAnsi="Arial Narrow" w:cs="Times New Roman"/>
                <w:b/>
                <w:sz w:val="20"/>
                <w:szCs w:val="20"/>
                <w:lang w:val="en-US" w:eastAsia="en-AU"/>
              </w:rPr>
              <w:t>ICER</w:t>
            </w:r>
          </w:p>
        </w:tc>
      </w:tr>
      <w:tr w:rsidR="008B6D58" w:rsidRPr="000B7178" w14:paraId="16688D84" w14:textId="77777777" w:rsidTr="000B7178">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14:paraId="1EFE21EF" w14:textId="77777777" w:rsidR="000B7178" w:rsidRPr="00907CC6" w:rsidRDefault="000B7178" w:rsidP="000B7178">
            <w:pPr>
              <w:keepNext/>
              <w:keepLines/>
              <w:snapToGrid w:val="0"/>
              <w:spacing w:before="0" w:after="0" w:line="240" w:lineRule="auto"/>
              <w:rPr>
                <w:rFonts w:ascii="Arial Narrow" w:eastAsia="MS Gothic" w:hAnsi="Arial Narrow" w:cs="Times New Roman"/>
                <w:sz w:val="20"/>
                <w:szCs w:val="20"/>
              </w:rPr>
            </w:pPr>
            <w:r w:rsidRPr="00907CC6">
              <w:rPr>
                <w:rFonts w:ascii="Arial Narrow" w:eastAsia="MS Gothic" w:hAnsi="Arial Narrow" w:cs="Times New Roman"/>
                <w:b/>
                <w:bCs/>
                <w:sz w:val="20"/>
                <w:szCs w:val="20"/>
              </w:rPr>
              <w:t xml:space="preserve">Adults </w:t>
            </w:r>
          </w:p>
        </w:tc>
      </w:tr>
      <w:tr w:rsidR="008B6D58" w:rsidRPr="000B7178" w14:paraId="6382CF0A" w14:textId="77777777" w:rsidTr="00815834">
        <w:trPr>
          <w:trHeight w:val="60"/>
        </w:trPr>
        <w:tc>
          <w:tcPr>
            <w:tcW w:w="2519" w:type="pct"/>
            <w:tcBorders>
              <w:top w:val="single" w:sz="4" w:space="0" w:color="auto"/>
              <w:left w:val="single" w:sz="4" w:space="0" w:color="auto"/>
              <w:bottom w:val="single" w:sz="4" w:space="0" w:color="auto"/>
              <w:right w:val="single" w:sz="4" w:space="0" w:color="auto"/>
            </w:tcBorders>
            <w:hideMark/>
          </w:tcPr>
          <w:p w14:paraId="4409C391" w14:textId="77777777" w:rsidR="000B7178" w:rsidRPr="00907CC6" w:rsidRDefault="000B7178" w:rsidP="000B7178">
            <w:pPr>
              <w:keepNext/>
              <w:keepLines/>
              <w:snapToGrid w:val="0"/>
              <w:spacing w:before="0" w:after="0" w:line="240" w:lineRule="auto"/>
              <w:rPr>
                <w:rFonts w:ascii="Arial Narrow" w:eastAsia="MS Gothic" w:hAnsi="Arial Narrow" w:cs="Times New Roman"/>
                <w:b/>
                <w:bCs/>
                <w:sz w:val="20"/>
                <w:szCs w:val="20"/>
              </w:rPr>
            </w:pPr>
            <w:r w:rsidRPr="00907CC6">
              <w:rPr>
                <w:rFonts w:ascii="Arial Narrow" w:eastAsia="Arial Narrow" w:hAnsi="Arial Narrow" w:cs="Arial Narrow"/>
                <w:b/>
                <w:bCs/>
                <w:sz w:val="20"/>
                <w:szCs w:val="20"/>
              </w:rPr>
              <w:t>Base case</w:t>
            </w:r>
          </w:p>
        </w:tc>
        <w:tc>
          <w:tcPr>
            <w:tcW w:w="838" w:type="pct"/>
            <w:tcBorders>
              <w:top w:val="single" w:sz="4" w:space="0" w:color="auto"/>
              <w:left w:val="single" w:sz="4" w:space="0" w:color="auto"/>
              <w:bottom w:val="single" w:sz="4" w:space="0" w:color="auto"/>
              <w:right w:val="single" w:sz="4" w:space="0" w:color="auto"/>
            </w:tcBorders>
            <w:hideMark/>
          </w:tcPr>
          <w:p w14:paraId="45A05782" w14:textId="50EACEBC" w:rsidR="000B7178" w:rsidRPr="00907CC6" w:rsidRDefault="000B7178" w:rsidP="000B7178">
            <w:pPr>
              <w:keepNext/>
              <w:keepLines/>
              <w:snapToGrid w:val="0"/>
              <w:spacing w:before="0" w:after="0" w:line="240" w:lineRule="auto"/>
              <w:jc w:val="center"/>
              <w:rPr>
                <w:rFonts w:ascii="Arial Narrow" w:eastAsia="MS Gothic" w:hAnsi="Arial Narrow" w:cs="Times New Roman"/>
                <w:b/>
                <w:bCs/>
                <w:sz w:val="20"/>
                <w:szCs w:val="20"/>
              </w:rPr>
            </w:pPr>
            <w:r w:rsidRPr="00907CC6">
              <w:rPr>
                <w:rFonts w:ascii="Arial Narrow" w:eastAsia="Arial Narrow" w:hAnsi="Arial Narrow" w:cs="Arial Narrow"/>
                <w:b/>
                <w:bCs/>
                <w:sz w:val="20"/>
                <w:szCs w:val="20"/>
              </w:rPr>
              <w:t>$</w:t>
            </w:r>
            <w:r w:rsidR="003511A8" w:rsidRPr="00907CC6">
              <w:rPr>
                <w:rFonts w:ascii="Arial Narrow" w:eastAsia="Arial Narrow" w:hAnsi="Arial Narrow" w:cs="Arial Narrow"/>
                <w:sz w:val="20"/>
                <w:szCs w:val="20"/>
              </w:rPr>
              <w:t>|</w:t>
            </w:r>
          </w:p>
        </w:tc>
        <w:tc>
          <w:tcPr>
            <w:tcW w:w="732" w:type="pct"/>
            <w:tcBorders>
              <w:top w:val="single" w:sz="4" w:space="0" w:color="auto"/>
              <w:left w:val="single" w:sz="4" w:space="0" w:color="auto"/>
              <w:bottom w:val="single" w:sz="4" w:space="0" w:color="auto"/>
              <w:right w:val="single" w:sz="4" w:space="0" w:color="auto"/>
            </w:tcBorders>
            <w:hideMark/>
          </w:tcPr>
          <w:p w14:paraId="3349FB28" w14:textId="77777777" w:rsidR="000B7178" w:rsidRPr="00907CC6" w:rsidRDefault="000B7178" w:rsidP="000B7178">
            <w:pPr>
              <w:keepNext/>
              <w:keepLines/>
              <w:snapToGrid w:val="0"/>
              <w:spacing w:before="0" w:after="0" w:line="240" w:lineRule="auto"/>
              <w:jc w:val="center"/>
              <w:rPr>
                <w:rFonts w:ascii="Arial Narrow" w:eastAsia="MS Gothic" w:hAnsi="Arial Narrow" w:cs="Times New Roman"/>
                <w:b/>
                <w:bCs/>
                <w:sz w:val="20"/>
                <w:szCs w:val="20"/>
              </w:rPr>
            </w:pPr>
            <w:r w:rsidRPr="00907CC6">
              <w:rPr>
                <w:rFonts w:ascii="Arial Narrow" w:eastAsia="Arial Narrow" w:hAnsi="Arial Narrow" w:cs="Arial Narrow"/>
                <w:b/>
                <w:bCs/>
                <w:sz w:val="20"/>
                <w:szCs w:val="20"/>
              </w:rPr>
              <w:t>0.27</w:t>
            </w:r>
          </w:p>
        </w:tc>
        <w:tc>
          <w:tcPr>
            <w:tcW w:w="911" w:type="pct"/>
            <w:tcBorders>
              <w:top w:val="single" w:sz="4" w:space="0" w:color="auto"/>
              <w:left w:val="single" w:sz="4" w:space="0" w:color="auto"/>
              <w:bottom w:val="single" w:sz="4" w:space="0" w:color="auto"/>
              <w:right w:val="single" w:sz="4" w:space="0" w:color="auto"/>
            </w:tcBorders>
            <w:hideMark/>
          </w:tcPr>
          <w:p w14:paraId="3834FAB5" w14:textId="10F40A03" w:rsidR="000B7178" w:rsidRPr="00907CC6" w:rsidRDefault="000B7178" w:rsidP="000B7178">
            <w:pPr>
              <w:keepNext/>
              <w:keepLines/>
              <w:snapToGrid w:val="0"/>
              <w:spacing w:before="0" w:after="0" w:line="240" w:lineRule="auto"/>
              <w:jc w:val="center"/>
              <w:rPr>
                <w:rFonts w:ascii="Arial Narrow" w:eastAsia="MS Gothic" w:hAnsi="Arial Narrow" w:cs="Times New Roman"/>
                <w:b/>
                <w:bCs/>
                <w:sz w:val="20"/>
                <w:szCs w:val="20"/>
              </w:rPr>
            </w:pPr>
            <w:r w:rsidRPr="00907CC6">
              <w:rPr>
                <w:rFonts w:ascii="Arial Narrow" w:eastAsia="Arial Narrow" w:hAnsi="Arial Narrow" w:cs="Arial Narrow"/>
                <w:b/>
                <w:bCs/>
                <w:sz w:val="20"/>
                <w:szCs w:val="20"/>
              </w:rPr>
              <w:t>$</w:t>
            </w:r>
            <w:r w:rsidR="009B2A63" w:rsidRPr="00907CC6">
              <w:rPr>
                <w:rFonts w:ascii="Arial Narrow" w:eastAsia="Arial Narrow" w:hAnsi="Arial Narrow" w:cs="Arial Narrow"/>
                <w:sz w:val="20"/>
                <w:szCs w:val="20"/>
              </w:rPr>
              <w:t>|</w:t>
            </w:r>
            <w:r w:rsidR="009D00D9" w:rsidRPr="00907CC6">
              <w:rPr>
                <w:rFonts w:ascii="Arial Narrow" w:eastAsia="Arial Narrow" w:hAnsi="Arial Narrow" w:cs="Arial Narrow"/>
                <w:sz w:val="20"/>
                <w:szCs w:val="20"/>
              </w:rPr>
              <w:t xml:space="preserve"> </w:t>
            </w:r>
            <w:r w:rsidR="009B2A63" w:rsidRPr="00907CC6">
              <w:rPr>
                <w:rFonts w:ascii="Arial Narrow" w:eastAsia="Arial Narrow" w:hAnsi="Arial Narrow" w:cs="Arial Narrow"/>
                <w:sz w:val="20"/>
                <w:szCs w:val="20"/>
                <w:vertAlign w:val="superscript"/>
              </w:rPr>
              <w:t>1</w:t>
            </w:r>
          </w:p>
        </w:tc>
      </w:tr>
      <w:tr w:rsidR="0098728F" w:rsidRPr="000B7178" w14:paraId="2E350539" w14:textId="77777777" w:rsidTr="00815834">
        <w:trPr>
          <w:trHeight w:val="320"/>
        </w:trPr>
        <w:tc>
          <w:tcPr>
            <w:tcW w:w="2519" w:type="pct"/>
            <w:tcBorders>
              <w:top w:val="single" w:sz="4" w:space="0" w:color="auto"/>
              <w:left w:val="single" w:sz="4" w:space="0" w:color="auto"/>
              <w:bottom w:val="single" w:sz="4" w:space="0" w:color="auto"/>
              <w:right w:val="single" w:sz="4" w:space="0" w:color="auto"/>
            </w:tcBorders>
            <w:hideMark/>
          </w:tcPr>
          <w:p w14:paraId="7CC85EE5" w14:textId="109C34D8" w:rsidR="000B7178" w:rsidRPr="00907CC6" w:rsidRDefault="008E0BFB" w:rsidP="00815834">
            <w:pPr>
              <w:keepNext/>
              <w:keepLines/>
              <w:snapToGrid w:val="0"/>
              <w:spacing w:before="0" w:after="0" w:line="240" w:lineRule="auto"/>
              <w:rPr>
                <w:rFonts w:ascii="Arial Narrow" w:eastAsia="MS Gothic" w:hAnsi="Arial Narrow" w:cs="Times New Roman"/>
                <w:sz w:val="20"/>
                <w:szCs w:val="20"/>
              </w:rPr>
            </w:pPr>
            <w:r w:rsidRPr="00907CC6">
              <w:rPr>
                <w:rFonts w:ascii="Arial Narrow" w:eastAsia="MS Gothic" w:hAnsi="Arial Narrow" w:cs="Times New Roman"/>
                <w:sz w:val="20"/>
                <w:szCs w:val="20"/>
              </w:rPr>
              <w:t>2-year</w:t>
            </w:r>
            <w:r w:rsidR="00B5490A" w:rsidRPr="00907CC6">
              <w:rPr>
                <w:rFonts w:ascii="Arial Narrow" w:eastAsia="MS Gothic" w:hAnsi="Arial Narrow" w:cs="Times New Roman"/>
                <w:sz w:val="20"/>
                <w:szCs w:val="20"/>
              </w:rPr>
              <w:t xml:space="preserve"> time horizon </w:t>
            </w:r>
            <w:r w:rsidRPr="00907CC6">
              <w:rPr>
                <w:rFonts w:ascii="Arial Narrow" w:eastAsia="Arial Narrow" w:hAnsi="Arial Narrow" w:cs="Arial Narrow"/>
                <w:sz w:val="20"/>
                <w:szCs w:val="20"/>
              </w:rPr>
              <w:t>(base case 5 years)</w:t>
            </w:r>
          </w:p>
        </w:tc>
        <w:tc>
          <w:tcPr>
            <w:tcW w:w="838" w:type="pct"/>
            <w:tcBorders>
              <w:top w:val="single" w:sz="4" w:space="0" w:color="auto"/>
              <w:left w:val="single" w:sz="4" w:space="0" w:color="auto"/>
              <w:bottom w:val="single" w:sz="4" w:space="0" w:color="auto"/>
              <w:right w:val="single" w:sz="4" w:space="0" w:color="auto"/>
            </w:tcBorders>
          </w:tcPr>
          <w:p w14:paraId="2CB9D111" w14:textId="2B11EF99" w:rsidR="000B7178" w:rsidRPr="00907CC6" w:rsidRDefault="008E0BFB" w:rsidP="00815834">
            <w:pPr>
              <w:keepNext/>
              <w:keepLines/>
              <w:snapToGrid w:val="0"/>
              <w:spacing w:before="0" w:after="0" w:line="240" w:lineRule="auto"/>
              <w:jc w:val="center"/>
              <w:rPr>
                <w:rFonts w:ascii="Arial Narrow" w:eastAsia="MS Gothic" w:hAnsi="Arial Narrow" w:cs="Times New Roman"/>
                <w:sz w:val="20"/>
                <w:szCs w:val="20"/>
              </w:rPr>
            </w:pPr>
            <w:r w:rsidRPr="00907CC6">
              <w:rPr>
                <w:rFonts w:ascii="Arial Narrow" w:eastAsia="Arial Narrow" w:hAnsi="Arial Narrow" w:cs="Arial Narrow"/>
                <w:sz w:val="20"/>
                <w:szCs w:val="20"/>
              </w:rPr>
              <w:t>$</w:t>
            </w:r>
            <w:r w:rsidR="003511A8" w:rsidRPr="00907CC6">
              <w:rPr>
                <w:rFonts w:ascii="Arial Narrow" w:eastAsia="Arial Narrow" w:hAnsi="Arial Narrow" w:cs="Arial Narrow"/>
                <w:sz w:val="20"/>
                <w:szCs w:val="20"/>
              </w:rPr>
              <w:t>|</w:t>
            </w:r>
          </w:p>
        </w:tc>
        <w:tc>
          <w:tcPr>
            <w:tcW w:w="732" w:type="pct"/>
            <w:tcBorders>
              <w:top w:val="single" w:sz="4" w:space="0" w:color="auto"/>
              <w:left w:val="single" w:sz="4" w:space="0" w:color="auto"/>
              <w:bottom w:val="single" w:sz="4" w:space="0" w:color="auto"/>
              <w:right w:val="single" w:sz="4" w:space="0" w:color="auto"/>
            </w:tcBorders>
            <w:vAlign w:val="bottom"/>
            <w:hideMark/>
          </w:tcPr>
          <w:p w14:paraId="72EAA9EB" w14:textId="4340D14F" w:rsidR="000B7178" w:rsidRPr="00907CC6" w:rsidRDefault="008E0BFB" w:rsidP="00815834">
            <w:pPr>
              <w:keepNext/>
              <w:keepLines/>
              <w:snapToGrid w:val="0"/>
              <w:spacing w:before="0" w:after="0" w:line="240" w:lineRule="auto"/>
              <w:jc w:val="center"/>
              <w:rPr>
                <w:rFonts w:ascii="Arial Narrow" w:eastAsia="MS Gothic" w:hAnsi="Arial Narrow" w:cs="Times New Roman"/>
                <w:sz w:val="20"/>
                <w:szCs w:val="20"/>
              </w:rPr>
            </w:pPr>
            <w:r w:rsidRPr="00907CC6">
              <w:rPr>
                <w:rFonts w:ascii="Arial Narrow" w:eastAsia="Arial Narrow" w:hAnsi="Arial Narrow" w:cs="Arial Narrow"/>
                <w:sz w:val="20"/>
                <w:szCs w:val="20"/>
              </w:rPr>
              <w:t>0.11</w:t>
            </w:r>
          </w:p>
        </w:tc>
        <w:tc>
          <w:tcPr>
            <w:tcW w:w="911" w:type="pct"/>
            <w:tcBorders>
              <w:top w:val="single" w:sz="4" w:space="0" w:color="auto"/>
              <w:left w:val="single" w:sz="4" w:space="0" w:color="auto"/>
              <w:bottom w:val="single" w:sz="4" w:space="0" w:color="auto"/>
              <w:right w:val="single" w:sz="4" w:space="0" w:color="auto"/>
            </w:tcBorders>
            <w:vAlign w:val="center"/>
          </w:tcPr>
          <w:p w14:paraId="5AE1B640" w14:textId="11B30E9A" w:rsidR="00451215" w:rsidRPr="000D07A8" w:rsidRDefault="008E0BFB" w:rsidP="00451215">
            <w:pPr>
              <w:pStyle w:val="TableText"/>
              <w:jc w:val="center"/>
              <w:rPr>
                <w:rFonts w:eastAsia="Arial Narrow" w:cs="Arial Narrow"/>
                <w:szCs w:val="20"/>
              </w:rPr>
            </w:pPr>
            <w:r w:rsidRPr="000D07A8">
              <w:rPr>
                <w:rFonts w:eastAsia="Arial Narrow" w:cs="Arial Narrow"/>
                <w:b/>
                <w:bCs/>
                <w:szCs w:val="20"/>
              </w:rPr>
              <w:t>$</w:t>
            </w:r>
            <w:r w:rsidR="00451215" w:rsidRPr="000D07A8">
              <w:rPr>
                <w:rFonts w:eastAsia="Arial Narrow" w:cs="Arial Narrow"/>
                <w:szCs w:val="20"/>
              </w:rPr>
              <w:t>|</w:t>
            </w:r>
            <w:r w:rsidR="009D00D9" w:rsidRPr="000D07A8">
              <w:rPr>
                <w:rFonts w:eastAsia="Arial Narrow" w:cs="Arial Narrow"/>
                <w:szCs w:val="20"/>
              </w:rPr>
              <w:t xml:space="preserve"> </w:t>
            </w:r>
            <w:r w:rsidR="00451215" w:rsidRPr="000D07A8">
              <w:rPr>
                <w:rFonts w:eastAsia="Arial Narrow" w:cs="Arial Narrow"/>
                <w:szCs w:val="20"/>
                <w:vertAlign w:val="superscript"/>
              </w:rPr>
              <w:t>2</w:t>
            </w:r>
          </w:p>
          <w:p w14:paraId="10E998B9" w14:textId="339CD3D1" w:rsidR="000B7178" w:rsidRPr="00907CC6" w:rsidRDefault="000B7178" w:rsidP="00815834">
            <w:pPr>
              <w:keepNext/>
              <w:keepLines/>
              <w:snapToGrid w:val="0"/>
              <w:spacing w:before="0" w:after="0" w:line="240" w:lineRule="auto"/>
              <w:jc w:val="center"/>
              <w:rPr>
                <w:rFonts w:ascii="Arial Narrow" w:eastAsia="MS Gothic" w:hAnsi="Arial Narrow" w:cs="Times New Roman"/>
                <w:b/>
                <w:bCs/>
                <w:sz w:val="20"/>
                <w:szCs w:val="20"/>
              </w:rPr>
            </w:pPr>
          </w:p>
        </w:tc>
      </w:tr>
      <w:tr w:rsidR="008B6D58" w:rsidRPr="000B7178" w14:paraId="2B615205" w14:textId="77777777" w:rsidTr="000B7178">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14:paraId="23F28EE9" w14:textId="77777777" w:rsidR="000B7178" w:rsidRPr="00907CC6" w:rsidRDefault="000B7178" w:rsidP="000B7178">
            <w:pPr>
              <w:keepNext/>
              <w:keepLines/>
              <w:snapToGrid w:val="0"/>
              <w:spacing w:before="0" w:after="0" w:line="240" w:lineRule="auto"/>
              <w:rPr>
                <w:rFonts w:ascii="Arial Narrow" w:eastAsia="Arial Narrow" w:hAnsi="Arial Narrow" w:cs="Arial Narrow"/>
                <w:sz w:val="20"/>
                <w:szCs w:val="20"/>
              </w:rPr>
            </w:pPr>
            <w:r w:rsidRPr="00907CC6">
              <w:rPr>
                <w:rFonts w:ascii="Arial Narrow" w:eastAsia="Arial Narrow" w:hAnsi="Arial Narrow" w:cs="Arial Narrow"/>
                <w:b/>
                <w:sz w:val="20"/>
                <w:szCs w:val="20"/>
              </w:rPr>
              <w:t>Children and adolescents</w:t>
            </w:r>
          </w:p>
        </w:tc>
      </w:tr>
      <w:tr w:rsidR="0098728F" w:rsidRPr="000B7178" w14:paraId="0C144161" w14:textId="77777777" w:rsidTr="00815834">
        <w:trPr>
          <w:trHeight w:val="60"/>
        </w:trPr>
        <w:tc>
          <w:tcPr>
            <w:tcW w:w="2519" w:type="pct"/>
            <w:tcBorders>
              <w:top w:val="single" w:sz="4" w:space="0" w:color="auto"/>
              <w:left w:val="single" w:sz="4" w:space="0" w:color="auto"/>
              <w:bottom w:val="single" w:sz="4" w:space="0" w:color="auto"/>
              <w:right w:val="single" w:sz="4" w:space="0" w:color="auto"/>
            </w:tcBorders>
            <w:hideMark/>
          </w:tcPr>
          <w:p w14:paraId="4F944755" w14:textId="77777777" w:rsidR="000B7178" w:rsidRPr="00907CC6" w:rsidRDefault="000B7178" w:rsidP="000B7178">
            <w:pPr>
              <w:keepNext/>
              <w:keepLines/>
              <w:snapToGrid w:val="0"/>
              <w:spacing w:before="0" w:after="0" w:line="240" w:lineRule="auto"/>
              <w:rPr>
                <w:rFonts w:ascii="Arial Narrow" w:eastAsia="MS Gothic" w:hAnsi="Arial Narrow" w:cs="Times New Roman"/>
                <w:b/>
                <w:bCs/>
                <w:sz w:val="20"/>
                <w:szCs w:val="20"/>
              </w:rPr>
            </w:pPr>
            <w:r w:rsidRPr="00907CC6">
              <w:rPr>
                <w:rFonts w:ascii="Arial Narrow" w:eastAsia="Arial Narrow" w:hAnsi="Arial Narrow" w:cs="Arial Narrow"/>
                <w:b/>
                <w:bCs/>
                <w:sz w:val="20"/>
                <w:szCs w:val="20"/>
              </w:rPr>
              <w:t>Base case</w:t>
            </w:r>
          </w:p>
        </w:tc>
        <w:tc>
          <w:tcPr>
            <w:tcW w:w="838" w:type="pct"/>
            <w:tcBorders>
              <w:top w:val="single" w:sz="4" w:space="0" w:color="auto"/>
              <w:left w:val="single" w:sz="4" w:space="0" w:color="auto"/>
              <w:bottom w:val="single" w:sz="4" w:space="0" w:color="auto"/>
              <w:right w:val="single" w:sz="4" w:space="0" w:color="auto"/>
            </w:tcBorders>
            <w:vAlign w:val="center"/>
            <w:hideMark/>
          </w:tcPr>
          <w:p w14:paraId="06816698" w14:textId="002F66E9" w:rsidR="000B7178" w:rsidRPr="00907CC6" w:rsidRDefault="000B7178" w:rsidP="000B7178">
            <w:pPr>
              <w:keepNext/>
              <w:keepLines/>
              <w:snapToGrid w:val="0"/>
              <w:spacing w:before="0" w:after="0" w:line="240" w:lineRule="auto"/>
              <w:jc w:val="center"/>
              <w:rPr>
                <w:rFonts w:ascii="Arial Narrow" w:eastAsia="MS Gothic" w:hAnsi="Arial Narrow" w:cs="Times New Roman"/>
                <w:b/>
                <w:bCs/>
                <w:sz w:val="20"/>
                <w:szCs w:val="20"/>
              </w:rPr>
            </w:pPr>
            <w:r w:rsidRPr="00907CC6">
              <w:rPr>
                <w:rFonts w:ascii="Arial Narrow" w:eastAsia="Arial Narrow" w:hAnsi="Arial Narrow" w:cs="Arial Narrow"/>
                <w:b/>
                <w:bCs/>
                <w:sz w:val="20"/>
                <w:szCs w:val="20"/>
              </w:rPr>
              <w:t>$</w:t>
            </w:r>
            <w:r w:rsidR="003511A8" w:rsidRPr="00907CC6">
              <w:rPr>
                <w:rFonts w:ascii="Arial Narrow" w:eastAsia="Arial Narrow" w:hAnsi="Arial Narrow" w:cs="Arial Narrow"/>
                <w:sz w:val="20"/>
                <w:szCs w:val="20"/>
              </w:rPr>
              <w:t>|</w:t>
            </w:r>
          </w:p>
        </w:tc>
        <w:tc>
          <w:tcPr>
            <w:tcW w:w="732" w:type="pct"/>
            <w:tcBorders>
              <w:top w:val="single" w:sz="4" w:space="0" w:color="auto"/>
              <w:left w:val="single" w:sz="4" w:space="0" w:color="auto"/>
              <w:bottom w:val="single" w:sz="4" w:space="0" w:color="auto"/>
              <w:right w:val="single" w:sz="4" w:space="0" w:color="auto"/>
            </w:tcBorders>
            <w:vAlign w:val="center"/>
            <w:hideMark/>
          </w:tcPr>
          <w:p w14:paraId="2D49791C" w14:textId="77777777" w:rsidR="000B7178" w:rsidRPr="00907CC6" w:rsidRDefault="000B7178" w:rsidP="000B7178">
            <w:pPr>
              <w:keepNext/>
              <w:keepLines/>
              <w:snapToGrid w:val="0"/>
              <w:spacing w:before="0" w:after="0" w:line="240" w:lineRule="auto"/>
              <w:jc w:val="center"/>
              <w:rPr>
                <w:rFonts w:ascii="Arial Narrow" w:eastAsia="MS Gothic" w:hAnsi="Arial Narrow" w:cs="Times New Roman"/>
                <w:b/>
                <w:bCs/>
                <w:sz w:val="20"/>
                <w:szCs w:val="20"/>
              </w:rPr>
            </w:pPr>
            <w:r w:rsidRPr="00907CC6">
              <w:rPr>
                <w:rFonts w:ascii="Arial Narrow" w:eastAsia="Arial Narrow" w:hAnsi="Arial Narrow" w:cs="Arial Narrow"/>
                <w:b/>
                <w:bCs/>
                <w:sz w:val="20"/>
                <w:szCs w:val="20"/>
              </w:rPr>
              <w:t>0.25</w:t>
            </w:r>
          </w:p>
        </w:tc>
        <w:tc>
          <w:tcPr>
            <w:tcW w:w="911" w:type="pct"/>
            <w:tcBorders>
              <w:top w:val="single" w:sz="4" w:space="0" w:color="auto"/>
              <w:left w:val="single" w:sz="4" w:space="0" w:color="auto"/>
              <w:bottom w:val="single" w:sz="4" w:space="0" w:color="auto"/>
              <w:right w:val="single" w:sz="4" w:space="0" w:color="auto"/>
            </w:tcBorders>
            <w:vAlign w:val="center"/>
            <w:hideMark/>
          </w:tcPr>
          <w:p w14:paraId="6FA89C63" w14:textId="3A5EC9E8" w:rsidR="00451215" w:rsidRPr="000D07A8" w:rsidRDefault="000B7178" w:rsidP="00451215">
            <w:pPr>
              <w:pStyle w:val="TableText"/>
              <w:jc w:val="center"/>
              <w:rPr>
                <w:rFonts w:eastAsia="Arial Narrow" w:cs="Arial Narrow"/>
                <w:szCs w:val="20"/>
              </w:rPr>
            </w:pPr>
            <w:r w:rsidRPr="000D07A8">
              <w:rPr>
                <w:rFonts w:eastAsia="Arial Narrow" w:cs="Arial Narrow"/>
                <w:b/>
                <w:bCs/>
                <w:szCs w:val="20"/>
              </w:rPr>
              <w:t>$</w:t>
            </w:r>
            <w:r w:rsidR="00451215" w:rsidRPr="000D07A8">
              <w:rPr>
                <w:rFonts w:eastAsia="Arial Narrow" w:cs="Arial Narrow"/>
                <w:szCs w:val="20"/>
              </w:rPr>
              <w:t>|</w:t>
            </w:r>
            <w:r w:rsidR="00BF64F8" w:rsidRPr="000D07A8">
              <w:rPr>
                <w:rFonts w:eastAsia="Arial Narrow" w:cs="Arial Narrow"/>
                <w:szCs w:val="20"/>
              </w:rPr>
              <w:t xml:space="preserve"> </w:t>
            </w:r>
            <w:r w:rsidR="00451215" w:rsidRPr="000D07A8">
              <w:rPr>
                <w:rFonts w:eastAsia="Arial Narrow" w:cs="Arial Narrow"/>
                <w:szCs w:val="20"/>
                <w:vertAlign w:val="superscript"/>
              </w:rPr>
              <w:t>2</w:t>
            </w:r>
          </w:p>
          <w:p w14:paraId="76B8013C" w14:textId="104F9637" w:rsidR="000B7178" w:rsidRPr="00907CC6" w:rsidRDefault="000B7178" w:rsidP="000B7178">
            <w:pPr>
              <w:keepNext/>
              <w:keepLines/>
              <w:snapToGrid w:val="0"/>
              <w:spacing w:before="0" w:after="0" w:line="240" w:lineRule="auto"/>
              <w:jc w:val="center"/>
              <w:rPr>
                <w:rFonts w:ascii="Arial Narrow" w:eastAsia="MS Gothic" w:hAnsi="Arial Narrow" w:cs="Times New Roman"/>
                <w:b/>
                <w:bCs/>
                <w:sz w:val="20"/>
                <w:szCs w:val="20"/>
              </w:rPr>
            </w:pPr>
          </w:p>
        </w:tc>
      </w:tr>
      <w:tr w:rsidR="0098728F" w:rsidRPr="000B7178" w14:paraId="3512086D" w14:textId="77777777" w:rsidTr="003B6A1A">
        <w:tc>
          <w:tcPr>
            <w:tcW w:w="2519" w:type="pct"/>
            <w:tcBorders>
              <w:top w:val="single" w:sz="4" w:space="0" w:color="auto"/>
              <w:left w:val="single" w:sz="4" w:space="0" w:color="auto"/>
              <w:bottom w:val="single" w:sz="4" w:space="0" w:color="auto"/>
              <w:right w:val="single" w:sz="4" w:space="0" w:color="auto"/>
            </w:tcBorders>
            <w:hideMark/>
          </w:tcPr>
          <w:p w14:paraId="00FE4726" w14:textId="629144E1" w:rsidR="000B7178" w:rsidRPr="00907CC6" w:rsidRDefault="008E0BFB" w:rsidP="00815834">
            <w:pPr>
              <w:keepNext/>
              <w:keepLines/>
              <w:snapToGrid w:val="0"/>
              <w:spacing w:before="0" w:after="0" w:line="240" w:lineRule="auto"/>
              <w:jc w:val="both"/>
              <w:rPr>
                <w:rFonts w:ascii="Arial Narrow" w:eastAsia="MS Gothic" w:hAnsi="Arial Narrow" w:cs="Times New Roman"/>
                <w:sz w:val="20"/>
                <w:szCs w:val="20"/>
              </w:rPr>
            </w:pPr>
            <w:r w:rsidRPr="00907CC6">
              <w:rPr>
                <w:rFonts w:ascii="Arial Narrow" w:eastAsia="MS Gothic" w:hAnsi="Arial Narrow" w:cs="Times New Roman"/>
                <w:sz w:val="20"/>
                <w:szCs w:val="20"/>
              </w:rPr>
              <w:t xml:space="preserve">2-year time horizon </w:t>
            </w:r>
            <w:r w:rsidRPr="00907CC6">
              <w:rPr>
                <w:rFonts w:ascii="Arial Narrow" w:eastAsia="Arial Narrow" w:hAnsi="Arial Narrow" w:cs="Arial Narrow"/>
                <w:sz w:val="20"/>
                <w:szCs w:val="20"/>
              </w:rPr>
              <w:t>(base case 5 years)</w:t>
            </w:r>
          </w:p>
        </w:tc>
        <w:tc>
          <w:tcPr>
            <w:tcW w:w="838" w:type="pct"/>
            <w:tcBorders>
              <w:top w:val="single" w:sz="4" w:space="0" w:color="auto"/>
              <w:left w:val="single" w:sz="4" w:space="0" w:color="auto"/>
              <w:bottom w:val="single" w:sz="4" w:space="0" w:color="auto"/>
              <w:right w:val="single" w:sz="4" w:space="0" w:color="auto"/>
            </w:tcBorders>
          </w:tcPr>
          <w:p w14:paraId="288359B1" w14:textId="72137ABE" w:rsidR="000B7178" w:rsidRPr="00907CC6" w:rsidRDefault="008E0BFB" w:rsidP="00815834">
            <w:pPr>
              <w:keepNext/>
              <w:keepLines/>
              <w:snapToGrid w:val="0"/>
              <w:spacing w:before="0" w:after="0" w:line="240" w:lineRule="auto"/>
              <w:jc w:val="center"/>
              <w:rPr>
                <w:rFonts w:ascii="Arial Narrow" w:eastAsia="MS Gothic" w:hAnsi="Arial Narrow" w:cs="Times New Roman"/>
                <w:sz w:val="20"/>
                <w:szCs w:val="20"/>
              </w:rPr>
            </w:pPr>
            <w:r w:rsidRPr="00907CC6">
              <w:rPr>
                <w:rFonts w:ascii="Arial Narrow" w:eastAsia="Arial Narrow" w:hAnsi="Arial Narrow" w:cs="Arial Narrow"/>
                <w:sz w:val="20"/>
                <w:szCs w:val="20"/>
              </w:rPr>
              <w:t>$</w:t>
            </w:r>
            <w:r w:rsidR="003511A8" w:rsidRPr="00907CC6">
              <w:rPr>
                <w:rFonts w:ascii="Arial Narrow" w:eastAsia="Arial Narrow" w:hAnsi="Arial Narrow" w:cs="Arial Narrow"/>
                <w:sz w:val="20"/>
                <w:szCs w:val="20"/>
              </w:rPr>
              <w:t>|</w:t>
            </w:r>
          </w:p>
        </w:tc>
        <w:tc>
          <w:tcPr>
            <w:tcW w:w="732" w:type="pct"/>
            <w:tcBorders>
              <w:top w:val="single" w:sz="4" w:space="0" w:color="auto"/>
              <w:left w:val="single" w:sz="4" w:space="0" w:color="auto"/>
              <w:bottom w:val="single" w:sz="4" w:space="0" w:color="auto"/>
              <w:right w:val="single" w:sz="4" w:space="0" w:color="auto"/>
            </w:tcBorders>
            <w:vAlign w:val="bottom"/>
          </w:tcPr>
          <w:p w14:paraId="7CEC54F9" w14:textId="7293A997" w:rsidR="000B7178" w:rsidRPr="00907CC6" w:rsidRDefault="009B1303" w:rsidP="00815834">
            <w:pPr>
              <w:keepNext/>
              <w:keepLines/>
              <w:snapToGrid w:val="0"/>
              <w:spacing w:before="0" w:after="0" w:line="240" w:lineRule="auto"/>
              <w:jc w:val="center"/>
              <w:rPr>
                <w:rFonts w:ascii="Arial Narrow" w:eastAsia="MS Gothic" w:hAnsi="Arial Narrow" w:cs="Times New Roman"/>
                <w:sz w:val="20"/>
                <w:szCs w:val="20"/>
              </w:rPr>
            </w:pPr>
            <w:r w:rsidRPr="00907CC6">
              <w:rPr>
                <w:rFonts w:ascii="Arial Narrow" w:eastAsia="Arial Narrow" w:hAnsi="Arial Narrow" w:cs="Arial Narrow"/>
                <w:sz w:val="20"/>
                <w:szCs w:val="20"/>
              </w:rPr>
              <w:t>0.11</w:t>
            </w:r>
          </w:p>
        </w:tc>
        <w:tc>
          <w:tcPr>
            <w:tcW w:w="911" w:type="pct"/>
            <w:tcBorders>
              <w:top w:val="single" w:sz="4" w:space="0" w:color="auto"/>
              <w:left w:val="single" w:sz="4" w:space="0" w:color="auto"/>
              <w:bottom w:val="single" w:sz="4" w:space="0" w:color="auto"/>
              <w:right w:val="single" w:sz="4" w:space="0" w:color="auto"/>
            </w:tcBorders>
          </w:tcPr>
          <w:p w14:paraId="18BB87D9" w14:textId="24BF72EE" w:rsidR="00451215" w:rsidRPr="000D07A8" w:rsidRDefault="00ED3B07" w:rsidP="00451215">
            <w:pPr>
              <w:pStyle w:val="TableText"/>
              <w:jc w:val="center"/>
              <w:rPr>
                <w:rFonts w:eastAsia="Arial Narrow" w:cs="Arial Narrow"/>
                <w:szCs w:val="20"/>
              </w:rPr>
            </w:pPr>
            <w:r w:rsidRPr="000D07A8">
              <w:rPr>
                <w:rFonts w:eastAsia="Arial Narrow" w:cs="Arial Narrow"/>
                <w:szCs w:val="20"/>
              </w:rPr>
              <w:t>$</w:t>
            </w:r>
            <w:r w:rsidR="00451215" w:rsidRPr="000D07A8">
              <w:rPr>
                <w:rFonts w:eastAsia="Arial Narrow" w:cs="Arial Narrow"/>
                <w:szCs w:val="20"/>
              </w:rPr>
              <w:t>|</w:t>
            </w:r>
            <w:r w:rsidR="00BF64F8" w:rsidRPr="000D07A8">
              <w:rPr>
                <w:rFonts w:eastAsia="Arial Narrow" w:cs="Arial Narrow"/>
                <w:szCs w:val="20"/>
              </w:rPr>
              <w:t xml:space="preserve"> </w:t>
            </w:r>
            <w:r w:rsidR="00451215" w:rsidRPr="000D07A8">
              <w:rPr>
                <w:rFonts w:eastAsia="Arial Narrow" w:cs="Arial Narrow"/>
                <w:szCs w:val="20"/>
                <w:vertAlign w:val="superscript"/>
              </w:rPr>
              <w:t>2</w:t>
            </w:r>
          </w:p>
          <w:p w14:paraId="34A26B91" w14:textId="20D1F63C" w:rsidR="000B7178" w:rsidRPr="00907CC6" w:rsidRDefault="000B7178" w:rsidP="00815834">
            <w:pPr>
              <w:keepNext/>
              <w:keepLines/>
              <w:snapToGrid w:val="0"/>
              <w:spacing w:before="0" w:after="0" w:line="240" w:lineRule="auto"/>
              <w:jc w:val="center"/>
              <w:rPr>
                <w:rFonts w:ascii="Arial Narrow" w:eastAsia="MS Gothic" w:hAnsi="Arial Narrow" w:cs="Times New Roman"/>
                <w:sz w:val="20"/>
                <w:szCs w:val="20"/>
              </w:rPr>
            </w:pPr>
          </w:p>
        </w:tc>
      </w:tr>
      <w:tr w:rsidR="0098728F" w:rsidRPr="000B7178" w14:paraId="4772CC45" w14:textId="77777777" w:rsidTr="00815834">
        <w:trPr>
          <w:trHeight w:val="205"/>
        </w:trPr>
        <w:tc>
          <w:tcPr>
            <w:tcW w:w="2519" w:type="pct"/>
            <w:tcBorders>
              <w:top w:val="single" w:sz="4" w:space="0" w:color="auto"/>
              <w:left w:val="single" w:sz="4" w:space="0" w:color="auto"/>
              <w:bottom w:val="single" w:sz="4" w:space="0" w:color="auto"/>
              <w:right w:val="single" w:sz="4" w:space="0" w:color="auto"/>
            </w:tcBorders>
            <w:hideMark/>
          </w:tcPr>
          <w:p w14:paraId="7DFC04FB" w14:textId="117418C2" w:rsidR="000B7178" w:rsidRPr="00907CC6" w:rsidRDefault="000B7178" w:rsidP="000B7178">
            <w:pPr>
              <w:keepNext/>
              <w:keepLines/>
              <w:snapToGrid w:val="0"/>
              <w:spacing w:before="0" w:after="0" w:line="240" w:lineRule="auto"/>
              <w:rPr>
                <w:rFonts w:ascii="Arial Narrow" w:eastAsia="Arial Narrow" w:hAnsi="Arial Narrow" w:cs="Arial Narrow"/>
                <w:sz w:val="20"/>
                <w:szCs w:val="20"/>
              </w:rPr>
            </w:pPr>
            <w:r w:rsidRPr="00907CC6">
              <w:rPr>
                <w:rFonts w:ascii="Arial Narrow" w:eastAsia="Arial Narrow" w:hAnsi="Arial Narrow" w:cs="Arial Narrow"/>
                <w:sz w:val="20"/>
                <w:szCs w:val="20"/>
              </w:rPr>
              <w:t xml:space="preserve">Including anaesthesia costs for children and adolescents </w:t>
            </w:r>
            <w:r w:rsidR="00B14FDF" w:rsidRPr="00907CC6">
              <w:rPr>
                <w:rFonts w:ascii="Arial Narrow" w:eastAsia="Arial Narrow" w:hAnsi="Arial Narrow" w:cs="Times New Roman"/>
                <w:b/>
                <w:bCs/>
                <w:sz w:val="20"/>
                <w:szCs w:val="20"/>
                <w:vertAlign w:val="superscript"/>
              </w:rPr>
              <w:t>a</w:t>
            </w:r>
          </w:p>
        </w:tc>
        <w:tc>
          <w:tcPr>
            <w:tcW w:w="838" w:type="pct"/>
            <w:tcBorders>
              <w:top w:val="single" w:sz="4" w:space="0" w:color="auto"/>
              <w:left w:val="single" w:sz="4" w:space="0" w:color="auto"/>
              <w:bottom w:val="single" w:sz="4" w:space="0" w:color="auto"/>
              <w:right w:val="single" w:sz="4" w:space="0" w:color="auto"/>
            </w:tcBorders>
            <w:vAlign w:val="center"/>
            <w:hideMark/>
          </w:tcPr>
          <w:p w14:paraId="48581C66" w14:textId="76FEB66E" w:rsidR="000B7178" w:rsidRPr="00907CC6" w:rsidRDefault="000B7178" w:rsidP="000B7178">
            <w:pPr>
              <w:keepNext/>
              <w:keepLines/>
              <w:snapToGrid w:val="0"/>
              <w:spacing w:before="0" w:after="0" w:line="240" w:lineRule="auto"/>
              <w:jc w:val="center"/>
              <w:rPr>
                <w:rFonts w:ascii="Arial Narrow" w:eastAsia="Arial Narrow" w:hAnsi="Arial Narrow" w:cs="Arial Narrow"/>
                <w:sz w:val="20"/>
                <w:szCs w:val="20"/>
              </w:rPr>
            </w:pPr>
            <w:r w:rsidRPr="00907CC6">
              <w:rPr>
                <w:rFonts w:ascii="Arial Narrow" w:eastAsia="Arial Narrow" w:hAnsi="Arial Narrow" w:cs="Arial Narrow"/>
                <w:sz w:val="20"/>
                <w:szCs w:val="20"/>
              </w:rPr>
              <w:t>$</w:t>
            </w:r>
            <w:r w:rsidR="003511A8" w:rsidRPr="00907CC6">
              <w:rPr>
                <w:rFonts w:ascii="Arial Narrow" w:eastAsia="Arial Narrow" w:hAnsi="Arial Narrow" w:cs="Arial Narrow"/>
                <w:sz w:val="20"/>
                <w:szCs w:val="20"/>
              </w:rPr>
              <w:t>|</w:t>
            </w:r>
          </w:p>
        </w:tc>
        <w:tc>
          <w:tcPr>
            <w:tcW w:w="732" w:type="pct"/>
            <w:tcBorders>
              <w:top w:val="single" w:sz="4" w:space="0" w:color="auto"/>
              <w:left w:val="single" w:sz="4" w:space="0" w:color="auto"/>
              <w:bottom w:val="single" w:sz="4" w:space="0" w:color="auto"/>
              <w:right w:val="single" w:sz="4" w:space="0" w:color="auto"/>
            </w:tcBorders>
            <w:vAlign w:val="center"/>
            <w:hideMark/>
          </w:tcPr>
          <w:p w14:paraId="774661C6" w14:textId="77777777" w:rsidR="000B7178" w:rsidRPr="00907CC6" w:rsidRDefault="000B7178" w:rsidP="000B7178">
            <w:pPr>
              <w:keepNext/>
              <w:keepLines/>
              <w:snapToGrid w:val="0"/>
              <w:spacing w:before="0" w:after="0" w:line="240" w:lineRule="auto"/>
              <w:jc w:val="center"/>
              <w:rPr>
                <w:rFonts w:ascii="Arial Narrow" w:eastAsia="Arial Narrow" w:hAnsi="Arial Narrow" w:cs="Arial Narrow"/>
                <w:sz w:val="20"/>
                <w:szCs w:val="20"/>
              </w:rPr>
            </w:pPr>
            <w:r w:rsidRPr="00907CC6">
              <w:rPr>
                <w:rFonts w:ascii="Arial Narrow" w:eastAsia="Arial Narrow" w:hAnsi="Arial Narrow" w:cs="Arial Narrow"/>
                <w:sz w:val="20"/>
                <w:szCs w:val="20"/>
              </w:rPr>
              <w:t>0.25</w:t>
            </w:r>
          </w:p>
        </w:tc>
        <w:tc>
          <w:tcPr>
            <w:tcW w:w="911" w:type="pct"/>
            <w:tcBorders>
              <w:top w:val="single" w:sz="4" w:space="0" w:color="auto"/>
              <w:left w:val="single" w:sz="4" w:space="0" w:color="auto"/>
              <w:bottom w:val="single" w:sz="4" w:space="0" w:color="auto"/>
              <w:right w:val="single" w:sz="4" w:space="0" w:color="auto"/>
            </w:tcBorders>
            <w:vAlign w:val="center"/>
            <w:hideMark/>
          </w:tcPr>
          <w:p w14:paraId="374A7A90" w14:textId="6C7ECBDE" w:rsidR="00451215" w:rsidRPr="000D07A8" w:rsidRDefault="000B7178" w:rsidP="00451215">
            <w:pPr>
              <w:pStyle w:val="TableText"/>
              <w:jc w:val="center"/>
              <w:rPr>
                <w:rFonts w:eastAsia="Arial Narrow" w:cs="Arial Narrow"/>
                <w:szCs w:val="20"/>
              </w:rPr>
            </w:pPr>
            <w:r w:rsidRPr="000D07A8">
              <w:rPr>
                <w:rFonts w:eastAsia="Arial Narrow" w:cs="Arial Narrow"/>
                <w:szCs w:val="20"/>
              </w:rPr>
              <w:t>$</w:t>
            </w:r>
            <w:r w:rsidR="00451215" w:rsidRPr="000D07A8">
              <w:rPr>
                <w:rFonts w:eastAsia="Arial Narrow" w:cs="Arial Narrow"/>
                <w:szCs w:val="20"/>
              </w:rPr>
              <w:t>|</w:t>
            </w:r>
            <w:r w:rsidR="00BF64F8" w:rsidRPr="000D07A8">
              <w:rPr>
                <w:rFonts w:eastAsia="Arial Narrow" w:cs="Arial Narrow"/>
                <w:szCs w:val="20"/>
              </w:rPr>
              <w:t xml:space="preserve"> </w:t>
            </w:r>
            <w:r w:rsidR="00451215" w:rsidRPr="000D07A8">
              <w:rPr>
                <w:rFonts w:eastAsia="Arial Narrow" w:cs="Arial Narrow"/>
                <w:szCs w:val="20"/>
                <w:vertAlign w:val="superscript"/>
              </w:rPr>
              <w:t>2</w:t>
            </w:r>
          </w:p>
          <w:p w14:paraId="6221D845" w14:textId="581CED95" w:rsidR="000B7178" w:rsidRPr="00907CC6" w:rsidRDefault="000B7178" w:rsidP="000B7178">
            <w:pPr>
              <w:keepNext/>
              <w:keepLines/>
              <w:snapToGrid w:val="0"/>
              <w:spacing w:before="0" w:after="0" w:line="240" w:lineRule="auto"/>
              <w:jc w:val="center"/>
              <w:rPr>
                <w:rFonts w:ascii="Arial Narrow" w:eastAsia="Arial Narrow" w:hAnsi="Arial Narrow" w:cs="Arial Narrow"/>
                <w:sz w:val="20"/>
                <w:szCs w:val="20"/>
              </w:rPr>
            </w:pPr>
          </w:p>
        </w:tc>
      </w:tr>
    </w:tbl>
    <w:p w14:paraId="7BBE74B8" w14:textId="2E489E23" w:rsidR="0050345F" w:rsidRDefault="00ED3B07" w:rsidP="00815834">
      <w:pPr>
        <w:pStyle w:val="TableFooter"/>
        <w:rPr>
          <w:rFonts w:eastAsia="Calibri"/>
        </w:rPr>
      </w:pPr>
      <w:r>
        <w:rPr>
          <w:rFonts w:eastAsia="Calibri"/>
        </w:rPr>
        <w:t>Source: Table 16, p</w:t>
      </w:r>
      <w:r w:rsidR="00596C86">
        <w:rPr>
          <w:rFonts w:eastAsia="Calibri"/>
        </w:rPr>
        <w:t xml:space="preserve">45 </w:t>
      </w:r>
      <w:r w:rsidR="00246579">
        <w:rPr>
          <w:rFonts w:eastAsia="Calibri"/>
        </w:rPr>
        <w:t xml:space="preserve">of the November 2024 </w:t>
      </w:r>
      <w:r w:rsidR="00AD4217">
        <w:rPr>
          <w:rFonts w:eastAsia="Calibri"/>
        </w:rPr>
        <w:t xml:space="preserve">PBAC </w:t>
      </w:r>
      <w:r w:rsidR="00563DBC">
        <w:t>commentary</w:t>
      </w:r>
      <w:r w:rsidR="00AD4217">
        <w:t xml:space="preserve">, </w:t>
      </w:r>
      <w:r w:rsidR="00AD4217" w:rsidRPr="00BB6D1B">
        <w:t>6.04 incobotulinumtoxinA</w:t>
      </w:r>
      <w:r w:rsidR="00AD4217">
        <w:t xml:space="preserve"> ratified</w:t>
      </w:r>
      <w:r w:rsidR="00246579">
        <w:rPr>
          <w:rFonts w:eastAsia="Calibri"/>
        </w:rPr>
        <w:t xml:space="preserve"> </w:t>
      </w:r>
      <w:r w:rsidR="00563DBC">
        <w:rPr>
          <w:rFonts w:eastAsia="Calibri"/>
        </w:rPr>
        <w:t xml:space="preserve">PBAC </w:t>
      </w:r>
      <w:r w:rsidR="00246579">
        <w:rPr>
          <w:rFonts w:eastAsia="Calibri"/>
        </w:rPr>
        <w:t>minutes</w:t>
      </w:r>
    </w:p>
    <w:p w14:paraId="00EA8F41" w14:textId="77FBB412" w:rsidR="00B14FDF" w:rsidRDefault="00B14FDF" w:rsidP="00815834">
      <w:pPr>
        <w:pStyle w:val="TableFooter"/>
        <w:rPr>
          <w:rFonts w:eastAsia="Calibri"/>
        </w:rPr>
      </w:pPr>
      <w:r w:rsidRPr="002A565B">
        <w:rPr>
          <w:rFonts w:eastAsia="Calibri"/>
          <w:vertAlign w:val="superscript"/>
        </w:rPr>
        <w:t xml:space="preserve">a </w:t>
      </w:r>
      <w:r w:rsidR="002A565B" w:rsidRPr="002A565B">
        <w:rPr>
          <w:rFonts w:eastAsia="Calibri"/>
        </w:rPr>
        <w:t>Total anaesthesia costs: $162.50, including anaesthesia brief consultation: MBS 17610= $49.75; anaesthesia fees: 1:01 HOURS to 1:15 HOURS, MBS 23055=$112.75</w:t>
      </w:r>
    </w:p>
    <w:p w14:paraId="0E6CACF7" w14:textId="77777777" w:rsidR="00370B45" w:rsidRPr="00370B45" w:rsidRDefault="00370B45" w:rsidP="00370B45">
      <w:pPr>
        <w:pStyle w:val="TableFooter"/>
        <w:rPr>
          <w:rFonts w:eastAsia="Calibri"/>
        </w:rPr>
      </w:pPr>
      <w:r w:rsidRPr="00370B45">
        <w:rPr>
          <w:rFonts w:eastAsia="Calibri"/>
        </w:rPr>
        <w:t>The redacted values correspond to the following ranges:</w:t>
      </w:r>
    </w:p>
    <w:p w14:paraId="7E57FEC9" w14:textId="7A3426B1" w:rsidR="00370B45" w:rsidRDefault="00370B45" w:rsidP="00370B45">
      <w:pPr>
        <w:pStyle w:val="TableFooter"/>
        <w:rPr>
          <w:rFonts w:eastAsia="Calibri"/>
        </w:rPr>
      </w:pPr>
      <w:r w:rsidRPr="00370B45">
        <w:rPr>
          <w:rFonts w:eastAsia="Calibri"/>
        </w:rPr>
        <w:t>1 $25,000 to &lt; $35,000</w:t>
      </w:r>
    </w:p>
    <w:p w14:paraId="4E395166" w14:textId="410FE51A" w:rsidR="00C36E99" w:rsidRDefault="00C36E99" w:rsidP="00370B45">
      <w:pPr>
        <w:pStyle w:val="TableFooter"/>
        <w:rPr>
          <w:rFonts w:eastAsia="Calibri"/>
        </w:rPr>
      </w:pPr>
      <w:r>
        <w:rPr>
          <w:rFonts w:eastAsia="Calibri"/>
        </w:rPr>
        <w:t>2</w:t>
      </w:r>
      <w:r w:rsidRPr="00C36E99">
        <w:rPr>
          <w:rFonts w:eastAsia="Calibri"/>
        </w:rPr>
        <w:t xml:space="preserve"> $35,000 to &lt; $45,000</w:t>
      </w:r>
    </w:p>
    <w:p w14:paraId="28F3CB91" w14:textId="3D8C7EC6" w:rsidR="003208BD" w:rsidRDefault="00246579" w:rsidP="00F87E43">
      <w:pPr>
        <w:pStyle w:val="BodyText1"/>
        <w:keepNext w:val="0"/>
        <w:keepLines w:val="0"/>
        <w:widowControl w:val="0"/>
        <w:spacing w:line="276" w:lineRule="auto"/>
        <w:jc w:val="left"/>
        <w:rPr>
          <w:rFonts w:ascii="Franklin Gothic Book" w:hAnsi="Franklin Gothic Book"/>
          <w:color w:val="000000" w:themeColor="text1"/>
        </w:rPr>
      </w:pPr>
      <w:r>
        <w:rPr>
          <w:rFonts w:cstheme="minorHAnsi"/>
          <w:color w:val="000000" w:themeColor="text1"/>
        </w:rPr>
        <w:t xml:space="preserve">The ADAR stated that </w:t>
      </w:r>
      <w:r>
        <w:rPr>
          <w:rFonts w:ascii="Franklin Gothic Book" w:hAnsi="Franklin Gothic Book"/>
          <w:color w:val="000000" w:themeColor="text1"/>
        </w:rPr>
        <w:t>s</w:t>
      </w:r>
      <w:r w:rsidR="00542C38" w:rsidRPr="0064215F">
        <w:rPr>
          <w:rFonts w:ascii="Franklin Gothic Book" w:hAnsi="Franklin Gothic Book"/>
          <w:color w:val="000000" w:themeColor="text1"/>
        </w:rPr>
        <w:t xml:space="preserve">ince the PBAC has accepted the </w:t>
      </w:r>
      <w:r w:rsidR="001120D1" w:rsidRPr="0064215F">
        <w:rPr>
          <w:rFonts w:ascii="Franklin Gothic Book" w:hAnsi="Franklin Gothic Book"/>
          <w:color w:val="000000" w:themeColor="text1"/>
        </w:rPr>
        <w:t xml:space="preserve">cost effectiveness of Xeomin at a 2-year time horizon with </w:t>
      </w:r>
      <w:r w:rsidR="00E16364" w:rsidRPr="0064215F">
        <w:rPr>
          <w:rFonts w:ascii="Franklin Gothic Book" w:hAnsi="Franklin Gothic Book"/>
          <w:color w:val="000000" w:themeColor="text1"/>
        </w:rPr>
        <w:t>a</w:t>
      </w:r>
      <w:r w:rsidR="00DA719C" w:rsidRPr="0064215F">
        <w:rPr>
          <w:rFonts w:ascii="Franklin Gothic Book" w:hAnsi="Franklin Gothic Book"/>
          <w:color w:val="000000" w:themeColor="text1"/>
        </w:rPr>
        <w:t>n injection</w:t>
      </w:r>
      <w:r w:rsidR="001D7047" w:rsidRPr="0064215F">
        <w:rPr>
          <w:rFonts w:ascii="Franklin Gothic Book" w:hAnsi="Franklin Gothic Book"/>
          <w:color w:val="000000" w:themeColor="text1"/>
        </w:rPr>
        <w:t xml:space="preserve"> administration </w:t>
      </w:r>
      <w:r w:rsidR="00E16364" w:rsidRPr="0064215F">
        <w:rPr>
          <w:rFonts w:ascii="Franklin Gothic Book" w:hAnsi="Franklin Gothic Book"/>
          <w:color w:val="000000" w:themeColor="text1"/>
        </w:rPr>
        <w:t>fee of $142</w:t>
      </w:r>
      <w:r w:rsidR="009A780A" w:rsidRPr="0064215F">
        <w:rPr>
          <w:rFonts w:ascii="Franklin Gothic Book" w:hAnsi="Franklin Gothic Book"/>
          <w:color w:val="000000" w:themeColor="text1"/>
        </w:rPr>
        <w:t>.</w:t>
      </w:r>
      <w:r w:rsidR="00E16364" w:rsidRPr="0064215F">
        <w:rPr>
          <w:rFonts w:ascii="Franklin Gothic Book" w:hAnsi="Franklin Gothic Book"/>
          <w:color w:val="000000" w:themeColor="text1"/>
        </w:rPr>
        <w:t>25</w:t>
      </w:r>
      <w:r w:rsidR="0086119F" w:rsidRPr="0064215F">
        <w:rPr>
          <w:rFonts w:ascii="Franklin Gothic Book" w:hAnsi="Franklin Gothic Book"/>
          <w:color w:val="000000" w:themeColor="text1"/>
        </w:rPr>
        <w:t xml:space="preserve">, </w:t>
      </w:r>
      <w:r w:rsidR="009E1D49" w:rsidRPr="0064215F">
        <w:rPr>
          <w:rFonts w:ascii="Franklin Gothic Book" w:hAnsi="Franklin Gothic Book"/>
          <w:color w:val="000000" w:themeColor="text1"/>
        </w:rPr>
        <w:t xml:space="preserve">the proposed </w:t>
      </w:r>
      <w:r w:rsidR="00EC1695" w:rsidRPr="0064215F">
        <w:rPr>
          <w:rFonts w:ascii="Franklin Gothic Book" w:hAnsi="Franklin Gothic Book"/>
          <w:color w:val="000000" w:themeColor="text1"/>
        </w:rPr>
        <w:t xml:space="preserve">MBS item </w:t>
      </w:r>
      <w:r w:rsidR="00CA3B30" w:rsidRPr="0064215F">
        <w:rPr>
          <w:rFonts w:ascii="Franklin Gothic Book" w:hAnsi="Franklin Gothic Book"/>
          <w:color w:val="000000" w:themeColor="text1"/>
        </w:rPr>
        <w:t xml:space="preserve">at an equivalent </w:t>
      </w:r>
      <w:r w:rsidR="00A32784" w:rsidRPr="0064215F">
        <w:rPr>
          <w:rFonts w:ascii="Franklin Gothic Book" w:hAnsi="Franklin Gothic Book"/>
          <w:color w:val="000000" w:themeColor="text1"/>
        </w:rPr>
        <w:t>value</w:t>
      </w:r>
      <w:r w:rsidR="00CA3B30" w:rsidRPr="0064215F">
        <w:rPr>
          <w:rFonts w:ascii="Franklin Gothic Book" w:hAnsi="Franklin Gothic Book"/>
          <w:color w:val="000000" w:themeColor="text1"/>
        </w:rPr>
        <w:t xml:space="preserve"> </w:t>
      </w:r>
      <w:r w:rsidR="00193DF0" w:rsidRPr="0064215F">
        <w:rPr>
          <w:rFonts w:ascii="Franklin Gothic Book" w:hAnsi="Franklin Gothic Book"/>
          <w:color w:val="000000" w:themeColor="text1"/>
        </w:rPr>
        <w:t xml:space="preserve">will ensure </w:t>
      </w:r>
      <w:r w:rsidR="009A108E" w:rsidRPr="0064215F">
        <w:rPr>
          <w:rFonts w:ascii="Franklin Gothic Book" w:hAnsi="Franklin Gothic Book"/>
          <w:color w:val="000000" w:themeColor="text1"/>
        </w:rPr>
        <w:t>that the total cost of treatment will remain cost</w:t>
      </w:r>
      <w:r w:rsidR="004B7E6F">
        <w:rPr>
          <w:rFonts w:ascii="Franklin Gothic Book" w:hAnsi="Franklin Gothic Book"/>
          <w:color w:val="000000" w:themeColor="text1"/>
        </w:rPr>
        <w:t>-</w:t>
      </w:r>
      <w:r w:rsidR="009A108E" w:rsidRPr="0064215F">
        <w:rPr>
          <w:rFonts w:ascii="Franklin Gothic Book" w:hAnsi="Franklin Gothic Book"/>
          <w:color w:val="000000" w:themeColor="text1"/>
        </w:rPr>
        <w:t xml:space="preserve">effective. </w:t>
      </w:r>
    </w:p>
    <w:p w14:paraId="25AE2BAC" w14:textId="1E8F5106" w:rsidR="00772829" w:rsidRPr="00CE28E3" w:rsidRDefault="00772829" w:rsidP="00A770A8">
      <w:pPr>
        <w:pStyle w:val="Heading2"/>
        <w:numPr>
          <w:ilvl w:val="0"/>
          <w:numId w:val="28"/>
        </w:numPr>
        <w:ind w:hanging="720"/>
      </w:pPr>
      <w:bookmarkStart w:id="29" w:name="Title_Table5"/>
      <w:bookmarkStart w:id="30" w:name="_Toc69491426"/>
      <w:bookmarkEnd w:id="29"/>
      <w:r w:rsidRPr="00CE28E3">
        <w:t>Financial/budgetary impacts</w:t>
      </w:r>
      <w:bookmarkEnd w:id="30"/>
    </w:p>
    <w:p w14:paraId="71E20150" w14:textId="20FADE07" w:rsidR="00AD728A" w:rsidRPr="00815834" w:rsidRDefault="00AD728A" w:rsidP="00AD728A">
      <w:pPr>
        <w:spacing w:before="240" w:line="276" w:lineRule="auto"/>
        <w:rPr>
          <w:i/>
          <w:iCs/>
        </w:rPr>
      </w:pPr>
      <w:r>
        <w:t xml:space="preserve">The ADAR presented utilisation and financial based on the </w:t>
      </w:r>
      <w:r w:rsidR="00944596">
        <w:t>those presented in their submission to PBAC</w:t>
      </w:r>
      <w:r w:rsidR="009951E7">
        <w:t>, rather than the revised est</w:t>
      </w:r>
      <w:r w:rsidR="00CC28BE">
        <w:t xml:space="preserve">imates </w:t>
      </w:r>
      <w:r w:rsidR="000E475A">
        <w:t xml:space="preserve">considered by PBAC. </w:t>
      </w:r>
      <w:r w:rsidR="00944596">
        <w:t xml:space="preserve"> </w:t>
      </w:r>
      <w:r w:rsidR="00240CFE">
        <w:t xml:space="preserve">The revised estimates considered by the PBAC </w:t>
      </w:r>
      <w:r w:rsidR="00EF011A">
        <w:t xml:space="preserve">corrected </w:t>
      </w:r>
      <w:r>
        <w:t xml:space="preserve">calculation errors and </w:t>
      </w:r>
      <w:r w:rsidR="00EF011A">
        <w:t>double counting</w:t>
      </w:r>
      <w:r w:rsidR="006E4FCD">
        <w:t xml:space="preserve"> (refer to paragraph 6.116, November 2024 PBAC minutes). </w:t>
      </w:r>
      <w:r w:rsidR="00EF011A">
        <w:t xml:space="preserve"> </w:t>
      </w:r>
      <w:r w:rsidR="005C4D3A">
        <w:t xml:space="preserve">A comparison of these </w:t>
      </w:r>
      <w:r w:rsidR="00496555">
        <w:t xml:space="preserve">prescription numbers is presented in </w:t>
      </w:r>
      <w:r w:rsidR="00496555" w:rsidRPr="006A0413">
        <w:t xml:space="preserve">Table </w:t>
      </w:r>
      <w:r w:rsidR="00B23D29" w:rsidRPr="006A0413">
        <w:t>5</w:t>
      </w:r>
      <w:r w:rsidR="00496555" w:rsidRPr="006A0413">
        <w:t xml:space="preserve">. </w:t>
      </w:r>
      <w:r w:rsidR="008C2A33" w:rsidRPr="004D286C">
        <w:t xml:space="preserve">The Departmental Overview has calculated revised financial estimates using the revised </w:t>
      </w:r>
      <w:r w:rsidR="008D1704" w:rsidRPr="004D286C">
        <w:t>estimates in the PBAC minutes.</w:t>
      </w:r>
      <w:r w:rsidR="008D1704">
        <w:rPr>
          <w:i/>
          <w:iCs/>
        </w:rPr>
        <w:t xml:space="preserve"> </w:t>
      </w:r>
    </w:p>
    <w:p w14:paraId="6679538C" w14:textId="0EB27D1D" w:rsidR="00455C5C" w:rsidRPr="006D76CC" w:rsidRDefault="00455C5C" w:rsidP="004B51D7">
      <w:pPr>
        <w:pStyle w:val="TableFigureHeading"/>
        <w:keepLines/>
      </w:pPr>
      <w:r w:rsidRPr="006D76CC">
        <w:lastRenderedPageBreak/>
        <w:t xml:space="preserve">Table </w:t>
      </w:r>
      <w:r w:rsidR="004F4188">
        <w:t>5</w:t>
      </w:r>
      <w:r w:rsidRPr="006D76CC">
        <w:t>: Estimation of the number of incobotulinumtoxinA prescriptions</w:t>
      </w:r>
    </w:p>
    <w:tbl>
      <w:tblPr>
        <w:tblStyle w:val="TableGrid"/>
        <w:tblW w:w="5000" w:type="pct"/>
        <w:tblLook w:val="04A0" w:firstRow="1" w:lastRow="0" w:firstColumn="1" w:lastColumn="0" w:noHBand="0" w:noVBand="1"/>
      </w:tblPr>
      <w:tblGrid>
        <w:gridCol w:w="2155"/>
        <w:gridCol w:w="1199"/>
        <w:gridCol w:w="1199"/>
        <w:gridCol w:w="1199"/>
        <w:gridCol w:w="1080"/>
        <w:gridCol w:w="1080"/>
        <w:gridCol w:w="1104"/>
      </w:tblGrid>
      <w:tr w:rsidR="00455C5C" w:rsidRPr="0098262F" w14:paraId="52D95361" w14:textId="77777777" w:rsidTr="5B05C43F">
        <w:trPr>
          <w:tblHeader/>
        </w:trPr>
        <w:tc>
          <w:tcPr>
            <w:tcW w:w="1195" w:type="pct"/>
          </w:tcPr>
          <w:p w14:paraId="578707C3" w14:textId="77777777" w:rsidR="00455C5C" w:rsidRPr="00474174" w:rsidRDefault="00455C5C" w:rsidP="004B51D7">
            <w:pPr>
              <w:pStyle w:val="In-tableHeading"/>
              <w:keepLines/>
            </w:pPr>
          </w:p>
        </w:tc>
        <w:tc>
          <w:tcPr>
            <w:tcW w:w="665" w:type="pct"/>
            <w:vAlign w:val="center"/>
          </w:tcPr>
          <w:p w14:paraId="72419EE0" w14:textId="77777777" w:rsidR="00455C5C" w:rsidRPr="0098262F" w:rsidRDefault="00455C5C" w:rsidP="004B51D7">
            <w:pPr>
              <w:pStyle w:val="In-tableHeading"/>
              <w:keepLines/>
            </w:pPr>
            <w:r w:rsidRPr="0098262F">
              <w:t>Year 1</w:t>
            </w:r>
          </w:p>
        </w:tc>
        <w:tc>
          <w:tcPr>
            <w:tcW w:w="665" w:type="pct"/>
            <w:vAlign w:val="center"/>
          </w:tcPr>
          <w:p w14:paraId="5A78EBD0" w14:textId="77777777" w:rsidR="00455C5C" w:rsidRPr="0098262F" w:rsidRDefault="00455C5C" w:rsidP="004B51D7">
            <w:pPr>
              <w:pStyle w:val="In-tableHeading"/>
              <w:keepLines/>
            </w:pPr>
            <w:r w:rsidRPr="0098262F">
              <w:t>Year 2</w:t>
            </w:r>
          </w:p>
        </w:tc>
        <w:tc>
          <w:tcPr>
            <w:tcW w:w="665" w:type="pct"/>
            <w:vAlign w:val="center"/>
          </w:tcPr>
          <w:p w14:paraId="6BFB6EE4" w14:textId="77777777" w:rsidR="00455C5C" w:rsidRPr="0098262F" w:rsidRDefault="00455C5C" w:rsidP="004B51D7">
            <w:pPr>
              <w:pStyle w:val="In-tableHeading"/>
              <w:keepLines/>
            </w:pPr>
            <w:r w:rsidRPr="0098262F">
              <w:t>Year 3</w:t>
            </w:r>
          </w:p>
        </w:tc>
        <w:tc>
          <w:tcPr>
            <w:tcW w:w="599" w:type="pct"/>
            <w:vAlign w:val="center"/>
          </w:tcPr>
          <w:p w14:paraId="27DA02FC" w14:textId="77777777" w:rsidR="00455C5C" w:rsidRPr="0098262F" w:rsidRDefault="00455C5C" w:rsidP="004B51D7">
            <w:pPr>
              <w:pStyle w:val="In-tableHeading"/>
              <w:keepLines/>
            </w:pPr>
            <w:r w:rsidRPr="0098262F">
              <w:t>Year 4</w:t>
            </w:r>
          </w:p>
        </w:tc>
        <w:tc>
          <w:tcPr>
            <w:tcW w:w="599" w:type="pct"/>
            <w:vAlign w:val="center"/>
          </w:tcPr>
          <w:p w14:paraId="71B15596" w14:textId="77777777" w:rsidR="00455C5C" w:rsidRPr="0098262F" w:rsidRDefault="00455C5C" w:rsidP="004B51D7">
            <w:pPr>
              <w:pStyle w:val="In-tableHeading"/>
              <w:keepLines/>
            </w:pPr>
            <w:r w:rsidRPr="0098262F">
              <w:t>Year 5</w:t>
            </w:r>
          </w:p>
        </w:tc>
        <w:tc>
          <w:tcPr>
            <w:tcW w:w="612" w:type="pct"/>
            <w:vAlign w:val="center"/>
          </w:tcPr>
          <w:p w14:paraId="3B2D45BE" w14:textId="77777777" w:rsidR="00455C5C" w:rsidRPr="0098262F" w:rsidRDefault="00455C5C" w:rsidP="004B51D7">
            <w:pPr>
              <w:pStyle w:val="In-tableHeading"/>
              <w:keepLines/>
            </w:pPr>
            <w:r w:rsidRPr="0098262F">
              <w:t>Year 6</w:t>
            </w:r>
          </w:p>
        </w:tc>
      </w:tr>
      <w:tr w:rsidR="00455C5C" w:rsidRPr="0098262F" w14:paraId="6F9E1E72" w14:textId="77777777" w:rsidTr="5B05C43F">
        <w:tc>
          <w:tcPr>
            <w:tcW w:w="5000" w:type="pct"/>
            <w:gridSpan w:val="7"/>
            <w:tcBorders>
              <w:top w:val="single" w:sz="4" w:space="0" w:color="auto"/>
              <w:left w:val="single" w:sz="4" w:space="0" w:color="auto"/>
              <w:bottom w:val="single" w:sz="4" w:space="0" w:color="auto"/>
              <w:right w:val="single" w:sz="4" w:space="0" w:color="auto"/>
            </w:tcBorders>
            <w:vAlign w:val="center"/>
          </w:tcPr>
          <w:p w14:paraId="76608368" w14:textId="77777777" w:rsidR="00455C5C" w:rsidRPr="00501B3F" w:rsidRDefault="00455C5C" w:rsidP="004B51D7">
            <w:pPr>
              <w:pStyle w:val="TableText"/>
              <w:keepNext/>
              <w:keepLines/>
              <w:rPr>
                <w:b/>
              </w:rPr>
            </w:pPr>
            <w:r w:rsidRPr="00501B3F">
              <w:rPr>
                <w:b/>
              </w:rPr>
              <w:t xml:space="preserve">Total scripts number </w:t>
            </w:r>
          </w:p>
        </w:tc>
      </w:tr>
      <w:tr w:rsidR="00455C5C" w:rsidRPr="0098262F" w14:paraId="4A6D1914" w14:textId="77777777" w:rsidTr="5B05C43F">
        <w:trPr>
          <w:trHeight w:val="263"/>
        </w:trPr>
        <w:tc>
          <w:tcPr>
            <w:tcW w:w="1195" w:type="pct"/>
            <w:tcBorders>
              <w:top w:val="single" w:sz="4" w:space="0" w:color="auto"/>
              <w:left w:val="single" w:sz="4" w:space="0" w:color="auto"/>
              <w:bottom w:val="single" w:sz="4" w:space="0" w:color="auto"/>
              <w:right w:val="single" w:sz="4" w:space="0" w:color="auto"/>
            </w:tcBorders>
            <w:vAlign w:val="center"/>
          </w:tcPr>
          <w:p w14:paraId="2002EA63" w14:textId="77777777" w:rsidR="00455C5C" w:rsidRPr="006838E9" w:rsidRDefault="00455C5C" w:rsidP="004B51D7">
            <w:pPr>
              <w:pStyle w:val="TableText"/>
              <w:keepNext/>
              <w:keepLines/>
            </w:pPr>
            <w:r w:rsidRPr="006838E9">
              <w:t>Adult</w:t>
            </w:r>
            <w:r>
              <w:t>s</w:t>
            </w:r>
          </w:p>
        </w:tc>
        <w:tc>
          <w:tcPr>
            <w:tcW w:w="665" w:type="pct"/>
            <w:tcBorders>
              <w:top w:val="single" w:sz="4" w:space="0" w:color="auto"/>
              <w:left w:val="single" w:sz="4" w:space="0" w:color="auto"/>
              <w:bottom w:val="single" w:sz="4" w:space="0" w:color="auto"/>
              <w:right w:val="single" w:sz="4" w:space="0" w:color="auto"/>
            </w:tcBorders>
            <w:vAlign w:val="center"/>
          </w:tcPr>
          <w:p w14:paraId="69917EF2" w14:textId="2928D09E" w:rsidR="00455C5C" w:rsidRPr="00C942D2" w:rsidRDefault="00E72C6C" w:rsidP="004B51D7">
            <w:pPr>
              <w:pStyle w:val="TableText"/>
              <w:keepNext/>
              <w:keepLines/>
              <w:jc w:val="center"/>
            </w:pPr>
            <w:r w:rsidRPr="5B05C43F">
              <w:rPr>
                <w:rFonts w:eastAsia="Arial Narrow" w:cs="Arial Narrow"/>
              </w:rPr>
              <w:t>|</w:t>
            </w:r>
            <w:r w:rsidRPr="005A2CE3">
              <w:rPr>
                <w:rFonts w:cstheme="majorBidi"/>
              </w:rPr>
              <w:t xml:space="preserve"> </w:t>
            </w:r>
            <w:r w:rsidR="7AF9228F" w:rsidRPr="000D07A8">
              <w:rPr>
                <w:rFonts w:cstheme="majorBidi"/>
                <w:vertAlign w:val="superscript"/>
              </w:rPr>
              <w:t>1</w:t>
            </w:r>
          </w:p>
        </w:tc>
        <w:tc>
          <w:tcPr>
            <w:tcW w:w="665" w:type="pct"/>
            <w:tcBorders>
              <w:top w:val="single" w:sz="4" w:space="0" w:color="auto"/>
              <w:left w:val="nil"/>
              <w:bottom w:val="single" w:sz="4" w:space="0" w:color="auto"/>
              <w:right w:val="single" w:sz="4" w:space="0" w:color="auto"/>
            </w:tcBorders>
            <w:vAlign w:val="center"/>
          </w:tcPr>
          <w:p w14:paraId="178B1E07" w14:textId="0216D589" w:rsidR="00455C5C" w:rsidRPr="00C942D2" w:rsidRDefault="00264355" w:rsidP="004B51D7">
            <w:pPr>
              <w:pStyle w:val="TableText"/>
              <w:keepNext/>
              <w:keepLines/>
              <w:jc w:val="center"/>
            </w:pPr>
            <w:r w:rsidRPr="5B05C43F">
              <w:rPr>
                <w:rFonts w:eastAsia="Arial Narrow" w:cs="Arial Narrow"/>
              </w:rPr>
              <w:t>|</w:t>
            </w:r>
            <w:r w:rsidRPr="005A2CE3">
              <w:rPr>
                <w:rFonts w:cstheme="majorBidi"/>
              </w:rPr>
              <w:t xml:space="preserve"> </w:t>
            </w:r>
            <w:r w:rsidR="15306E20" w:rsidRPr="000D07A8">
              <w:rPr>
                <w:rFonts w:cstheme="majorBidi"/>
                <w:vertAlign w:val="superscript"/>
              </w:rPr>
              <w:t>1</w:t>
            </w:r>
          </w:p>
        </w:tc>
        <w:tc>
          <w:tcPr>
            <w:tcW w:w="665" w:type="pct"/>
            <w:tcBorders>
              <w:top w:val="single" w:sz="4" w:space="0" w:color="auto"/>
              <w:left w:val="nil"/>
              <w:bottom w:val="single" w:sz="4" w:space="0" w:color="auto"/>
              <w:right w:val="single" w:sz="4" w:space="0" w:color="auto"/>
            </w:tcBorders>
            <w:vAlign w:val="center"/>
          </w:tcPr>
          <w:p w14:paraId="0D659A0F" w14:textId="67E4BA18" w:rsidR="00455C5C" w:rsidRPr="00501B3F" w:rsidRDefault="00264355" w:rsidP="004B51D7">
            <w:pPr>
              <w:pStyle w:val="TableText"/>
              <w:keepNext/>
              <w:keepLines/>
              <w:jc w:val="center"/>
            </w:pPr>
            <w:r w:rsidRPr="5B05C43F">
              <w:rPr>
                <w:rFonts w:eastAsia="Arial Narrow" w:cs="Arial Narrow"/>
              </w:rPr>
              <w:t>|</w:t>
            </w:r>
            <w:r w:rsidRPr="005A2CE3">
              <w:rPr>
                <w:rFonts w:cstheme="majorBidi"/>
              </w:rPr>
              <w:t xml:space="preserve"> </w:t>
            </w:r>
            <w:r w:rsidR="28559AD4" w:rsidRPr="00510B0F">
              <w:rPr>
                <w:rFonts w:cstheme="majorBidi"/>
                <w:vertAlign w:val="superscript"/>
              </w:rPr>
              <w:t>1</w:t>
            </w:r>
          </w:p>
        </w:tc>
        <w:tc>
          <w:tcPr>
            <w:tcW w:w="599" w:type="pct"/>
            <w:tcBorders>
              <w:top w:val="single" w:sz="4" w:space="0" w:color="auto"/>
              <w:left w:val="nil"/>
              <w:bottom w:val="single" w:sz="4" w:space="0" w:color="auto"/>
              <w:right w:val="single" w:sz="4" w:space="0" w:color="auto"/>
            </w:tcBorders>
            <w:vAlign w:val="center"/>
          </w:tcPr>
          <w:p w14:paraId="17BF8A37" w14:textId="18E99CDD" w:rsidR="00455C5C" w:rsidRPr="00501B3F" w:rsidRDefault="008A50C9" w:rsidP="004B51D7">
            <w:pPr>
              <w:pStyle w:val="TableText"/>
              <w:keepNext/>
              <w:keepLines/>
              <w:jc w:val="center"/>
            </w:pPr>
            <w:r w:rsidRPr="5B05C43F">
              <w:rPr>
                <w:rFonts w:eastAsia="Arial Narrow" w:cs="Arial Narrow"/>
              </w:rPr>
              <w:t>|</w:t>
            </w:r>
            <w:r w:rsidRPr="005A2CE3">
              <w:rPr>
                <w:rFonts w:cstheme="majorBidi"/>
              </w:rPr>
              <w:t xml:space="preserve"> </w:t>
            </w:r>
            <w:r w:rsidR="473ACEB5" w:rsidRPr="00510B0F">
              <w:rPr>
                <w:rFonts w:cstheme="majorBidi"/>
                <w:vertAlign w:val="superscript"/>
              </w:rPr>
              <w:t>2</w:t>
            </w:r>
          </w:p>
        </w:tc>
        <w:tc>
          <w:tcPr>
            <w:tcW w:w="599" w:type="pct"/>
            <w:tcBorders>
              <w:top w:val="single" w:sz="4" w:space="0" w:color="auto"/>
              <w:left w:val="nil"/>
              <w:bottom w:val="single" w:sz="4" w:space="0" w:color="auto"/>
              <w:right w:val="single" w:sz="4" w:space="0" w:color="auto"/>
            </w:tcBorders>
            <w:vAlign w:val="center"/>
          </w:tcPr>
          <w:p w14:paraId="163D4DB5" w14:textId="33E52E15" w:rsidR="00455C5C" w:rsidRPr="00501B3F" w:rsidRDefault="00BD502A" w:rsidP="004B51D7">
            <w:pPr>
              <w:pStyle w:val="TableText"/>
              <w:keepNext/>
              <w:keepLines/>
              <w:jc w:val="center"/>
            </w:pPr>
            <w:r w:rsidRPr="5B05C43F">
              <w:rPr>
                <w:rFonts w:eastAsia="Arial Narrow" w:cs="Arial Narrow"/>
              </w:rPr>
              <w:t>|</w:t>
            </w:r>
            <w:r w:rsidRPr="005A2CE3">
              <w:rPr>
                <w:rFonts w:cstheme="majorBidi"/>
              </w:rPr>
              <w:t xml:space="preserve"> </w:t>
            </w:r>
            <w:r w:rsidR="260425F9" w:rsidRPr="00510B0F">
              <w:rPr>
                <w:rFonts w:cstheme="majorBidi"/>
                <w:vertAlign w:val="superscript"/>
              </w:rPr>
              <w:t>3</w:t>
            </w:r>
          </w:p>
        </w:tc>
        <w:tc>
          <w:tcPr>
            <w:tcW w:w="612" w:type="pct"/>
            <w:tcBorders>
              <w:top w:val="single" w:sz="4" w:space="0" w:color="auto"/>
              <w:left w:val="nil"/>
              <w:bottom w:val="single" w:sz="4" w:space="0" w:color="auto"/>
              <w:right w:val="single" w:sz="4" w:space="0" w:color="auto"/>
            </w:tcBorders>
            <w:vAlign w:val="center"/>
          </w:tcPr>
          <w:p w14:paraId="0E32B597" w14:textId="10AD30EE" w:rsidR="00455C5C" w:rsidRPr="00501B3F" w:rsidRDefault="00BD502A" w:rsidP="004B51D7">
            <w:pPr>
              <w:pStyle w:val="TableText"/>
              <w:keepNext/>
              <w:keepLines/>
              <w:jc w:val="center"/>
            </w:pPr>
            <w:r w:rsidRPr="5B05C43F">
              <w:rPr>
                <w:rFonts w:eastAsia="Arial Narrow" w:cs="Arial Narrow"/>
              </w:rPr>
              <w:t>|</w:t>
            </w:r>
            <w:r w:rsidRPr="005A2CE3">
              <w:rPr>
                <w:rFonts w:cstheme="majorBidi"/>
              </w:rPr>
              <w:t xml:space="preserve"> </w:t>
            </w:r>
            <w:r w:rsidR="3FDF675F" w:rsidRPr="00510B0F">
              <w:rPr>
                <w:rFonts w:cstheme="majorBidi"/>
                <w:vertAlign w:val="superscript"/>
              </w:rPr>
              <w:t>3</w:t>
            </w:r>
          </w:p>
        </w:tc>
      </w:tr>
      <w:tr w:rsidR="00455C5C" w:rsidRPr="0098262F" w14:paraId="41E5C9C8" w14:textId="77777777" w:rsidTr="5B05C43F">
        <w:tc>
          <w:tcPr>
            <w:tcW w:w="1195" w:type="pct"/>
            <w:tcBorders>
              <w:top w:val="single" w:sz="4" w:space="0" w:color="auto"/>
              <w:left w:val="single" w:sz="4" w:space="0" w:color="auto"/>
              <w:bottom w:val="single" w:sz="4" w:space="0" w:color="auto"/>
              <w:right w:val="single" w:sz="4" w:space="0" w:color="auto"/>
            </w:tcBorders>
            <w:vAlign w:val="center"/>
          </w:tcPr>
          <w:p w14:paraId="5667E915" w14:textId="77777777" w:rsidR="00455C5C" w:rsidRPr="006838E9" w:rsidRDefault="00455C5C" w:rsidP="004B51D7">
            <w:pPr>
              <w:pStyle w:val="TableText"/>
              <w:keepNext/>
              <w:keepLines/>
            </w:pPr>
            <w:r>
              <w:t xml:space="preserve">Children and adolescents </w:t>
            </w:r>
          </w:p>
        </w:tc>
        <w:tc>
          <w:tcPr>
            <w:tcW w:w="665" w:type="pct"/>
            <w:tcBorders>
              <w:top w:val="single" w:sz="4" w:space="0" w:color="auto"/>
              <w:left w:val="single" w:sz="4" w:space="0" w:color="auto"/>
              <w:bottom w:val="single" w:sz="4" w:space="0" w:color="auto"/>
              <w:right w:val="single" w:sz="4" w:space="0" w:color="auto"/>
            </w:tcBorders>
          </w:tcPr>
          <w:p w14:paraId="38EFB866" w14:textId="5F3AC58B" w:rsidR="00455C5C" w:rsidRPr="00FC4BAB" w:rsidRDefault="001C272A" w:rsidP="004B51D7">
            <w:pPr>
              <w:pStyle w:val="TableText"/>
              <w:keepNext/>
              <w:keepLines/>
              <w:jc w:val="center"/>
            </w:pPr>
            <w:r w:rsidRPr="5B05C43F">
              <w:rPr>
                <w:rFonts w:eastAsia="Arial Narrow" w:cs="Arial Narrow"/>
              </w:rPr>
              <w:t>|</w:t>
            </w:r>
            <w:r w:rsidRPr="005A2CE3">
              <w:rPr>
                <w:rFonts w:cstheme="majorBidi"/>
              </w:rPr>
              <w:t xml:space="preserve"> </w:t>
            </w:r>
            <w:r w:rsidR="29E7B0DB" w:rsidRPr="00510B0F">
              <w:rPr>
                <w:rFonts w:cstheme="majorBidi"/>
                <w:vertAlign w:val="superscript"/>
              </w:rPr>
              <w:t>4</w:t>
            </w:r>
          </w:p>
        </w:tc>
        <w:tc>
          <w:tcPr>
            <w:tcW w:w="665" w:type="pct"/>
            <w:tcBorders>
              <w:top w:val="single" w:sz="4" w:space="0" w:color="auto"/>
              <w:left w:val="nil"/>
              <w:bottom w:val="single" w:sz="4" w:space="0" w:color="auto"/>
              <w:right w:val="single" w:sz="4" w:space="0" w:color="auto"/>
            </w:tcBorders>
          </w:tcPr>
          <w:p w14:paraId="18C7F1C3" w14:textId="6CB95057" w:rsidR="00455C5C" w:rsidRPr="00501B3F" w:rsidRDefault="00264355" w:rsidP="004B51D7">
            <w:pPr>
              <w:pStyle w:val="TableText"/>
              <w:keepNext/>
              <w:keepLines/>
              <w:jc w:val="center"/>
            </w:pPr>
            <w:r w:rsidRPr="5B05C43F">
              <w:rPr>
                <w:rFonts w:eastAsia="Arial Narrow" w:cs="Arial Narrow"/>
              </w:rPr>
              <w:t>|</w:t>
            </w:r>
            <w:r w:rsidRPr="005A2CE3">
              <w:rPr>
                <w:rFonts w:cstheme="majorBidi"/>
              </w:rPr>
              <w:t xml:space="preserve"> </w:t>
            </w:r>
            <w:r w:rsidR="05AE73F0" w:rsidRPr="00510B0F">
              <w:rPr>
                <w:rFonts w:cstheme="majorBidi"/>
                <w:vertAlign w:val="superscript"/>
              </w:rPr>
              <w:t>1</w:t>
            </w:r>
          </w:p>
        </w:tc>
        <w:tc>
          <w:tcPr>
            <w:tcW w:w="665" w:type="pct"/>
            <w:tcBorders>
              <w:top w:val="single" w:sz="4" w:space="0" w:color="auto"/>
              <w:left w:val="nil"/>
              <w:bottom w:val="single" w:sz="4" w:space="0" w:color="auto"/>
              <w:right w:val="single" w:sz="4" w:space="0" w:color="auto"/>
            </w:tcBorders>
          </w:tcPr>
          <w:p w14:paraId="15A08EF1" w14:textId="1C4C1A8F" w:rsidR="00455C5C" w:rsidRPr="00501B3F" w:rsidRDefault="00264355" w:rsidP="004B51D7">
            <w:pPr>
              <w:pStyle w:val="TableText"/>
              <w:keepNext/>
              <w:keepLines/>
              <w:jc w:val="center"/>
            </w:pPr>
            <w:r w:rsidRPr="5B05C43F">
              <w:rPr>
                <w:rFonts w:eastAsia="Arial Narrow" w:cs="Arial Narrow"/>
              </w:rPr>
              <w:t>|</w:t>
            </w:r>
            <w:r w:rsidRPr="005A2CE3">
              <w:rPr>
                <w:rFonts w:cstheme="majorBidi"/>
              </w:rPr>
              <w:t xml:space="preserve"> </w:t>
            </w:r>
            <w:r w:rsidR="1F836F49" w:rsidRPr="00510B0F">
              <w:rPr>
                <w:rFonts w:cstheme="majorBidi"/>
                <w:vertAlign w:val="superscript"/>
              </w:rPr>
              <w:t>1</w:t>
            </w:r>
          </w:p>
        </w:tc>
        <w:tc>
          <w:tcPr>
            <w:tcW w:w="599" w:type="pct"/>
            <w:tcBorders>
              <w:top w:val="single" w:sz="4" w:space="0" w:color="auto"/>
              <w:left w:val="nil"/>
              <w:bottom w:val="single" w:sz="4" w:space="0" w:color="auto"/>
              <w:right w:val="single" w:sz="4" w:space="0" w:color="auto"/>
            </w:tcBorders>
          </w:tcPr>
          <w:p w14:paraId="332DACC4" w14:textId="57D6A62D" w:rsidR="00455C5C" w:rsidRPr="00501B3F" w:rsidRDefault="00264355" w:rsidP="004B51D7">
            <w:pPr>
              <w:pStyle w:val="TableText"/>
              <w:keepNext/>
              <w:keepLines/>
              <w:jc w:val="center"/>
            </w:pPr>
            <w:r w:rsidRPr="5B05C43F">
              <w:rPr>
                <w:rFonts w:eastAsia="Arial Narrow" w:cs="Arial Narrow"/>
              </w:rPr>
              <w:t>|</w:t>
            </w:r>
            <w:r w:rsidRPr="005A2CE3">
              <w:rPr>
                <w:rFonts w:cstheme="majorBidi"/>
              </w:rPr>
              <w:t xml:space="preserve"> </w:t>
            </w:r>
            <w:r w:rsidR="7C888060" w:rsidRPr="00510B0F">
              <w:rPr>
                <w:rFonts w:cstheme="majorBidi"/>
                <w:vertAlign w:val="superscript"/>
              </w:rPr>
              <w:t>1</w:t>
            </w:r>
          </w:p>
        </w:tc>
        <w:tc>
          <w:tcPr>
            <w:tcW w:w="599" w:type="pct"/>
            <w:tcBorders>
              <w:top w:val="single" w:sz="4" w:space="0" w:color="auto"/>
              <w:left w:val="nil"/>
              <w:bottom w:val="single" w:sz="4" w:space="0" w:color="auto"/>
              <w:right w:val="single" w:sz="4" w:space="0" w:color="auto"/>
            </w:tcBorders>
          </w:tcPr>
          <w:p w14:paraId="74FEA358" w14:textId="27CC6397" w:rsidR="00455C5C" w:rsidRPr="00501B3F" w:rsidRDefault="008A50C9" w:rsidP="004B51D7">
            <w:pPr>
              <w:pStyle w:val="TableText"/>
              <w:keepNext/>
              <w:keepLines/>
              <w:jc w:val="center"/>
            </w:pPr>
            <w:r w:rsidRPr="5B05C43F">
              <w:rPr>
                <w:rFonts w:eastAsia="Arial Narrow" w:cs="Arial Narrow"/>
              </w:rPr>
              <w:t>|</w:t>
            </w:r>
            <w:r w:rsidRPr="005A2CE3">
              <w:rPr>
                <w:rFonts w:cstheme="majorBidi"/>
              </w:rPr>
              <w:t xml:space="preserve"> </w:t>
            </w:r>
            <w:r w:rsidR="1961D94F" w:rsidRPr="00510B0F">
              <w:rPr>
                <w:rFonts w:cstheme="majorBidi"/>
                <w:vertAlign w:val="superscript"/>
              </w:rPr>
              <w:t>2</w:t>
            </w:r>
          </w:p>
        </w:tc>
        <w:tc>
          <w:tcPr>
            <w:tcW w:w="612" w:type="pct"/>
            <w:tcBorders>
              <w:top w:val="single" w:sz="4" w:space="0" w:color="auto"/>
              <w:left w:val="nil"/>
              <w:bottom w:val="single" w:sz="4" w:space="0" w:color="auto"/>
              <w:right w:val="single" w:sz="4" w:space="0" w:color="auto"/>
            </w:tcBorders>
          </w:tcPr>
          <w:p w14:paraId="4ABFF9FA" w14:textId="37FA81EA" w:rsidR="00455C5C" w:rsidRPr="00501B3F" w:rsidRDefault="008A50C9" w:rsidP="004B51D7">
            <w:pPr>
              <w:pStyle w:val="TableText"/>
              <w:keepNext/>
              <w:keepLines/>
              <w:jc w:val="center"/>
            </w:pPr>
            <w:r w:rsidRPr="5B05C43F">
              <w:rPr>
                <w:rFonts w:eastAsia="Arial Narrow" w:cs="Arial Narrow"/>
              </w:rPr>
              <w:t>|</w:t>
            </w:r>
            <w:r w:rsidRPr="005A2CE3">
              <w:rPr>
                <w:rFonts w:cstheme="majorBidi"/>
              </w:rPr>
              <w:t xml:space="preserve"> </w:t>
            </w:r>
            <w:r w:rsidR="252676D0" w:rsidRPr="00510B0F">
              <w:rPr>
                <w:rFonts w:cstheme="majorBidi"/>
                <w:vertAlign w:val="superscript"/>
              </w:rPr>
              <w:t>2</w:t>
            </w:r>
          </w:p>
        </w:tc>
      </w:tr>
      <w:tr w:rsidR="00455C5C" w:rsidRPr="0098262F" w14:paraId="671CBD7A" w14:textId="77777777" w:rsidTr="5B05C43F">
        <w:tc>
          <w:tcPr>
            <w:tcW w:w="1195" w:type="pct"/>
            <w:tcBorders>
              <w:top w:val="single" w:sz="4" w:space="0" w:color="auto"/>
              <w:left w:val="single" w:sz="4" w:space="0" w:color="auto"/>
              <w:bottom w:val="single" w:sz="4" w:space="0" w:color="auto"/>
              <w:right w:val="single" w:sz="4" w:space="0" w:color="auto"/>
            </w:tcBorders>
            <w:vAlign w:val="center"/>
          </w:tcPr>
          <w:p w14:paraId="277ACEF5" w14:textId="77777777" w:rsidR="00455C5C" w:rsidRPr="006838E9" w:rsidRDefault="00455C5C" w:rsidP="004B51D7">
            <w:pPr>
              <w:pStyle w:val="TableText"/>
              <w:keepNext/>
              <w:keepLines/>
            </w:pPr>
            <w:r w:rsidRPr="006838E9">
              <w:t xml:space="preserve">Total </w:t>
            </w:r>
          </w:p>
        </w:tc>
        <w:tc>
          <w:tcPr>
            <w:tcW w:w="665" w:type="pct"/>
            <w:tcBorders>
              <w:top w:val="single" w:sz="4" w:space="0" w:color="auto"/>
              <w:left w:val="single" w:sz="4" w:space="0" w:color="auto"/>
              <w:bottom w:val="single" w:sz="4" w:space="0" w:color="auto"/>
              <w:right w:val="single" w:sz="4" w:space="0" w:color="auto"/>
            </w:tcBorders>
          </w:tcPr>
          <w:p w14:paraId="2DC65B0E" w14:textId="2056ADC6" w:rsidR="00455C5C" w:rsidRPr="00501B3F" w:rsidRDefault="00264355" w:rsidP="004B51D7">
            <w:pPr>
              <w:pStyle w:val="TableText"/>
              <w:keepNext/>
              <w:keepLines/>
              <w:jc w:val="center"/>
            </w:pPr>
            <w:r w:rsidRPr="5B05C43F">
              <w:rPr>
                <w:rFonts w:eastAsia="Arial Narrow" w:cs="Arial Narrow"/>
              </w:rPr>
              <w:t>|</w:t>
            </w:r>
            <w:r w:rsidRPr="005A2CE3">
              <w:rPr>
                <w:rFonts w:cstheme="majorBidi"/>
              </w:rPr>
              <w:t xml:space="preserve"> </w:t>
            </w:r>
            <w:r w:rsidR="1D58E58C" w:rsidRPr="00510B0F">
              <w:rPr>
                <w:rFonts w:cstheme="majorBidi"/>
                <w:vertAlign w:val="superscript"/>
              </w:rPr>
              <w:t>1</w:t>
            </w:r>
          </w:p>
        </w:tc>
        <w:tc>
          <w:tcPr>
            <w:tcW w:w="665" w:type="pct"/>
            <w:tcBorders>
              <w:top w:val="single" w:sz="4" w:space="0" w:color="auto"/>
              <w:left w:val="nil"/>
              <w:bottom w:val="single" w:sz="4" w:space="0" w:color="auto"/>
              <w:right w:val="single" w:sz="4" w:space="0" w:color="auto"/>
            </w:tcBorders>
          </w:tcPr>
          <w:p w14:paraId="6C126E50" w14:textId="38554E83" w:rsidR="00455C5C" w:rsidRPr="00501B3F" w:rsidRDefault="00264355" w:rsidP="004B51D7">
            <w:pPr>
              <w:pStyle w:val="TableText"/>
              <w:keepNext/>
              <w:keepLines/>
              <w:jc w:val="center"/>
            </w:pPr>
            <w:r w:rsidRPr="5B05C43F">
              <w:rPr>
                <w:rFonts w:eastAsia="Arial Narrow" w:cs="Arial Narrow"/>
              </w:rPr>
              <w:t>|</w:t>
            </w:r>
            <w:r w:rsidRPr="00510B0F">
              <w:rPr>
                <w:rFonts w:cstheme="majorBidi"/>
                <w:vertAlign w:val="superscript"/>
              </w:rPr>
              <w:t xml:space="preserve"> </w:t>
            </w:r>
            <w:r w:rsidR="26195DD9" w:rsidRPr="00510B0F">
              <w:rPr>
                <w:rFonts w:cstheme="majorBidi"/>
                <w:vertAlign w:val="superscript"/>
              </w:rPr>
              <w:t>1</w:t>
            </w:r>
          </w:p>
        </w:tc>
        <w:tc>
          <w:tcPr>
            <w:tcW w:w="665" w:type="pct"/>
            <w:tcBorders>
              <w:top w:val="single" w:sz="4" w:space="0" w:color="auto"/>
              <w:left w:val="nil"/>
              <w:bottom w:val="single" w:sz="4" w:space="0" w:color="auto"/>
              <w:right w:val="single" w:sz="4" w:space="0" w:color="auto"/>
            </w:tcBorders>
          </w:tcPr>
          <w:p w14:paraId="2FA6B20B" w14:textId="3BB1B94D" w:rsidR="00455C5C" w:rsidRPr="00501B3F" w:rsidRDefault="008A50C9" w:rsidP="004B51D7">
            <w:pPr>
              <w:pStyle w:val="TableText"/>
              <w:keepNext/>
              <w:keepLines/>
              <w:jc w:val="center"/>
            </w:pPr>
            <w:r w:rsidRPr="5B05C43F">
              <w:rPr>
                <w:rFonts w:eastAsia="Arial Narrow" w:cs="Arial Narrow"/>
              </w:rPr>
              <w:t>|</w:t>
            </w:r>
            <w:r w:rsidRPr="005A2CE3">
              <w:rPr>
                <w:rFonts w:cstheme="majorBidi"/>
              </w:rPr>
              <w:t xml:space="preserve"> </w:t>
            </w:r>
            <w:r w:rsidR="4BDABF32" w:rsidRPr="00510B0F">
              <w:rPr>
                <w:rFonts w:cstheme="majorBidi"/>
                <w:vertAlign w:val="superscript"/>
              </w:rPr>
              <w:t>2</w:t>
            </w:r>
          </w:p>
        </w:tc>
        <w:tc>
          <w:tcPr>
            <w:tcW w:w="599" w:type="pct"/>
            <w:tcBorders>
              <w:top w:val="single" w:sz="4" w:space="0" w:color="auto"/>
              <w:left w:val="nil"/>
              <w:bottom w:val="single" w:sz="4" w:space="0" w:color="auto"/>
              <w:right w:val="single" w:sz="4" w:space="0" w:color="auto"/>
            </w:tcBorders>
          </w:tcPr>
          <w:p w14:paraId="5AE81E57" w14:textId="2C1EA447" w:rsidR="00455C5C" w:rsidRPr="00501B3F" w:rsidRDefault="00BD502A" w:rsidP="004B51D7">
            <w:pPr>
              <w:pStyle w:val="TableText"/>
              <w:keepNext/>
              <w:keepLines/>
              <w:jc w:val="center"/>
            </w:pPr>
            <w:r w:rsidRPr="5B05C43F">
              <w:rPr>
                <w:rFonts w:eastAsia="Arial Narrow" w:cs="Arial Narrow"/>
              </w:rPr>
              <w:t>|</w:t>
            </w:r>
            <w:r w:rsidRPr="005A2CE3">
              <w:rPr>
                <w:rFonts w:cstheme="majorBidi"/>
              </w:rPr>
              <w:t xml:space="preserve"> </w:t>
            </w:r>
            <w:r w:rsidR="6E553177" w:rsidRPr="00510B0F">
              <w:rPr>
                <w:rFonts w:cstheme="majorBidi"/>
                <w:vertAlign w:val="superscript"/>
              </w:rPr>
              <w:t>3</w:t>
            </w:r>
          </w:p>
        </w:tc>
        <w:tc>
          <w:tcPr>
            <w:tcW w:w="599" w:type="pct"/>
            <w:tcBorders>
              <w:top w:val="single" w:sz="4" w:space="0" w:color="auto"/>
              <w:left w:val="nil"/>
              <w:bottom w:val="single" w:sz="4" w:space="0" w:color="auto"/>
              <w:right w:val="single" w:sz="4" w:space="0" w:color="auto"/>
            </w:tcBorders>
          </w:tcPr>
          <w:p w14:paraId="701D9839" w14:textId="2E910173" w:rsidR="00455C5C" w:rsidRPr="00501B3F" w:rsidRDefault="00D05602" w:rsidP="004B51D7">
            <w:pPr>
              <w:pStyle w:val="TableText"/>
              <w:keepNext/>
              <w:keepLines/>
              <w:jc w:val="center"/>
            </w:pPr>
            <w:r w:rsidRPr="5B05C43F">
              <w:rPr>
                <w:rFonts w:eastAsia="Arial Narrow" w:cs="Arial Narrow"/>
              </w:rPr>
              <w:t>|</w:t>
            </w:r>
            <w:r w:rsidRPr="005A2CE3">
              <w:rPr>
                <w:rFonts w:cstheme="majorBidi"/>
              </w:rPr>
              <w:t xml:space="preserve"> </w:t>
            </w:r>
            <w:r w:rsidR="107104E6" w:rsidRPr="00510B0F">
              <w:rPr>
                <w:rFonts w:cstheme="majorBidi"/>
                <w:vertAlign w:val="superscript"/>
              </w:rPr>
              <w:t>3</w:t>
            </w:r>
          </w:p>
        </w:tc>
        <w:tc>
          <w:tcPr>
            <w:tcW w:w="612" w:type="pct"/>
            <w:tcBorders>
              <w:top w:val="single" w:sz="4" w:space="0" w:color="auto"/>
              <w:left w:val="nil"/>
              <w:bottom w:val="single" w:sz="4" w:space="0" w:color="auto"/>
              <w:right w:val="single" w:sz="4" w:space="0" w:color="auto"/>
            </w:tcBorders>
          </w:tcPr>
          <w:p w14:paraId="6C71DC49" w14:textId="0BF16176" w:rsidR="00455C5C" w:rsidRPr="00FC4BAB" w:rsidRDefault="00D05602" w:rsidP="004B51D7">
            <w:pPr>
              <w:pStyle w:val="TableText"/>
              <w:keepNext/>
              <w:keepLines/>
              <w:jc w:val="center"/>
            </w:pPr>
            <w:r w:rsidRPr="5B05C43F">
              <w:rPr>
                <w:rFonts w:eastAsia="Arial Narrow" w:cs="Arial Narrow"/>
              </w:rPr>
              <w:t>|</w:t>
            </w:r>
            <w:r w:rsidRPr="005A2CE3">
              <w:rPr>
                <w:rFonts w:cstheme="majorBidi"/>
              </w:rPr>
              <w:t xml:space="preserve"> </w:t>
            </w:r>
            <w:r w:rsidR="41B4B2E6" w:rsidRPr="00510B0F">
              <w:rPr>
                <w:rFonts w:cstheme="majorBidi"/>
                <w:vertAlign w:val="superscript"/>
              </w:rPr>
              <w:t>3</w:t>
            </w:r>
          </w:p>
        </w:tc>
      </w:tr>
      <w:tr w:rsidR="00455C5C" w:rsidRPr="0098262F" w14:paraId="44CCB276" w14:textId="77777777" w:rsidTr="5B05C43F">
        <w:tc>
          <w:tcPr>
            <w:tcW w:w="5000" w:type="pct"/>
            <w:gridSpan w:val="7"/>
            <w:tcBorders>
              <w:top w:val="single" w:sz="4" w:space="0" w:color="auto"/>
              <w:left w:val="single" w:sz="4" w:space="0" w:color="auto"/>
              <w:bottom w:val="single" w:sz="4" w:space="0" w:color="auto"/>
              <w:right w:val="single" w:sz="4" w:space="0" w:color="auto"/>
            </w:tcBorders>
            <w:vAlign w:val="center"/>
          </w:tcPr>
          <w:p w14:paraId="549DCCF5" w14:textId="51681297" w:rsidR="00455C5C" w:rsidRPr="00802A97" w:rsidRDefault="00455C5C" w:rsidP="004B51D7">
            <w:pPr>
              <w:pStyle w:val="TableText"/>
              <w:keepNext/>
              <w:keepLines/>
              <w:rPr>
                <w:b/>
                <w:iCs/>
              </w:rPr>
            </w:pPr>
            <w:r w:rsidRPr="004D286C">
              <w:rPr>
                <w:b/>
                <w:iCs/>
              </w:rPr>
              <w:t xml:space="preserve">Revised estimated total scripts number </w:t>
            </w:r>
            <w:r w:rsidR="00496555" w:rsidRPr="004D286C">
              <w:rPr>
                <w:b/>
                <w:iCs/>
              </w:rPr>
              <w:t>(as per PBAC minutes)</w:t>
            </w:r>
          </w:p>
        </w:tc>
      </w:tr>
      <w:tr w:rsidR="00455C5C" w:rsidRPr="0098262F" w14:paraId="4D89E279" w14:textId="77777777" w:rsidTr="5B05C43F">
        <w:tc>
          <w:tcPr>
            <w:tcW w:w="1195" w:type="pct"/>
            <w:tcBorders>
              <w:top w:val="single" w:sz="4" w:space="0" w:color="auto"/>
              <w:left w:val="single" w:sz="4" w:space="0" w:color="auto"/>
              <w:bottom w:val="single" w:sz="4" w:space="0" w:color="auto"/>
              <w:right w:val="single" w:sz="4" w:space="0" w:color="auto"/>
            </w:tcBorders>
            <w:vAlign w:val="center"/>
          </w:tcPr>
          <w:p w14:paraId="7BE74270" w14:textId="77777777" w:rsidR="00455C5C" w:rsidRPr="004D286C" w:rsidRDefault="00455C5C" w:rsidP="004B51D7">
            <w:pPr>
              <w:pStyle w:val="TableText"/>
              <w:keepNext/>
              <w:keepLines/>
              <w:rPr>
                <w:iCs/>
              </w:rPr>
            </w:pPr>
            <w:r w:rsidRPr="004D286C">
              <w:rPr>
                <w:iCs/>
              </w:rPr>
              <w:t>Adults</w:t>
            </w:r>
          </w:p>
        </w:tc>
        <w:tc>
          <w:tcPr>
            <w:tcW w:w="665" w:type="pct"/>
            <w:tcBorders>
              <w:top w:val="single" w:sz="4" w:space="0" w:color="auto"/>
              <w:left w:val="single" w:sz="4" w:space="0" w:color="auto"/>
              <w:bottom w:val="single" w:sz="4" w:space="0" w:color="auto"/>
              <w:right w:val="single" w:sz="4" w:space="0" w:color="auto"/>
            </w:tcBorders>
            <w:vAlign w:val="center"/>
          </w:tcPr>
          <w:p w14:paraId="71ECC044" w14:textId="4634A6B0" w:rsidR="00455C5C" w:rsidRPr="004D286C" w:rsidRDefault="00264355" w:rsidP="004B51D7">
            <w:pPr>
              <w:pStyle w:val="TableText"/>
              <w:keepNext/>
              <w:keepLines/>
              <w:jc w:val="center"/>
              <w:rPr>
                <w:iCs/>
              </w:rPr>
            </w:pPr>
            <w:r w:rsidRPr="00510B0F">
              <w:rPr>
                <w:rFonts w:eastAsia="Arial Narrow" w:cs="Arial Narrow"/>
                <w:vertAlign w:val="superscript"/>
              </w:rPr>
              <w:t>|</w:t>
            </w:r>
            <w:r w:rsidRPr="00510B0F">
              <w:rPr>
                <w:rFonts w:cstheme="majorBidi"/>
                <w:vertAlign w:val="superscript"/>
              </w:rPr>
              <w:t xml:space="preserve"> </w:t>
            </w:r>
            <w:r w:rsidR="3A37AAF2" w:rsidRPr="00510B0F">
              <w:rPr>
                <w:rFonts w:cstheme="majorBidi"/>
                <w:vertAlign w:val="superscript"/>
              </w:rPr>
              <w:t>1</w:t>
            </w:r>
          </w:p>
        </w:tc>
        <w:tc>
          <w:tcPr>
            <w:tcW w:w="665" w:type="pct"/>
            <w:tcBorders>
              <w:top w:val="single" w:sz="4" w:space="0" w:color="auto"/>
              <w:left w:val="nil"/>
              <w:bottom w:val="single" w:sz="4" w:space="0" w:color="auto"/>
              <w:right w:val="single" w:sz="4" w:space="0" w:color="auto"/>
            </w:tcBorders>
            <w:vAlign w:val="center"/>
          </w:tcPr>
          <w:p w14:paraId="2298DB07" w14:textId="6CEB77F7" w:rsidR="00455C5C" w:rsidRPr="004D286C" w:rsidRDefault="00264355" w:rsidP="004B51D7">
            <w:pPr>
              <w:pStyle w:val="TableText"/>
              <w:keepNext/>
              <w:keepLines/>
              <w:jc w:val="center"/>
              <w:rPr>
                <w:iCs/>
              </w:rPr>
            </w:pPr>
            <w:r w:rsidRPr="5B05C43F">
              <w:rPr>
                <w:rFonts w:eastAsia="Arial Narrow" w:cs="Arial Narrow"/>
              </w:rPr>
              <w:t>|</w:t>
            </w:r>
            <w:r w:rsidRPr="00510B0F">
              <w:rPr>
                <w:rFonts w:cstheme="majorBidi"/>
                <w:vertAlign w:val="superscript"/>
              </w:rPr>
              <w:t xml:space="preserve"> </w:t>
            </w:r>
            <w:r w:rsidR="4A15FBE1" w:rsidRPr="00510B0F">
              <w:rPr>
                <w:rFonts w:cstheme="majorBidi"/>
                <w:vertAlign w:val="superscript"/>
              </w:rPr>
              <w:t>1</w:t>
            </w:r>
          </w:p>
        </w:tc>
        <w:tc>
          <w:tcPr>
            <w:tcW w:w="665" w:type="pct"/>
            <w:tcBorders>
              <w:top w:val="single" w:sz="4" w:space="0" w:color="auto"/>
              <w:left w:val="nil"/>
              <w:bottom w:val="single" w:sz="4" w:space="0" w:color="auto"/>
              <w:right w:val="single" w:sz="4" w:space="0" w:color="auto"/>
            </w:tcBorders>
            <w:vAlign w:val="center"/>
          </w:tcPr>
          <w:p w14:paraId="5D176BCA" w14:textId="20662A41" w:rsidR="00455C5C" w:rsidRPr="004D286C" w:rsidRDefault="00BD502A" w:rsidP="004B51D7">
            <w:pPr>
              <w:pStyle w:val="TableText"/>
              <w:keepNext/>
              <w:keepLines/>
              <w:jc w:val="center"/>
              <w:rPr>
                <w:iCs/>
              </w:rPr>
            </w:pPr>
            <w:r w:rsidRPr="5B05C43F">
              <w:rPr>
                <w:rFonts w:eastAsia="Arial Narrow" w:cs="Arial Narrow"/>
              </w:rPr>
              <w:t>|</w:t>
            </w:r>
            <w:r w:rsidRPr="005A2CE3">
              <w:rPr>
                <w:rFonts w:cstheme="majorBidi"/>
              </w:rPr>
              <w:t xml:space="preserve"> </w:t>
            </w:r>
            <w:r w:rsidR="25A5D6C8" w:rsidRPr="00510B0F">
              <w:rPr>
                <w:rFonts w:cstheme="majorBidi"/>
                <w:vertAlign w:val="superscript"/>
              </w:rPr>
              <w:t>3</w:t>
            </w:r>
          </w:p>
        </w:tc>
        <w:tc>
          <w:tcPr>
            <w:tcW w:w="599" w:type="pct"/>
            <w:tcBorders>
              <w:top w:val="single" w:sz="4" w:space="0" w:color="auto"/>
              <w:left w:val="nil"/>
              <w:bottom w:val="single" w:sz="4" w:space="0" w:color="auto"/>
              <w:right w:val="single" w:sz="4" w:space="0" w:color="auto"/>
            </w:tcBorders>
            <w:vAlign w:val="center"/>
          </w:tcPr>
          <w:p w14:paraId="668F12D3" w14:textId="0A6FCC45" w:rsidR="00455C5C" w:rsidRPr="004D286C" w:rsidRDefault="00A37F08" w:rsidP="004B51D7">
            <w:pPr>
              <w:pStyle w:val="TableText"/>
              <w:keepNext/>
              <w:keepLines/>
              <w:jc w:val="center"/>
              <w:rPr>
                <w:iCs/>
              </w:rPr>
            </w:pPr>
            <w:r w:rsidRPr="5B05C43F">
              <w:rPr>
                <w:rFonts w:eastAsia="Arial Narrow" w:cs="Arial Narrow"/>
              </w:rPr>
              <w:t>|</w:t>
            </w:r>
            <w:r w:rsidRPr="00510B0F">
              <w:rPr>
                <w:rFonts w:cstheme="majorBidi"/>
                <w:vertAlign w:val="superscript"/>
              </w:rPr>
              <w:t xml:space="preserve"> </w:t>
            </w:r>
            <w:r w:rsidRPr="00F44EEB">
              <w:rPr>
                <w:rFonts w:cstheme="majorBidi"/>
                <w:vertAlign w:val="superscript"/>
              </w:rPr>
              <w:t>5</w:t>
            </w:r>
          </w:p>
        </w:tc>
        <w:tc>
          <w:tcPr>
            <w:tcW w:w="599" w:type="pct"/>
            <w:tcBorders>
              <w:top w:val="single" w:sz="4" w:space="0" w:color="auto"/>
              <w:left w:val="nil"/>
              <w:bottom w:val="single" w:sz="4" w:space="0" w:color="auto"/>
              <w:right w:val="single" w:sz="4" w:space="0" w:color="auto"/>
            </w:tcBorders>
            <w:vAlign w:val="center"/>
          </w:tcPr>
          <w:p w14:paraId="19D21ED1" w14:textId="7DFC1F92" w:rsidR="00455C5C" w:rsidRPr="004D286C" w:rsidRDefault="00EE5BFF" w:rsidP="004B51D7">
            <w:pPr>
              <w:pStyle w:val="TableText"/>
              <w:keepNext/>
              <w:keepLines/>
              <w:jc w:val="center"/>
              <w:rPr>
                <w:iCs/>
              </w:rPr>
            </w:pPr>
            <w:r w:rsidRPr="5B05C43F">
              <w:rPr>
                <w:rFonts w:eastAsia="Arial Narrow" w:cs="Arial Narrow"/>
              </w:rPr>
              <w:t>|</w:t>
            </w:r>
            <w:r w:rsidR="005A3497" w:rsidRPr="00510B0F">
              <w:rPr>
                <w:rFonts w:eastAsia="Arial Narrow" w:cs="Arial Narrow"/>
                <w:vertAlign w:val="superscript"/>
              </w:rPr>
              <w:t xml:space="preserve"> </w:t>
            </w:r>
            <w:r w:rsidRPr="00510B0F">
              <w:rPr>
                <w:rFonts w:eastAsia="Arial Narrow" w:cs="Arial Narrow"/>
                <w:vertAlign w:val="superscript"/>
              </w:rPr>
              <w:t>6</w:t>
            </w:r>
          </w:p>
        </w:tc>
        <w:tc>
          <w:tcPr>
            <w:tcW w:w="612" w:type="pct"/>
            <w:tcBorders>
              <w:top w:val="single" w:sz="4" w:space="0" w:color="auto"/>
              <w:left w:val="nil"/>
              <w:bottom w:val="single" w:sz="4" w:space="0" w:color="auto"/>
              <w:right w:val="single" w:sz="4" w:space="0" w:color="auto"/>
            </w:tcBorders>
            <w:vAlign w:val="center"/>
          </w:tcPr>
          <w:p w14:paraId="2CF4FC90" w14:textId="4C542032" w:rsidR="00455C5C" w:rsidRPr="004D286C" w:rsidRDefault="00EE5BFF" w:rsidP="004B51D7">
            <w:pPr>
              <w:pStyle w:val="TableText"/>
              <w:keepNext/>
              <w:keepLines/>
              <w:jc w:val="center"/>
              <w:rPr>
                <w:iCs/>
              </w:rPr>
            </w:pPr>
            <w:r w:rsidRPr="5B05C43F">
              <w:rPr>
                <w:rFonts w:eastAsia="Arial Narrow" w:cs="Arial Narrow"/>
              </w:rPr>
              <w:t>|</w:t>
            </w:r>
            <w:r w:rsidR="005A3497" w:rsidRPr="5B05C43F">
              <w:rPr>
                <w:rFonts w:eastAsia="Arial Narrow" w:cs="Arial Narrow"/>
              </w:rPr>
              <w:t xml:space="preserve"> </w:t>
            </w:r>
            <w:r w:rsidRPr="00510B0F">
              <w:rPr>
                <w:rFonts w:eastAsia="Arial Narrow" w:cs="Arial Narrow"/>
                <w:vertAlign w:val="superscript"/>
              </w:rPr>
              <w:t>6</w:t>
            </w:r>
          </w:p>
        </w:tc>
      </w:tr>
      <w:tr w:rsidR="00455C5C" w:rsidRPr="0098262F" w14:paraId="3AC556D7" w14:textId="77777777" w:rsidTr="5B05C43F">
        <w:tc>
          <w:tcPr>
            <w:tcW w:w="1195" w:type="pct"/>
            <w:tcBorders>
              <w:top w:val="single" w:sz="4" w:space="0" w:color="auto"/>
              <w:left w:val="single" w:sz="4" w:space="0" w:color="auto"/>
              <w:bottom w:val="single" w:sz="4" w:space="0" w:color="auto"/>
              <w:right w:val="single" w:sz="4" w:space="0" w:color="auto"/>
            </w:tcBorders>
            <w:vAlign w:val="center"/>
          </w:tcPr>
          <w:p w14:paraId="3DC224B5" w14:textId="77777777" w:rsidR="00455C5C" w:rsidRPr="004D286C" w:rsidRDefault="00455C5C" w:rsidP="004B51D7">
            <w:pPr>
              <w:pStyle w:val="TableText"/>
              <w:keepNext/>
              <w:keepLines/>
              <w:rPr>
                <w:iCs/>
              </w:rPr>
            </w:pPr>
            <w:r w:rsidRPr="004D286C">
              <w:rPr>
                <w:iCs/>
              </w:rPr>
              <w:t xml:space="preserve">Children and adolescents </w:t>
            </w:r>
          </w:p>
        </w:tc>
        <w:tc>
          <w:tcPr>
            <w:tcW w:w="665" w:type="pct"/>
            <w:tcBorders>
              <w:top w:val="single" w:sz="4" w:space="0" w:color="auto"/>
              <w:left w:val="single" w:sz="4" w:space="0" w:color="auto"/>
              <w:bottom w:val="single" w:sz="4" w:space="0" w:color="auto"/>
              <w:right w:val="single" w:sz="4" w:space="0" w:color="auto"/>
            </w:tcBorders>
            <w:vAlign w:val="center"/>
          </w:tcPr>
          <w:p w14:paraId="5C070B0B" w14:textId="5263F741" w:rsidR="00455C5C" w:rsidRPr="004D286C" w:rsidRDefault="00264355" w:rsidP="004B51D7">
            <w:pPr>
              <w:pStyle w:val="TableText"/>
              <w:keepNext/>
              <w:keepLines/>
              <w:jc w:val="center"/>
              <w:rPr>
                <w:iCs/>
              </w:rPr>
            </w:pPr>
            <w:r w:rsidRPr="5B05C43F">
              <w:rPr>
                <w:rFonts w:eastAsia="Arial Narrow" w:cs="Arial Narrow"/>
              </w:rPr>
              <w:t>|</w:t>
            </w:r>
            <w:r w:rsidRPr="005A2CE3">
              <w:rPr>
                <w:rFonts w:cstheme="majorBidi"/>
              </w:rPr>
              <w:t xml:space="preserve"> </w:t>
            </w:r>
            <w:r w:rsidR="60DC75A9" w:rsidRPr="00510B0F">
              <w:rPr>
                <w:rFonts w:cstheme="majorBidi"/>
                <w:vertAlign w:val="superscript"/>
              </w:rPr>
              <w:t>1</w:t>
            </w:r>
            <w:r w:rsidR="00455C5C" w:rsidRPr="004D286C">
              <w:rPr>
                <w:iCs/>
              </w:rPr>
              <w:t xml:space="preserve"> </w:t>
            </w:r>
          </w:p>
        </w:tc>
        <w:tc>
          <w:tcPr>
            <w:tcW w:w="665" w:type="pct"/>
            <w:tcBorders>
              <w:top w:val="single" w:sz="4" w:space="0" w:color="auto"/>
              <w:left w:val="nil"/>
              <w:bottom w:val="single" w:sz="4" w:space="0" w:color="auto"/>
              <w:right w:val="single" w:sz="4" w:space="0" w:color="auto"/>
            </w:tcBorders>
            <w:vAlign w:val="center"/>
          </w:tcPr>
          <w:p w14:paraId="153F964A" w14:textId="60115154" w:rsidR="00455C5C" w:rsidRPr="004D286C" w:rsidRDefault="00264355" w:rsidP="004B51D7">
            <w:pPr>
              <w:pStyle w:val="TableText"/>
              <w:keepNext/>
              <w:keepLines/>
              <w:jc w:val="center"/>
              <w:rPr>
                <w:iCs/>
              </w:rPr>
            </w:pPr>
            <w:r w:rsidRPr="5B05C43F">
              <w:rPr>
                <w:rFonts w:eastAsia="Arial Narrow" w:cs="Arial Narrow"/>
              </w:rPr>
              <w:t>|</w:t>
            </w:r>
            <w:r w:rsidRPr="00510B0F">
              <w:rPr>
                <w:rFonts w:cstheme="majorBidi"/>
                <w:vertAlign w:val="superscript"/>
              </w:rPr>
              <w:t xml:space="preserve"> </w:t>
            </w:r>
            <w:r w:rsidR="448359A7" w:rsidRPr="00510B0F">
              <w:rPr>
                <w:rFonts w:cstheme="majorBidi"/>
                <w:vertAlign w:val="superscript"/>
              </w:rPr>
              <w:t>1</w:t>
            </w:r>
          </w:p>
        </w:tc>
        <w:tc>
          <w:tcPr>
            <w:tcW w:w="665" w:type="pct"/>
            <w:tcBorders>
              <w:top w:val="single" w:sz="4" w:space="0" w:color="auto"/>
              <w:left w:val="nil"/>
              <w:bottom w:val="single" w:sz="4" w:space="0" w:color="auto"/>
              <w:right w:val="single" w:sz="4" w:space="0" w:color="auto"/>
            </w:tcBorders>
            <w:vAlign w:val="center"/>
          </w:tcPr>
          <w:p w14:paraId="437560EF" w14:textId="1369DFC1" w:rsidR="00455C5C" w:rsidRPr="004D286C" w:rsidRDefault="00264355" w:rsidP="004B51D7">
            <w:pPr>
              <w:pStyle w:val="TableText"/>
              <w:keepNext/>
              <w:keepLines/>
              <w:jc w:val="center"/>
              <w:rPr>
                <w:iCs/>
              </w:rPr>
            </w:pPr>
            <w:r w:rsidRPr="5B05C43F">
              <w:rPr>
                <w:rFonts w:eastAsia="Arial Narrow" w:cs="Arial Narrow"/>
              </w:rPr>
              <w:t>|</w:t>
            </w:r>
            <w:r w:rsidRPr="005A2CE3">
              <w:rPr>
                <w:rFonts w:cstheme="majorBidi"/>
              </w:rPr>
              <w:t xml:space="preserve"> </w:t>
            </w:r>
            <w:r w:rsidR="36126F43" w:rsidRPr="00510B0F">
              <w:rPr>
                <w:rFonts w:cstheme="majorBidi"/>
                <w:vertAlign w:val="superscript"/>
              </w:rPr>
              <w:t>1</w:t>
            </w:r>
          </w:p>
        </w:tc>
        <w:tc>
          <w:tcPr>
            <w:tcW w:w="599" w:type="pct"/>
            <w:tcBorders>
              <w:top w:val="single" w:sz="4" w:space="0" w:color="auto"/>
              <w:left w:val="nil"/>
              <w:bottom w:val="single" w:sz="4" w:space="0" w:color="auto"/>
              <w:right w:val="single" w:sz="4" w:space="0" w:color="auto"/>
            </w:tcBorders>
            <w:vAlign w:val="center"/>
          </w:tcPr>
          <w:p w14:paraId="091498AE" w14:textId="5FB9B997" w:rsidR="00455C5C" w:rsidRPr="004D286C" w:rsidRDefault="008A50C9" w:rsidP="004B51D7">
            <w:pPr>
              <w:pStyle w:val="TableText"/>
              <w:keepNext/>
              <w:keepLines/>
              <w:jc w:val="center"/>
              <w:rPr>
                <w:iCs/>
              </w:rPr>
            </w:pPr>
            <w:r w:rsidRPr="5B05C43F">
              <w:rPr>
                <w:rFonts w:eastAsia="Arial Narrow" w:cs="Arial Narrow"/>
              </w:rPr>
              <w:t>|</w:t>
            </w:r>
            <w:r w:rsidRPr="005A2CE3">
              <w:rPr>
                <w:rFonts w:cstheme="majorBidi"/>
              </w:rPr>
              <w:t xml:space="preserve"> </w:t>
            </w:r>
            <w:r w:rsidR="36D05E58" w:rsidRPr="00510B0F">
              <w:rPr>
                <w:rFonts w:cstheme="majorBidi"/>
                <w:vertAlign w:val="superscript"/>
              </w:rPr>
              <w:t>2</w:t>
            </w:r>
          </w:p>
        </w:tc>
        <w:tc>
          <w:tcPr>
            <w:tcW w:w="599" w:type="pct"/>
            <w:tcBorders>
              <w:top w:val="single" w:sz="4" w:space="0" w:color="auto"/>
              <w:left w:val="nil"/>
              <w:bottom w:val="single" w:sz="4" w:space="0" w:color="auto"/>
              <w:right w:val="single" w:sz="4" w:space="0" w:color="auto"/>
            </w:tcBorders>
            <w:vAlign w:val="center"/>
          </w:tcPr>
          <w:p w14:paraId="7631F53E" w14:textId="7311C4D2" w:rsidR="00455C5C" w:rsidRPr="004D286C" w:rsidRDefault="008A50C9" w:rsidP="004B51D7">
            <w:pPr>
              <w:pStyle w:val="TableText"/>
              <w:keepNext/>
              <w:keepLines/>
              <w:jc w:val="center"/>
              <w:rPr>
                <w:iCs/>
              </w:rPr>
            </w:pPr>
            <w:r w:rsidRPr="5B05C43F">
              <w:rPr>
                <w:rFonts w:eastAsia="Arial Narrow" w:cs="Arial Narrow"/>
              </w:rPr>
              <w:t>|</w:t>
            </w:r>
            <w:r w:rsidRPr="005A2CE3">
              <w:rPr>
                <w:rFonts w:cstheme="majorBidi"/>
              </w:rPr>
              <w:t xml:space="preserve"> </w:t>
            </w:r>
            <w:r w:rsidR="5C313DCF" w:rsidRPr="00510B0F">
              <w:rPr>
                <w:rFonts w:cstheme="majorBidi"/>
                <w:vertAlign w:val="superscript"/>
              </w:rPr>
              <w:t>2</w:t>
            </w:r>
          </w:p>
        </w:tc>
        <w:tc>
          <w:tcPr>
            <w:tcW w:w="612" w:type="pct"/>
            <w:tcBorders>
              <w:top w:val="single" w:sz="4" w:space="0" w:color="auto"/>
              <w:left w:val="nil"/>
              <w:bottom w:val="single" w:sz="4" w:space="0" w:color="auto"/>
              <w:right w:val="single" w:sz="4" w:space="0" w:color="auto"/>
            </w:tcBorders>
            <w:vAlign w:val="center"/>
          </w:tcPr>
          <w:p w14:paraId="759A47E7" w14:textId="0BB8ACDF" w:rsidR="00455C5C" w:rsidRPr="004D286C" w:rsidRDefault="008A50C9" w:rsidP="004B51D7">
            <w:pPr>
              <w:pStyle w:val="TableText"/>
              <w:keepNext/>
              <w:keepLines/>
              <w:jc w:val="center"/>
              <w:rPr>
                <w:iCs/>
              </w:rPr>
            </w:pPr>
            <w:r w:rsidRPr="5B05C43F">
              <w:rPr>
                <w:rFonts w:eastAsia="Arial Narrow" w:cs="Arial Narrow"/>
              </w:rPr>
              <w:t>|</w:t>
            </w:r>
            <w:r w:rsidRPr="005A2CE3">
              <w:rPr>
                <w:rFonts w:cstheme="majorBidi"/>
              </w:rPr>
              <w:t xml:space="preserve"> </w:t>
            </w:r>
            <w:r w:rsidR="70463160" w:rsidRPr="00510B0F">
              <w:rPr>
                <w:rFonts w:cstheme="majorBidi"/>
                <w:vertAlign w:val="superscript"/>
              </w:rPr>
              <w:t>2</w:t>
            </w:r>
          </w:p>
        </w:tc>
      </w:tr>
      <w:tr w:rsidR="00455C5C" w:rsidRPr="0098262F" w14:paraId="542FAF2C" w14:textId="77777777" w:rsidTr="5B05C43F">
        <w:tc>
          <w:tcPr>
            <w:tcW w:w="1195" w:type="pct"/>
            <w:tcBorders>
              <w:top w:val="single" w:sz="4" w:space="0" w:color="auto"/>
              <w:left w:val="single" w:sz="4" w:space="0" w:color="auto"/>
              <w:bottom w:val="single" w:sz="4" w:space="0" w:color="auto"/>
              <w:right w:val="single" w:sz="4" w:space="0" w:color="auto"/>
            </w:tcBorders>
            <w:vAlign w:val="center"/>
          </w:tcPr>
          <w:p w14:paraId="3FA13B90" w14:textId="77777777" w:rsidR="00455C5C" w:rsidRPr="004D286C" w:rsidRDefault="00455C5C" w:rsidP="004B51D7">
            <w:pPr>
              <w:pStyle w:val="TableText"/>
              <w:keepNext/>
              <w:keepLines/>
              <w:rPr>
                <w:iCs/>
              </w:rPr>
            </w:pPr>
            <w:r w:rsidRPr="004D286C">
              <w:rPr>
                <w:iCs/>
              </w:rPr>
              <w:t xml:space="preserve">Total </w:t>
            </w:r>
          </w:p>
        </w:tc>
        <w:tc>
          <w:tcPr>
            <w:tcW w:w="665" w:type="pct"/>
            <w:tcBorders>
              <w:top w:val="single" w:sz="4" w:space="0" w:color="auto"/>
              <w:left w:val="single" w:sz="4" w:space="0" w:color="auto"/>
              <w:bottom w:val="single" w:sz="4" w:space="0" w:color="auto"/>
              <w:right w:val="single" w:sz="4" w:space="0" w:color="auto"/>
            </w:tcBorders>
            <w:vAlign w:val="center"/>
          </w:tcPr>
          <w:p w14:paraId="2776EBC4" w14:textId="46CC8ECC" w:rsidR="00455C5C" w:rsidRPr="004D286C" w:rsidRDefault="00264355" w:rsidP="004B51D7">
            <w:pPr>
              <w:pStyle w:val="TableText"/>
              <w:keepNext/>
              <w:keepLines/>
              <w:jc w:val="center"/>
              <w:rPr>
                <w:iCs/>
              </w:rPr>
            </w:pPr>
            <w:r w:rsidRPr="5B05C43F">
              <w:rPr>
                <w:rFonts w:eastAsia="Arial Narrow" w:cs="Arial Narrow"/>
              </w:rPr>
              <w:t>|</w:t>
            </w:r>
            <w:r w:rsidRPr="005A2CE3">
              <w:rPr>
                <w:rFonts w:cstheme="majorBidi"/>
              </w:rPr>
              <w:t xml:space="preserve"> </w:t>
            </w:r>
            <w:r w:rsidR="42233E6E" w:rsidRPr="00510B0F">
              <w:rPr>
                <w:rFonts w:cstheme="majorBidi"/>
                <w:vertAlign w:val="superscript"/>
              </w:rPr>
              <w:t>1</w:t>
            </w:r>
          </w:p>
        </w:tc>
        <w:tc>
          <w:tcPr>
            <w:tcW w:w="665" w:type="pct"/>
            <w:tcBorders>
              <w:top w:val="single" w:sz="4" w:space="0" w:color="auto"/>
              <w:left w:val="nil"/>
              <w:bottom w:val="single" w:sz="4" w:space="0" w:color="auto"/>
              <w:right w:val="single" w:sz="4" w:space="0" w:color="auto"/>
            </w:tcBorders>
            <w:vAlign w:val="center"/>
          </w:tcPr>
          <w:p w14:paraId="183F79A0" w14:textId="308F1342" w:rsidR="00455C5C" w:rsidRPr="004D286C" w:rsidRDefault="008A50C9" w:rsidP="004B51D7">
            <w:pPr>
              <w:pStyle w:val="TableText"/>
              <w:keepNext/>
              <w:keepLines/>
              <w:jc w:val="center"/>
              <w:rPr>
                <w:iCs/>
              </w:rPr>
            </w:pPr>
            <w:r w:rsidRPr="5B05C43F">
              <w:rPr>
                <w:rFonts w:eastAsia="Arial Narrow" w:cs="Arial Narrow"/>
              </w:rPr>
              <w:t>|</w:t>
            </w:r>
            <w:r w:rsidRPr="005A2CE3">
              <w:rPr>
                <w:rFonts w:cstheme="majorBidi"/>
              </w:rPr>
              <w:t xml:space="preserve"> </w:t>
            </w:r>
            <w:r w:rsidR="4DB33E94" w:rsidRPr="00510B0F">
              <w:rPr>
                <w:rFonts w:cstheme="majorBidi"/>
                <w:vertAlign w:val="superscript"/>
              </w:rPr>
              <w:t>2</w:t>
            </w:r>
          </w:p>
        </w:tc>
        <w:tc>
          <w:tcPr>
            <w:tcW w:w="665" w:type="pct"/>
            <w:tcBorders>
              <w:top w:val="single" w:sz="4" w:space="0" w:color="auto"/>
              <w:left w:val="nil"/>
              <w:bottom w:val="single" w:sz="4" w:space="0" w:color="auto"/>
              <w:right w:val="single" w:sz="4" w:space="0" w:color="auto"/>
            </w:tcBorders>
            <w:vAlign w:val="center"/>
          </w:tcPr>
          <w:p w14:paraId="5629A42C" w14:textId="7BE29B12" w:rsidR="00455C5C" w:rsidRPr="004D286C" w:rsidRDefault="00D05602" w:rsidP="004B51D7">
            <w:pPr>
              <w:pStyle w:val="TableText"/>
              <w:keepNext/>
              <w:keepLines/>
              <w:jc w:val="center"/>
              <w:rPr>
                <w:iCs/>
              </w:rPr>
            </w:pPr>
            <w:r w:rsidRPr="5B05C43F">
              <w:rPr>
                <w:rFonts w:eastAsia="Arial Narrow" w:cs="Arial Narrow"/>
              </w:rPr>
              <w:t>|</w:t>
            </w:r>
            <w:r w:rsidRPr="005A2CE3">
              <w:rPr>
                <w:rFonts w:cstheme="majorBidi"/>
              </w:rPr>
              <w:t xml:space="preserve"> </w:t>
            </w:r>
            <w:r w:rsidR="003CBE08" w:rsidRPr="00510B0F">
              <w:rPr>
                <w:rFonts w:cstheme="majorBidi"/>
                <w:vertAlign w:val="superscript"/>
              </w:rPr>
              <w:t>3</w:t>
            </w:r>
          </w:p>
        </w:tc>
        <w:tc>
          <w:tcPr>
            <w:tcW w:w="599" w:type="pct"/>
            <w:tcBorders>
              <w:top w:val="single" w:sz="4" w:space="0" w:color="auto"/>
              <w:left w:val="nil"/>
              <w:bottom w:val="single" w:sz="4" w:space="0" w:color="auto"/>
              <w:right w:val="single" w:sz="4" w:space="0" w:color="auto"/>
            </w:tcBorders>
            <w:vAlign w:val="center"/>
          </w:tcPr>
          <w:p w14:paraId="168C1CE7" w14:textId="3F640869" w:rsidR="00455C5C" w:rsidRPr="004D286C" w:rsidRDefault="00A37F08" w:rsidP="004B51D7">
            <w:pPr>
              <w:pStyle w:val="TableText"/>
              <w:keepNext/>
              <w:keepLines/>
              <w:jc w:val="center"/>
              <w:rPr>
                <w:iCs/>
              </w:rPr>
            </w:pPr>
            <w:r w:rsidRPr="5B05C43F">
              <w:rPr>
                <w:rFonts w:eastAsia="Arial Narrow" w:cs="Arial Narrow"/>
              </w:rPr>
              <w:t>|</w:t>
            </w:r>
            <w:r w:rsidRPr="00510B0F">
              <w:rPr>
                <w:rFonts w:cstheme="majorBidi"/>
                <w:vertAlign w:val="superscript"/>
              </w:rPr>
              <w:t xml:space="preserve"> </w:t>
            </w:r>
            <w:r w:rsidRPr="005B516B">
              <w:rPr>
                <w:rFonts w:cstheme="majorBidi"/>
                <w:vertAlign w:val="superscript"/>
              </w:rPr>
              <w:t>5</w:t>
            </w:r>
          </w:p>
        </w:tc>
        <w:tc>
          <w:tcPr>
            <w:tcW w:w="599" w:type="pct"/>
            <w:tcBorders>
              <w:top w:val="single" w:sz="4" w:space="0" w:color="auto"/>
              <w:left w:val="nil"/>
              <w:bottom w:val="single" w:sz="4" w:space="0" w:color="auto"/>
              <w:right w:val="single" w:sz="4" w:space="0" w:color="auto"/>
            </w:tcBorders>
            <w:vAlign w:val="center"/>
          </w:tcPr>
          <w:p w14:paraId="183D997F" w14:textId="7BA37C2F" w:rsidR="00455C5C" w:rsidRPr="004D286C" w:rsidRDefault="005A3497" w:rsidP="004B51D7">
            <w:pPr>
              <w:pStyle w:val="TableText"/>
              <w:keepNext/>
              <w:keepLines/>
              <w:jc w:val="center"/>
              <w:rPr>
                <w:iCs/>
              </w:rPr>
            </w:pPr>
            <w:r w:rsidRPr="00BF3C33">
              <w:rPr>
                <w:rFonts w:eastAsia="Arial Narrow" w:cs="Arial Narrow"/>
                <w:szCs w:val="20"/>
              </w:rPr>
              <w:t>|</w:t>
            </w:r>
            <w:r>
              <w:rPr>
                <w:rFonts w:eastAsia="Arial Narrow" w:cs="Arial Narrow"/>
                <w:szCs w:val="20"/>
              </w:rPr>
              <w:t xml:space="preserve"> </w:t>
            </w:r>
            <w:r w:rsidRPr="001F2869">
              <w:rPr>
                <w:rFonts w:cstheme="majorBidi"/>
                <w:vertAlign w:val="superscript"/>
              </w:rPr>
              <w:t>7</w:t>
            </w:r>
          </w:p>
        </w:tc>
        <w:tc>
          <w:tcPr>
            <w:tcW w:w="612" w:type="pct"/>
            <w:tcBorders>
              <w:top w:val="single" w:sz="4" w:space="0" w:color="auto"/>
              <w:left w:val="nil"/>
              <w:bottom w:val="single" w:sz="4" w:space="0" w:color="auto"/>
              <w:right w:val="single" w:sz="4" w:space="0" w:color="auto"/>
            </w:tcBorders>
            <w:vAlign w:val="center"/>
          </w:tcPr>
          <w:p w14:paraId="0E364CDF" w14:textId="525DCC65" w:rsidR="00455C5C" w:rsidRPr="004D286C" w:rsidRDefault="005A3497" w:rsidP="004B51D7">
            <w:pPr>
              <w:pStyle w:val="TableText"/>
              <w:keepNext/>
              <w:keepLines/>
              <w:jc w:val="center"/>
              <w:rPr>
                <w:iCs/>
              </w:rPr>
            </w:pPr>
            <w:r w:rsidRPr="00BF3C33">
              <w:rPr>
                <w:rFonts w:eastAsia="Arial Narrow" w:cs="Arial Narrow"/>
                <w:szCs w:val="20"/>
              </w:rPr>
              <w:t>|</w:t>
            </w:r>
            <w:r>
              <w:rPr>
                <w:rFonts w:eastAsia="Arial Narrow" w:cs="Arial Narrow"/>
                <w:szCs w:val="20"/>
              </w:rPr>
              <w:t xml:space="preserve"> </w:t>
            </w:r>
            <w:r w:rsidRPr="001F2869">
              <w:rPr>
                <w:rFonts w:cstheme="majorBidi"/>
                <w:vertAlign w:val="superscript"/>
              </w:rPr>
              <w:t>7</w:t>
            </w:r>
          </w:p>
        </w:tc>
      </w:tr>
    </w:tbl>
    <w:p w14:paraId="6EEF0770" w14:textId="77777777" w:rsidR="00661D57" w:rsidRDefault="00455C5C" w:rsidP="00510B0F">
      <w:pPr>
        <w:pStyle w:val="TableFigureFooter"/>
        <w:keepNext/>
        <w:keepLines/>
        <w:spacing w:before="0" w:after="0"/>
      </w:pPr>
      <w:r w:rsidRPr="5516155F">
        <w:t>Source:</w:t>
      </w:r>
      <w:r w:rsidR="004F4188" w:rsidRPr="5516155F">
        <w:t xml:space="preserve"> Table 4.2.2, p</w:t>
      </w:r>
      <w:r w:rsidR="00701D5D" w:rsidRPr="5516155F">
        <w:t xml:space="preserve">40 of </w:t>
      </w:r>
      <w:r w:rsidR="003A358C" w:rsidRPr="5516155F">
        <w:t>the</w:t>
      </w:r>
      <w:r w:rsidR="004F4188" w:rsidRPr="5516155F">
        <w:t xml:space="preserve"> </w:t>
      </w:r>
      <w:r w:rsidR="00506BEA" w:rsidRPr="5516155F">
        <w:t>November 20</w:t>
      </w:r>
      <w:r w:rsidR="00FB2C56" w:rsidRPr="5516155F">
        <w:t>2</w:t>
      </w:r>
      <w:r w:rsidR="00506BEA" w:rsidRPr="5516155F">
        <w:t xml:space="preserve">4 </w:t>
      </w:r>
      <w:r w:rsidR="00BB6D1B" w:rsidRPr="5516155F">
        <w:t>incobotulinumtoxinA</w:t>
      </w:r>
      <w:r w:rsidR="005230DF" w:rsidRPr="5516155F">
        <w:t xml:space="preserve"> </w:t>
      </w:r>
      <w:r w:rsidR="00484134" w:rsidRPr="5516155F">
        <w:t xml:space="preserve">PBAC </w:t>
      </w:r>
      <w:r w:rsidR="005230DF" w:rsidRPr="5516155F">
        <w:t>commentary</w:t>
      </w:r>
      <w:r w:rsidR="00101B77" w:rsidRPr="5516155F">
        <w:t>.</w:t>
      </w:r>
    </w:p>
    <w:p w14:paraId="5BA5FAFE" w14:textId="77777777" w:rsidR="00661D57" w:rsidRPr="00510B0F" w:rsidRDefault="00661D57" w:rsidP="00510B0F">
      <w:pPr>
        <w:pStyle w:val="TableFigureFooter"/>
        <w:keepNext/>
        <w:keepLines/>
        <w:spacing w:before="0" w:after="0"/>
        <w:rPr>
          <w:szCs w:val="18"/>
        </w:rPr>
      </w:pPr>
      <w:r w:rsidRPr="00510B0F">
        <w:rPr>
          <w:szCs w:val="18"/>
        </w:rPr>
        <w:t>The redacted values correspond to the following ranges</w:t>
      </w:r>
    </w:p>
    <w:p w14:paraId="711D0C65" w14:textId="6C5715A1" w:rsidR="00661D57" w:rsidRPr="00510B0F" w:rsidRDefault="00661D57" w:rsidP="00510B0F">
      <w:pPr>
        <w:pStyle w:val="TableFigureFooter"/>
        <w:keepNext/>
        <w:keepLines/>
        <w:spacing w:before="0" w:after="0"/>
        <w:rPr>
          <w:szCs w:val="18"/>
        </w:rPr>
      </w:pPr>
      <w:r w:rsidRPr="00510B0F">
        <w:rPr>
          <w:szCs w:val="18"/>
        </w:rPr>
        <w:t>1 500 to &lt; 5,000</w:t>
      </w:r>
    </w:p>
    <w:p w14:paraId="05426BF9" w14:textId="1DCCC8A0" w:rsidR="00455C5C" w:rsidRPr="00510B0F" w:rsidDel="00565093" w:rsidRDefault="6723A082" w:rsidP="00510B0F">
      <w:pPr>
        <w:pStyle w:val="TableFigureFooter"/>
        <w:keepNext/>
        <w:keepLines/>
        <w:spacing w:before="0" w:after="0"/>
        <w:rPr>
          <w:szCs w:val="18"/>
        </w:rPr>
      </w:pPr>
      <w:r w:rsidRPr="00510B0F">
        <w:rPr>
          <w:szCs w:val="18"/>
        </w:rPr>
        <w:t>2 5.000 to &lt; 10,000</w:t>
      </w:r>
    </w:p>
    <w:p w14:paraId="7EF2CF63" w14:textId="2A2A65F4" w:rsidR="00455C5C" w:rsidRPr="00510B0F" w:rsidDel="00565093" w:rsidRDefault="097C55AF" w:rsidP="00510B0F">
      <w:pPr>
        <w:pStyle w:val="TableFigureFooter"/>
        <w:keepNext/>
        <w:keepLines/>
        <w:spacing w:before="0" w:after="0"/>
        <w:rPr>
          <w:szCs w:val="18"/>
        </w:rPr>
      </w:pPr>
      <w:r w:rsidRPr="00510B0F">
        <w:rPr>
          <w:szCs w:val="18"/>
        </w:rPr>
        <w:t>3 10,000 to &lt; 20,000</w:t>
      </w:r>
    </w:p>
    <w:p w14:paraId="5C487679" w14:textId="6B37C94B" w:rsidR="00455C5C" w:rsidRPr="00510B0F" w:rsidDel="00565093" w:rsidRDefault="362298C5" w:rsidP="00510B0F">
      <w:pPr>
        <w:pStyle w:val="TableFigureFooter"/>
        <w:keepNext/>
        <w:keepLines/>
        <w:spacing w:before="0" w:after="0"/>
        <w:rPr>
          <w:szCs w:val="18"/>
        </w:rPr>
      </w:pPr>
      <w:r w:rsidRPr="00510B0F">
        <w:rPr>
          <w:szCs w:val="18"/>
        </w:rPr>
        <w:t>4 0 to &lt; 500</w:t>
      </w:r>
    </w:p>
    <w:p w14:paraId="493CCD1E" w14:textId="3C278B98" w:rsidR="00264355" w:rsidRPr="00510B0F" w:rsidRDefault="00264355" w:rsidP="00510B0F">
      <w:pPr>
        <w:pStyle w:val="TableFigureFooter"/>
        <w:keepNext/>
        <w:keepLines/>
        <w:spacing w:before="0" w:after="0"/>
        <w:rPr>
          <w:szCs w:val="18"/>
        </w:rPr>
      </w:pPr>
      <w:r w:rsidRPr="00510B0F">
        <w:rPr>
          <w:szCs w:val="18"/>
        </w:rPr>
        <w:t>5 20,000 to &lt; 30,000</w:t>
      </w:r>
    </w:p>
    <w:p w14:paraId="4FFE707C" w14:textId="67179E6E" w:rsidR="00264355" w:rsidRPr="00510B0F" w:rsidRDefault="00264355" w:rsidP="00510B0F">
      <w:pPr>
        <w:pStyle w:val="TableFigureFooter"/>
        <w:keepNext/>
        <w:keepLines/>
        <w:spacing w:before="0" w:after="0"/>
        <w:rPr>
          <w:szCs w:val="18"/>
        </w:rPr>
      </w:pPr>
      <w:r w:rsidRPr="00510B0F">
        <w:rPr>
          <w:szCs w:val="18"/>
        </w:rPr>
        <w:t>6 30,000 to &lt; 40,000</w:t>
      </w:r>
    </w:p>
    <w:p w14:paraId="0F76CF10" w14:textId="5C62C0E2" w:rsidR="00510B0F" w:rsidRPr="00907CC6" w:rsidRDefault="00264355" w:rsidP="00907CC6">
      <w:pPr>
        <w:spacing w:before="0" w:after="0" w:line="276" w:lineRule="auto"/>
        <w:rPr>
          <w:rFonts w:ascii="Arial Narrow" w:hAnsi="Arial Narrow"/>
          <w:sz w:val="18"/>
          <w:szCs w:val="18"/>
        </w:rPr>
      </w:pPr>
      <w:r w:rsidRPr="00907CC6">
        <w:rPr>
          <w:rFonts w:ascii="Arial Narrow" w:hAnsi="Arial Narrow"/>
          <w:sz w:val="18"/>
          <w:szCs w:val="18"/>
        </w:rPr>
        <w:t xml:space="preserve">7 </w:t>
      </w:r>
      <w:r w:rsidR="002C203D" w:rsidRPr="00907CC6">
        <w:rPr>
          <w:rFonts w:ascii="Arial Narrow" w:hAnsi="Arial Narrow"/>
          <w:sz w:val="18"/>
          <w:szCs w:val="18"/>
        </w:rPr>
        <w:t>40,000 to &lt; 50,000</w:t>
      </w:r>
    </w:p>
    <w:p w14:paraId="68576151" w14:textId="26BBD8BF" w:rsidR="00F825A6" w:rsidRPr="00815834" w:rsidRDefault="00BC0486" w:rsidP="006967E7">
      <w:pPr>
        <w:spacing w:before="240" w:line="276" w:lineRule="auto"/>
        <w:rPr>
          <w:b/>
        </w:rPr>
      </w:pPr>
      <w:r>
        <w:t xml:space="preserve">As stated earlier, the PBS listing of </w:t>
      </w:r>
      <w:r w:rsidR="00E878C3">
        <w:t>IncobotulinumtoxinA</w:t>
      </w:r>
      <w:r>
        <w:t xml:space="preserve"> for the treatment of sialorrhea</w:t>
      </w:r>
      <w:r w:rsidR="00DB43DC">
        <w:t xml:space="preserve"> will </w:t>
      </w:r>
      <w:r w:rsidR="00F825A6">
        <w:t>increase MBS utilisation and cost, as all patients will require injection fees</w:t>
      </w:r>
      <w:r w:rsidR="00B56DC6">
        <w:t xml:space="preserve"> and specialist consultations, as well as ultrasound for most. </w:t>
      </w:r>
    </w:p>
    <w:p w14:paraId="0FEF5142" w14:textId="689A1CB9" w:rsidR="00333B78" w:rsidRPr="00815834" w:rsidRDefault="009931DF" w:rsidP="00F87E43">
      <w:pPr>
        <w:spacing w:line="276" w:lineRule="auto"/>
        <w:rPr>
          <w:i/>
          <w:iCs/>
        </w:rPr>
      </w:pPr>
      <w:r>
        <w:fldChar w:fldCharType="begin"/>
      </w:r>
      <w:r>
        <w:instrText xml:space="preserve"> REF _Ref189735242 \h </w:instrText>
      </w:r>
      <w:r w:rsidR="007A1D5E">
        <w:instrText xml:space="preserve"> \* MERGEFORMAT </w:instrText>
      </w:r>
      <w:r>
        <w:fldChar w:fldCharType="separate"/>
      </w:r>
      <w:r w:rsidR="00E12517">
        <w:t xml:space="preserve">Table </w:t>
      </w:r>
      <w:r w:rsidR="00C506A3">
        <w:t>6</w:t>
      </w:r>
      <w:r>
        <w:fldChar w:fldCharType="end"/>
      </w:r>
      <w:r w:rsidR="004F2788" w:rsidRPr="00206B06">
        <w:t xml:space="preserve"> details the MBS items that will likely be affected </w:t>
      </w:r>
      <w:r w:rsidR="00A67B2D">
        <w:t xml:space="preserve">per the applicant </w:t>
      </w:r>
      <w:r w:rsidR="004F2788" w:rsidRPr="00206B06">
        <w:t>by the PBS listing of</w:t>
      </w:r>
      <w:r w:rsidR="004F2788">
        <w:t xml:space="preserve"> Xeomin for the treatment of sialorrhea. All patients are expected to </w:t>
      </w:r>
      <w:r w:rsidR="00421F58">
        <w:t xml:space="preserve">use </w:t>
      </w:r>
      <w:r w:rsidR="00887744">
        <w:t>the proposed MBS item for injection (</w:t>
      </w:r>
      <w:r w:rsidR="004F2788">
        <w:t>fee of $</w:t>
      </w:r>
      <w:r w:rsidR="00B55BB0">
        <w:t>142.25</w:t>
      </w:r>
      <w:r w:rsidR="00887744">
        <w:t>)</w:t>
      </w:r>
      <w:r w:rsidR="004F2788">
        <w:t xml:space="preserve"> and a specialist consultation fee of $87.30 (MBS item number 116). In the SIAXI clinical trial</w:t>
      </w:r>
      <w:r w:rsidR="00887744">
        <w:t xml:space="preserve"> (adult patients)</w:t>
      </w:r>
      <w:r w:rsidR="004F2788">
        <w:t xml:space="preserve">, 55% of patients additionally required ultrasound imaging to guide the identification of injection sites. The ultrasound fee of $153.20 (MBS item number 55848) was therefore applied to only 55% of all adult patients. </w:t>
      </w:r>
      <w:r w:rsidR="007D6679">
        <w:t xml:space="preserve">In </w:t>
      </w:r>
      <w:r w:rsidR="00061864">
        <w:t>t</w:t>
      </w:r>
      <w:r w:rsidR="00E35076">
        <w:t>he SIPEXI clinical trial all paediatric patients required ultrasound imaging to guide the identification of injection sites. Therefore, the ultrasound fee was applied to all paediatric patients.</w:t>
      </w:r>
      <w:r w:rsidR="00671261">
        <w:t xml:space="preserve"> </w:t>
      </w:r>
      <w:r w:rsidR="00934970" w:rsidRPr="004D286C">
        <w:t>The Department noted that c</w:t>
      </w:r>
      <w:r w:rsidR="00AA61CE" w:rsidRPr="004D286C">
        <w:t>linicians may not be able to claim the MBS item number 55848</w:t>
      </w:r>
      <w:r w:rsidR="00AA61CE">
        <w:t xml:space="preserve"> </w:t>
      </w:r>
      <w:r w:rsidR="00AA61CE" w:rsidRPr="004D286C">
        <w:t>as it</w:t>
      </w:r>
      <w:r w:rsidR="00AA61CE">
        <w:t xml:space="preserve"> </w:t>
      </w:r>
      <w:r w:rsidR="00AA61CE" w:rsidRPr="004D286C">
        <w:t xml:space="preserve">for use </w:t>
      </w:r>
      <w:r w:rsidR="00395622" w:rsidRPr="004D286C">
        <w:t>conjunction with a surgical procedure</w:t>
      </w:r>
      <w:r w:rsidR="00AA61CE" w:rsidRPr="004D286C">
        <w:t>.</w:t>
      </w:r>
      <w:r w:rsidR="00AA61CE">
        <w:t xml:space="preserve"> </w:t>
      </w:r>
    </w:p>
    <w:p w14:paraId="5DDFB0C5" w14:textId="18973E4B" w:rsidR="00E83627" w:rsidRDefault="00E83627" w:rsidP="00F87E43">
      <w:pPr>
        <w:pStyle w:val="Caption"/>
        <w:spacing w:before="240"/>
      </w:pPr>
      <w:bookmarkStart w:id="31" w:name="_Ref189735242"/>
      <w:r>
        <w:t xml:space="preserve">Table </w:t>
      </w:r>
      <w:r w:rsidR="00C506A3">
        <w:t>6</w:t>
      </w:r>
      <w:bookmarkEnd w:id="31"/>
      <w:r>
        <w:t>. MBS items affected by listing of Xeomin</w:t>
      </w:r>
    </w:p>
    <w:tbl>
      <w:tblPr>
        <w:tblStyle w:val="TableGrid"/>
        <w:tblW w:w="0" w:type="auto"/>
        <w:tblLook w:val="04A0" w:firstRow="1" w:lastRow="0" w:firstColumn="1" w:lastColumn="0" w:noHBand="0" w:noVBand="1"/>
      </w:tblPr>
      <w:tblGrid>
        <w:gridCol w:w="4361"/>
        <w:gridCol w:w="1843"/>
        <w:gridCol w:w="2722"/>
      </w:tblGrid>
      <w:tr w:rsidR="004F2788" w14:paraId="163DDF54" w14:textId="77777777" w:rsidTr="555620BB">
        <w:tc>
          <w:tcPr>
            <w:tcW w:w="4361" w:type="dxa"/>
            <w:shd w:val="clear" w:color="auto" w:fill="D9D9D9" w:themeFill="background1" w:themeFillShade="D9"/>
          </w:tcPr>
          <w:p w14:paraId="79D8134D" w14:textId="77777777" w:rsidR="004F2788" w:rsidRPr="00DD140E" w:rsidRDefault="004F2788" w:rsidP="00F87E43">
            <w:pPr>
              <w:pStyle w:val="TableText"/>
              <w:spacing w:line="276" w:lineRule="auto"/>
              <w:rPr>
                <w:b/>
                <w:bCs/>
              </w:rPr>
            </w:pPr>
            <w:r w:rsidRPr="00DD140E">
              <w:rPr>
                <w:b/>
                <w:bCs/>
              </w:rPr>
              <w:t>Description</w:t>
            </w:r>
          </w:p>
        </w:tc>
        <w:tc>
          <w:tcPr>
            <w:tcW w:w="1843" w:type="dxa"/>
            <w:shd w:val="clear" w:color="auto" w:fill="D9D9D9" w:themeFill="background1" w:themeFillShade="D9"/>
            <w:vAlign w:val="center"/>
          </w:tcPr>
          <w:p w14:paraId="716957B2" w14:textId="77777777" w:rsidR="004F2788" w:rsidRPr="00DD140E" w:rsidRDefault="004F2788" w:rsidP="00F87E43">
            <w:pPr>
              <w:pStyle w:val="TableText"/>
              <w:spacing w:line="276" w:lineRule="auto"/>
              <w:rPr>
                <w:b/>
                <w:bCs/>
              </w:rPr>
            </w:pPr>
            <w:r w:rsidRPr="00DD140E">
              <w:rPr>
                <w:b/>
                <w:bCs/>
              </w:rPr>
              <w:t>Fee/Value</w:t>
            </w:r>
          </w:p>
        </w:tc>
        <w:tc>
          <w:tcPr>
            <w:tcW w:w="2722" w:type="dxa"/>
            <w:shd w:val="clear" w:color="auto" w:fill="D9D9D9" w:themeFill="background1" w:themeFillShade="D9"/>
          </w:tcPr>
          <w:p w14:paraId="71564910" w14:textId="77777777" w:rsidR="004F2788" w:rsidRPr="00DD140E" w:rsidRDefault="004F2788" w:rsidP="00F87E43">
            <w:pPr>
              <w:pStyle w:val="TableText"/>
              <w:spacing w:line="276" w:lineRule="auto"/>
              <w:rPr>
                <w:b/>
                <w:bCs/>
              </w:rPr>
            </w:pPr>
            <w:r w:rsidRPr="00DD140E">
              <w:rPr>
                <w:b/>
                <w:bCs/>
              </w:rPr>
              <w:t>Source</w:t>
            </w:r>
          </w:p>
        </w:tc>
      </w:tr>
      <w:tr w:rsidR="004F2788" w14:paraId="6E38DB9A" w14:textId="77777777" w:rsidTr="555620BB">
        <w:tc>
          <w:tcPr>
            <w:tcW w:w="4361" w:type="dxa"/>
          </w:tcPr>
          <w:p w14:paraId="5EAD5E60" w14:textId="0F45F266" w:rsidR="004F2788" w:rsidRDefault="00E83627" w:rsidP="00F87E43">
            <w:pPr>
              <w:pStyle w:val="TableText"/>
              <w:spacing w:line="276" w:lineRule="auto"/>
            </w:pPr>
            <w:r>
              <w:t xml:space="preserve">Specialist </w:t>
            </w:r>
            <w:r w:rsidR="004F2788" w:rsidRPr="00AE3336">
              <w:t>Consultation</w:t>
            </w:r>
          </w:p>
        </w:tc>
        <w:tc>
          <w:tcPr>
            <w:tcW w:w="1843" w:type="dxa"/>
          </w:tcPr>
          <w:p w14:paraId="3C0A5FF1" w14:textId="77777777" w:rsidR="004F2788" w:rsidRDefault="004F2788" w:rsidP="00F87E43">
            <w:pPr>
              <w:pStyle w:val="TableText"/>
              <w:spacing w:line="276" w:lineRule="auto"/>
            </w:pPr>
            <w:r w:rsidRPr="00AE3336">
              <w:t>$8</w:t>
            </w:r>
            <w:r>
              <w:t>7.30</w:t>
            </w:r>
            <w:r w:rsidRPr="00AE3336">
              <w:t xml:space="preserve"> </w:t>
            </w:r>
          </w:p>
        </w:tc>
        <w:tc>
          <w:tcPr>
            <w:tcW w:w="2722" w:type="dxa"/>
          </w:tcPr>
          <w:p w14:paraId="750F7CEF" w14:textId="77777777" w:rsidR="004F2788" w:rsidRDefault="004F2788" w:rsidP="00F87E43">
            <w:pPr>
              <w:pStyle w:val="TableText"/>
              <w:spacing w:line="276" w:lineRule="auto"/>
            </w:pPr>
            <w:r w:rsidRPr="00AE3336">
              <w:t>MBS item 116</w:t>
            </w:r>
          </w:p>
        </w:tc>
      </w:tr>
      <w:tr w:rsidR="004F2788" w14:paraId="3A65004B" w14:textId="77777777" w:rsidTr="555620BB">
        <w:tc>
          <w:tcPr>
            <w:tcW w:w="4361" w:type="dxa"/>
          </w:tcPr>
          <w:p w14:paraId="164D89AD" w14:textId="1BD94138" w:rsidR="004F2788" w:rsidRDefault="004F2788" w:rsidP="00F87E43">
            <w:pPr>
              <w:pStyle w:val="TableText"/>
              <w:spacing w:line="276" w:lineRule="auto"/>
            </w:pPr>
            <w:r w:rsidRPr="00AE3336">
              <w:t xml:space="preserve">Injection </w:t>
            </w:r>
            <w:r w:rsidR="00E83627">
              <w:t>Administration</w:t>
            </w:r>
          </w:p>
        </w:tc>
        <w:tc>
          <w:tcPr>
            <w:tcW w:w="1843" w:type="dxa"/>
          </w:tcPr>
          <w:p w14:paraId="37A76686" w14:textId="3166E11E" w:rsidR="004F2788" w:rsidRDefault="003F7AAD" w:rsidP="00F87E43">
            <w:pPr>
              <w:pStyle w:val="TableText"/>
              <w:spacing w:line="276" w:lineRule="auto"/>
            </w:pPr>
            <w:r>
              <w:t>$142.25</w:t>
            </w:r>
          </w:p>
        </w:tc>
        <w:tc>
          <w:tcPr>
            <w:tcW w:w="2722" w:type="dxa"/>
          </w:tcPr>
          <w:p w14:paraId="2C14F0C2" w14:textId="664A566B" w:rsidR="004F2788" w:rsidRDefault="007C1F5E" w:rsidP="00F87E43">
            <w:pPr>
              <w:pStyle w:val="TableText"/>
              <w:spacing w:line="276" w:lineRule="auto"/>
            </w:pPr>
            <w:r>
              <w:t>Proposed</w:t>
            </w:r>
            <w:r w:rsidR="000F58C5">
              <w:t xml:space="preserve"> MBS item</w:t>
            </w:r>
          </w:p>
        </w:tc>
      </w:tr>
      <w:tr w:rsidR="004F2788" w14:paraId="16EA5FFA" w14:textId="77777777" w:rsidTr="555620BB">
        <w:tc>
          <w:tcPr>
            <w:tcW w:w="4361" w:type="dxa"/>
          </w:tcPr>
          <w:p w14:paraId="4FC91177" w14:textId="78A7D27D" w:rsidR="004F2788" w:rsidRDefault="004F2788" w:rsidP="00F87E43">
            <w:pPr>
              <w:pStyle w:val="TableText"/>
              <w:spacing w:line="276" w:lineRule="auto"/>
            </w:pPr>
            <w:r>
              <w:t xml:space="preserve">Ultrasound </w:t>
            </w:r>
          </w:p>
        </w:tc>
        <w:tc>
          <w:tcPr>
            <w:tcW w:w="1843" w:type="dxa"/>
          </w:tcPr>
          <w:p w14:paraId="6FAFE25C" w14:textId="77777777" w:rsidR="004F2788" w:rsidRDefault="004F2788" w:rsidP="00F87E43">
            <w:pPr>
              <w:pStyle w:val="TableText"/>
              <w:spacing w:line="276" w:lineRule="auto"/>
            </w:pPr>
            <w:r w:rsidRPr="00AE3336">
              <w:t>$1</w:t>
            </w:r>
            <w:r>
              <w:t>53.20</w:t>
            </w:r>
          </w:p>
        </w:tc>
        <w:tc>
          <w:tcPr>
            <w:tcW w:w="2722" w:type="dxa"/>
          </w:tcPr>
          <w:p w14:paraId="498BE559" w14:textId="77777777" w:rsidR="004F2788" w:rsidRDefault="004F2788" w:rsidP="00F87E43">
            <w:pPr>
              <w:pStyle w:val="TableText"/>
              <w:spacing w:line="276" w:lineRule="auto"/>
            </w:pPr>
            <w:r w:rsidRPr="00AE3336">
              <w:t>MBS item 55848</w:t>
            </w:r>
          </w:p>
        </w:tc>
      </w:tr>
      <w:tr w:rsidR="004F2788" w14:paraId="1438E1B8" w14:textId="77777777" w:rsidTr="555620BB">
        <w:tc>
          <w:tcPr>
            <w:tcW w:w="4361" w:type="dxa"/>
          </w:tcPr>
          <w:p w14:paraId="3870A8BA" w14:textId="77777777" w:rsidR="004F2788" w:rsidRDefault="004F2788" w:rsidP="00F87E43">
            <w:pPr>
              <w:pStyle w:val="TableText"/>
              <w:spacing w:line="276" w:lineRule="auto"/>
            </w:pPr>
            <w:r>
              <w:t>Proportion of adult patients requiring ultrasound</w:t>
            </w:r>
          </w:p>
        </w:tc>
        <w:tc>
          <w:tcPr>
            <w:tcW w:w="1843" w:type="dxa"/>
          </w:tcPr>
          <w:p w14:paraId="5505B62B" w14:textId="77777777" w:rsidR="004F2788" w:rsidRDefault="004F2788" w:rsidP="00F87E43">
            <w:pPr>
              <w:pStyle w:val="TableText"/>
              <w:spacing w:line="276" w:lineRule="auto"/>
            </w:pPr>
            <w:r>
              <w:t>55%</w:t>
            </w:r>
          </w:p>
        </w:tc>
        <w:tc>
          <w:tcPr>
            <w:tcW w:w="2722" w:type="dxa"/>
          </w:tcPr>
          <w:p w14:paraId="572A7E37" w14:textId="77777777" w:rsidR="004F2788" w:rsidRDefault="004F2788" w:rsidP="00F87E43">
            <w:pPr>
              <w:pStyle w:val="TableText"/>
              <w:spacing w:line="276" w:lineRule="auto"/>
            </w:pPr>
            <w:r>
              <w:t>SIAXI</w:t>
            </w:r>
          </w:p>
        </w:tc>
      </w:tr>
      <w:tr w:rsidR="004F2788" w14:paraId="2FECA455" w14:textId="77777777" w:rsidTr="555620BB">
        <w:tc>
          <w:tcPr>
            <w:tcW w:w="4361" w:type="dxa"/>
          </w:tcPr>
          <w:p w14:paraId="65380C3C" w14:textId="77777777" w:rsidR="004F2788" w:rsidRDefault="004F2788" w:rsidP="00F87E43">
            <w:pPr>
              <w:pStyle w:val="TableText"/>
              <w:spacing w:line="276" w:lineRule="auto"/>
            </w:pPr>
            <w:r>
              <w:t>Proportion of paediatric patients requiring ultrasound</w:t>
            </w:r>
          </w:p>
        </w:tc>
        <w:tc>
          <w:tcPr>
            <w:tcW w:w="1843" w:type="dxa"/>
          </w:tcPr>
          <w:p w14:paraId="323A4313" w14:textId="77777777" w:rsidR="004F2788" w:rsidRDefault="004F2788" w:rsidP="00F87E43">
            <w:pPr>
              <w:pStyle w:val="TableText"/>
              <w:spacing w:line="276" w:lineRule="auto"/>
            </w:pPr>
            <w:r>
              <w:t>100%</w:t>
            </w:r>
          </w:p>
        </w:tc>
        <w:tc>
          <w:tcPr>
            <w:tcW w:w="2722" w:type="dxa"/>
          </w:tcPr>
          <w:p w14:paraId="002BEB40" w14:textId="77777777" w:rsidR="004F2788" w:rsidRDefault="004F2788" w:rsidP="00F87E43">
            <w:pPr>
              <w:pStyle w:val="TableText"/>
              <w:spacing w:line="276" w:lineRule="auto"/>
            </w:pPr>
            <w:r>
              <w:t>SIPEXI</w:t>
            </w:r>
          </w:p>
        </w:tc>
      </w:tr>
    </w:tbl>
    <w:p w14:paraId="47F1DFA6" w14:textId="41BA2CAC" w:rsidR="00396C19" w:rsidRDefault="00396C19" w:rsidP="00815834">
      <w:pPr>
        <w:pStyle w:val="TableFigureFooter"/>
      </w:pPr>
      <w:r>
        <w:t xml:space="preserve">Source: </w:t>
      </w:r>
      <w:r w:rsidR="00BE6FE1">
        <w:t>Table 17</w:t>
      </w:r>
      <w:r w:rsidR="0085776E">
        <w:t>,</w:t>
      </w:r>
      <w:r w:rsidR="00EC47B9">
        <w:t xml:space="preserve"> p16 o</w:t>
      </w:r>
      <w:r w:rsidR="007F7C1B">
        <w:t xml:space="preserve">f </w:t>
      </w:r>
      <w:r w:rsidR="000300C7">
        <w:t xml:space="preserve">the </w:t>
      </w:r>
      <w:r w:rsidR="00D53EAA">
        <w:t>ADAR</w:t>
      </w:r>
    </w:p>
    <w:p w14:paraId="53EE52FC" w14:textId="3D8F4740" w:rsidR="008553F1" w:rsidRPr="00DF67FE" w:rsidRDefault="008553F1" w:rsidP="00815834">
      <w:pPr>
        <w:pStyle w:val="Instructionaltext-afterfiguretable"/>
        <w:spacing w:before="0" w:line="276" w:lineRule="auto"/>
        <w:rPr>
          <w:color w:val="000000" w:themeColor="text1"/>
        </w:rPr>
      </w:pPr>
      <w:r w:rsidRPr="00DF67FE">
        <w:rPr>
          <w:color w:val="auto"/>
        </w:rPr>
        <w:t>The financial estimates</w:t>
      </w:r>
      <w:r w:rsidR="00DE4C4B">
        <w:rPr>
          <w:color w:val="auto"/>
        </w:rPr>
        <w:t xml:space="preserve"> in the ADAR</w:t>
      </w:r>
      <w:r w:rsidRPr="00DF67FE">
        <w:rPr>
          <w:color w:val="auto"/>
        </w:rPr>
        <w:t xml:space="preserve"> </w:t>
      </w:r>
      <w:r w:rsidR="002679A0" w:rsidRPr="00DF67FE">
        <w:rPr>
          <w:color w:val="auto"/>
        </w:rPr>
        <w:t xml:space="preserve">did not include </w:t>
      </w:r>
      <w:r w:rsidR="00C26290" w:rsidRPr="00DF67FE">
        <w:rPr>
          <w:color w:val="auto"/>
        </w:rPr>
        <w:t xml:space="preserve">anaesthesia costs. </w:t>
      </w:r>
      <w:r w:rsidR="00382E46" w:rsidRPr="00DF67FE">
        <w:rPr>
          <w:color w:val="auto"/>
        </w:rPr>
        <w:t xml:space="preserve">The PBAC Pre-sub-committee response (PSCR) stated that as anaesthesia was not a requirement of the SIPEXI </w:t>
      </w:r>
      <w:r w:rsidR="00430B2F" w:rsidRPr="00DF67FE">
        <w:rPr>
          <w:color w:val="auto"/>
        </w:rPr>
        <w:t>(paediatric)</w:t>
      </w:r>
      <w:r w:rsidR="00382E46" w:rsidRPr="00DF67FE">
        <w:rPr>
          <w:color w:val="auto"/>
        </w:rPr>
        <w:t xml:space="preserve"> trial and that as expert opinion did not consider it necessary, it was not included. However, the department does note that in the SIPEXI trial these interventions were offered to all children. General anaesthetics were administered for 23.6% of the placebo group (6−17 years </w:t>
      </w:r>
      <w:r w:rsidR="00382E46" w:rsidRPr="00DF67FE">
        <w:rPr>
          <w:color w:val="auto"/>
        </w:rPr>
        <w:lastRenderedPageBreak/>
        <w:t>old), and for 11.4% and 25.7% of the incobotulinumtoxinA groups (2−5 years old, 6−17 years old, respectively).</w:t>
      </w:r>
      <w:r w:rsidR="008068C9" w:rsidRPr="00DF67FE">
        <w:rPr>
          <w:color w:val="auto"/>
        </w:rPr>
        <w:t xml:space="preserve"> </w:t>
      </w:r>
      <w:r w:rsidR="008068C9" w:rsidRPr="00DF67FE">
        <w:rPr>
          <w:color w:val="000000" w:themeColor="text1"/>
        </w:rPr>
        <w:t xml:space="preserve">The Royal Children’s Hospital Melbourne information guide </w:t>
      </w:r>
      <w:hyperlink r:id="rId26" w:history="1">
        <w:r w:rsidR="008068C9" w:rsidRPr="00DF67FE">
          <w:rPr>
            <w:rStyle w:val="Hyperlink"/>
          </w:rPr>
          <w:t>on Saliva Control in Children</w:t>
        </w:r>
      </w:hyperlink>
      <w:r w:rsidR="008068C9" w:rsidRPr="00DF67FE">
        <w:rPr>
          <w:color w:val="000000" w:themeColor="text1"/>
        </w:rPr>
        <w:t xml:space="preserve"> state that the procedure is done under a brief general anaesthetic as a ‘day stay’ procedure. </w:t>
      </w:r>
      <w:r w:rsidR="00382E46" w:rsidRPr="00DF67FE">
        <w:rPr>
          <w:color w:val="auto"/>
        </w:rPr>
        <w:t xml:space="preserve">Therefore, the department have considered MBS fees that could represent general anaesthesia costs in Table </w:t>
      </w:r>
      <w:r w:rsidR="004875A5" w:rsidRPr="00DF67FE">
        <w:rPr>
          <w:color w:val="auto"/>
        </w:rPr>
        <w:t>7</w:t>
      </w:r>
      <w:r w:rsidR="00382E46" w:rsidRPr="00DF67FE">
        <w:rPr>
          <w:color w:val="auto"/>
        </w:rPr>
        <w:t>.</w:t>
      </w:r>
      <w:r w:rsidR="009D4AB1" w:rsidRPr="00DF67FE">
        <w:rPr>
          <w:color w:val="auto"/>
        </w:rPr>
        <w:t xml:space="preserve"> </w:t>
      </w:r>
      <w:r w:rsidR="00DD6C06" w:rsidRPr="00DF67FE">
        <w:rPr>
          <w:color w:val="auto"/>
        </w:rPr>
        <w:t xml:space="preserve">Anaesthesia costs may be underestimated because </w:t>
      </w:r>
      <w:r w:rsidR="00440E1A" w:rsidRPr="00DF67FE">
        <w:rPr>
          <w:color w:val="auto"/>
        </w:rPr>
        <w:t xml:space="preserve">MBS costs for anaesthesia also include </w:t>
      </w:r>
      <w:r w:rsidR="00F959F6" w:rsidRPr="00DF67FE">
        <w:rPr>
          <w:color w:val="auto"/>
        </w:rPr>
        <w:t xml:space="preserve">modifying units </w:t>
      </w:r>
      <w:r w:rsidR="0020644A" w:rsidRPr="00DF67FE">
        <w:rPr>
          <w:color w:val="auto"/>
        </w:rPr>
        <w:t xml:space="preserve">to recognise added </w:t>
      </w:r>
      <w:r w:rsidR="008A7C05" w:rsidRPr="00DF67FE">
        <w:rPr>
          <w:color w:val="auto"/>
        </w:rPr>
        <w:t xml:space="preserve">anaesthesia </w:t>
      </w:r>
      <w:r w:rsidR="0020644A" w:rsidRPr="00DF67FE">
        <w:rPr>
          <w:color w:val="auto"/>
        </w:rPr>
        <w:t xml:space="preserve">complexities. </w:t>
      </w:r>
      <w:r w:rsidR="008A7C05" w:rsidRPr="00DF67FE">
        <w:rPr>
          <w:color w:val="auto"/>
        </w:rPr>
        <w:t>For example,</w:t>
      </w:r>
      <w:r w:rsidR="00F959F6" w:rsidRPr="00DF67FE">
        <w:rPr>
          <w:color w:val="auto"/>
        </w:rPr>
        <w:t xml:space="preserve"> </w:t>
      </w:r>
      <w:r w:rsidR="003023F0" w:rsidRPr="00DF67FE">
        <w:rPr>
          <w:color w:val="auto"/>
        </w:rPr>
        <w:t xml:space="preserve">patients aged less than </w:t>
      </w:r>
      <w:r w:rsidR="00F959F6" w:rsidRPr="00DF67FE">
        <w:rPr>
          <w:color w:val="auto"/>
        </w:rPr>
        <w:t xml:space="preserve">4 </w:t>
      </w:r>
      <w:r w:rsidR="003023F0" w:rsidRPr="00DF67FE">
        <w:rPr>
          <w:color w:val="auto"/>
        </w:rPr>
        <w:t xml:space="preserve">years </w:t>
      </w:r>
      <w:r w:rsidR="001C09DB" w:rsidRPr="00DF67FE">
        <w:rPr>
          <w:color w:val="auto"/>
        </w:rPr>
        <w:t xml:space="preserve">or </w:t>
      </w:r>
      <w:r w:rsidR="00F959F6" w:rsidRPr="00DF67FE">
        <w:rPr>
          <w:color w:val="auto"/>
        </w:rPr>
        <w:t>75</w:t>
      </w:r>
      <w:r w:rsidR="001C09DB" w:rsidRPr="00DF67FE">
        <w:rPr>
          <w:color w:val="auto"/>
        </w:rPr>
        <w:t xml:space="preserve"> </w:t>
      </w:r>
      <w:r w:rsidR="00F959F6" w:rsidRPr="00DF67FE">
        <w:rPr>
          <w:color w:val="auto"/>
        </w:rPr>
        <w:t>years</w:t>
      </w:r>
      <w:r w:rsidR="001C09DB" w:rsidRPr="00DF67FE">
        <w:rPr>
          <w:color w:val="auto"/>
        </w:rPr>
        <w:t xml:space="preserve"> and older </w:t>
      </w:r>
      <w:r w:rsidR="00650D82" w:rsidRPr="00DF67FE">
        <w:rPr>
          <w:color w:val="auto"/>
        </w:rPr>
        <w:t>maybe eligible</w:t>
      </w:r>
      <w:r w:rsidR="008A7C05" w:rsidRPr="00DF67FE">
        <w:rPr>
          <w:color w:val="auto"/>
        </w:rPr>
        <w:t xml:space="preserve"> for additional MBS items due to age (item 25013 or 25014). </w:t>
      </w:r>
    </w:p>
    <w:p w14:paraId="5EC8C986" w14:textId="6CA76F1A" w:rsidR="00396C19" w:rsidRDefault="00396C19" w:rsidP="00396C19">
      <w:pPr>
        <w:pStyle w:val="Caption"/>
        <w:spacing w:before="240"/>
      </w:pPr>
      <w:r>
        <w:t xml:space="preserve">Table </w:t>
      </w:r>
      <w:r w:rsidR="007758B8">
        <w:t>7</w:t>
      </w:r>
      <w:r>
        <w:t>. MBS items that could represent general anaesthesia costs</w:t>
      </w:r>
    </w:p>
    <w:tbl>
      <w:tblPr>
        <w:tblStyle w:val="TableGrid"/>
        <w:tblW w:w="0" w:type="auto"/>
        <w:tblLook w:val="04A0" w:firstRow="1" w:lastRow="0" w:firstColumn="1" w:lastColumn="0" w:noHBand="0" w:noVBand="1"/>
      </w:tblPr>
      <w:tblGrid>
        <w:gridCol w:w="4361"/>
        <w:gridCol w:w="1843"/>
        <w:gridCol w:w="2722"/>
      </w:tblGrid>
      <w:tr w:rsidR="00396C19" w14:paraId="59E4AE44" w14:textId="77777777" w:rsidTr="555620BB">
        <w:tc>
          <w:tcPr>
            <w:tcW w:w="4361" w:type="dxa"/>
            <w:shd w:val="clear" w:color="auto" w:fill="D9D9D9" w:themeFill="background1" w:themeFillShade="D9"/>
          </w:tcPr>
          <w:p w14:paraId="57E80E7E" w14:textId="77777777" w:rsidR="00396C19" w:rsidRPr="00DD140E" w:rsidRDefault="00396C19">
            <w:pPr>
              <w:pStyle w:val="TableText"/>
              <w:spacing w:line="276" w:lineRule="auto"/>
              <w:rPr>
                <w:b/>
                <w:bCs/>
              </w:rPr>
            </w:pPr>
            <w:r w:rsidRPr="00DD140E">
              <w:rPr>
                <w:b/>
                <w:bCs/>
              </w:rPr>
              <w:t>Description</w:t>
            </w:r>
          </w:p>
        </w:tc>
        <w:tc>
          <w:tcPr>
            <w:tcW w:w="1843" w:type="dxa"/>
            <w:shd w:val="clear" w:color="auto" w:fill="D9D9D9" w:themeFill="background1" w:themeFillShade="D9"/>
            <w:vAlign w:val="center"/>
          </w:tcPr>
          <w:p w14:paraId="7C80D86D" w14:textId="77777777" w:rsidR="00396C19" w:rsidRPr="00DD140E" w:rsidRDefault="00396C19">
            <w:pPr>
              <w:pStyle w:val="TableText"/>
              <w:spacing w:line="276" w:lineRule="auto"/>
              <w:rPr>
                <w:b/>
                <w:bCs/>
              </w:rPr>
            </w:pPr>
            <w:r w:rsidRPr="00DD140E">
              <w:rPr>
                <w:b/>
                <w:bCs/>
              </w:rPr>
              <w:t>Fee/Value</w:t>
            </w:r>
          </w:p>
        </w:tc>
        <w:tc>
          <w:tcPr>
            <w:tcW w:w="2722" w:type="dxa"/>
            <w:shd w:val="clear" w:color="auto" w:fill="D9D9D9" w:themeFill="background1" w:themeFillShade="D9"/>
          </w:tcPr>
          <w:p w14:paraId="75FBD9EF" w14:textId="77777777" w:rsidR="00396C19" w:rsidRPr="00DD140E" w:rsidRDefault="00396C19">
            <w:pPr>
              <w:pStyle w:val="TableText"/>
              <w:spacing w:line="276" w:lineRule="auto"/>
              <w:rPr>
                <w:b/>
                <w:bCs/>
              </w:rPr>
            </w:pPr>
            <w:r w:rsidRPr="00DD140E">
              <w:rPr>
                <w:b/>
                <w:bCs/>
              </w:rPr>
              <w:t>Source</w:t>
            </w:r>
          </w:p>
        </w:tc>
      </w:tr>
      <w:tr w:rsidR="00396C19" w14:paraId="4B958634" w14:textId="77777777" w:rsidTr="555620BB">
        <w:tc>
          <w:tcPr>
            <w:tcW w:w="4361" w:type="dxa"/>
          </w:tcPr>
          <w:p w14:paraId="34FE5E11" w14:textId="77777777" w:rsidR="00396C19" w:rsidRDefault="00396C19">
            <w:pPr>
              <w:pStyle w:val="TableText"/>
              <w:spacing w:line="276" w:lineRule="auto"/>
            </w:pPr>
            <w:r>
              <w:t>P</w:t>
            </w:r>
            <w:r w:rsidRPr="00A12DE2">
              <w:t>re-anaesthesia consult &lt;15min</w:t>
            </w:r>
          </w:p>
        </w:tc>
        <w:tc>
          <w:tcPr>
            <w:tcW w:w="1843" w:type="dxa"/>
          </w:tcPr>
          <w:p w14:paraId="1D6B7337" w14:textId="77777777" w:rsidR="00396C19" w:rsidRDefault="00396C19">
            <w:pPr>
              <w:pStyle w:val="TableText"/>
              <w:spacing w:line="276" w:lineRule="auto"/>
            </w:pPr>
            <w:r w:rsidRPr="00AE3336">
              <w:t>$</w:t>
            </w:r>
            <w:r>
              <w:t>49.75</w:t>
            </w:r>
          </w:p>
        </w:tc>
        <w:tc>
          <w:tcPr>
            <w:tcW w:w="2722" w:type="dxa"/>
          </w:tcPr>
          <w:p w14:paraId="3E2FD1EF" w14:textId="77777777" w:rsidR="00396C19" w:rsidRDefault="00396C19">
            <w:pPr>
              <w:pStyle w:val="TableText"/>
              <w:spacing w:line="276" w:lineRule="auto"/>
            </w:pPr>
            <w:r w:rsidRPr="00AE3336">
              <w:t xml:space="preserve">MBS item </w:t>
            </w:r>
            <w:r>
              <w:t>17610</w:t>
            </w:r>
          </w:p>
        </w:tc>
      </w:tr>
      <w:tr w:rsidR="00396C19" w14:paraId="37568183" w14:textId="77777777" w:rsidTr="555620BB">
        <w:tc>
          <w:tcPr>
            <w:tcW w:w="4361" w:type="dxa"/>
          </w:tcPr>
          <w:p w14:paraId="424A6490" w14:textId="27D880EA" w:rsidR="00396C19" w:rsidRDefault="00396C19">
            <w:pPr>
              <w:pStyle w:val="TableText"/>
              <w:spacing w:line="276" w:lineRule="auto"/>
            </w:pPr>
            <w:r>
              <w:t>I</w:t>
            </w:r>
            <w:r w:rsidRPr="004500C7">
              <w:t xml:space="preserve">nitiate </w:t>
            </w:r>
            <w:r w:rsidR="00AC44E7">
              <w:t>a</w:t>
            </w:r>
            <w:r w:rsidR="00AC44E7" w:rsidRPr="004500C7">
              <w:t>naesthesia</w:t>
            </w:r>
            <w:r w:rsidRPr="004500C7">
              <w:t xml:space="preserve"> management</w:t>
            </w:r>
          </w:p>
        </w:tc>
        <w:tc>
          <w:tcPr>
            <w:tcW w:w="1843" w:type="dxa"/>
          </w:tcPr>
          <w:p w14:paraId="3B00C2D4" w14:textId="77777777" w:rsidR="00396C19" w:rsidRDefault="00396C19">
            <w:pPr>
              <w:pStyle w:val="TableText"/>
              <w:spacing w:line="276" w:lineRule="auto"/>
            </w:pPr>
            <w:r>
              <w:t>$112.75</w:t>
            </w:r>
          </w:p>
        </w:tc>
        <w:tc>
          <w:tcPr>
            <w:tcW w:w="2722" w:type="dxa"/>
          </w:tcPr>
          <w:p w14:paraId="273F02AD" w14:textId="77777777" w:rsidR="00396C19" w:rsidRDefault="00396C19">
            <w:pPr>
              <w:pStyle w:val="TableText"/>
              <w:spacing w:line="276" w:lineRule="auto"/>
            </w:pPr>
            <w:r w:rsidRPr="00AE3336">
              <w:t xml:space="preserve">MBS item </w:t>
            </w:r>
            <w:r>
              <w:t>20100</w:t>
            </w:r>
          </w:p>
        </w:tc>
      </w:tr>
      <w:tr w:rsidR="00396C19" w14:paraId="52A36F72" w14:textId="77777777" w:rsidTr="555620BB">
        <w:tc>
          <w:tcPr>
            <w:tcW w:w="4361" w:type="dxa"/>
          </w:tcPr>
          <w:p w14:paraId="0CB35031" w14:textId="77777777" w:rsidR="00396C19" w:rsidRDefault="00396C19">
            <w:pPr>
              <w:pStyle w:val="TableText"/>
              <w:spacing w:line="276" w:lineRule="auto"/>
            </w:pPr>
            <w:r>
              <w:t>Anaesthesia 16-30mins</w:t>
            </w:r>
          </w:p>
        </w:tc>
        <w:tc>
          <w:tcPr>
            <w:tcW w:w="1843" w:type="dxa"/>
          </w:tcPr>
          <w:p w14:paraId="561813DC" w14:textId="77777777" w:rsidR="00396C19" w:rsidRDefault="00396C19">
            <w:pPr>
              <w:pStyle w:val="TableText"/>
              <w:spacing w:line="276" w:lineRule="auto"/>
            </w:pPr>
            <w:r>
              <w:t>$45.10</w:t>
            </w:r>
          </w:p>
        </w:tc>
        <w:tc>
          <w:tcPr>
            <w:tcW w:w="2722" w:type="dxa"/>
          </w:tcPr>
          <w:p w14:paraId="74BEB144" w14:textId="77777777" w:rsidR="00396C19" w:rsidRDefault="00396C19">
            <w:pPr>
              <w:pStyle w:val="TableText"/>
              <w:spacing w:line="276" w:lineRule="auto"/>
            </w:pPr>
            <w:r>
              <w:t>MBS item 23025</w:t>
            </w:r>
          </w:p>
        </w:tc>
      </w:tr>
    </w:tbl>
    <w:p w14:paraId="62F73810" w14:textId="27930659" w:rsidR="00396C19" w:rsidRDefault="003D2ED9" w:rsidP="003D2ED9">
      <w:pPr>
        <w:pStyle w:val="TableFooter"/>
      </w:pPr>
      <w:r>
        <w:t>Source: Compiled by the Department</w:t>
      </w:r>
    </w:p>
    <w:p w14:paraId="002D806B" w14:textId="3E1B94F8" w:rsidR="005262A7" w:rsidRDefault="00EF7855" w:rsidP="00ED0616">
      <w:pPr>
        <w:spacing w:line="276" w:lineRule="auto"/>
      </w:pPr>
      <w:r>
        <w:rPr>
          <w:iCs/>
        </w:rPr>
        <w:t xml:space="preserve">The Department compiled </w:t>
      </w:r>
      <w:r w:rsidR="00452CC6">
        <w:rPr>
          <w:iCs/>
        </w:rPr>
        <w:t xml:space="preserve">Table </w:t>
      </w:r>
      <w:r w:rsidR="004875A5">
        <w:rPr>
          <w:iCs/>
        </w:rPr>
        <w:t>8</w:t>
      </w:r>
      <w:r>
        <w:rPr>
          <w:iCs/>
        </w:rPr>
        <w:t xml:space="preserve"> which</w:t>
      </w:r>
      <w:r w:rsidR="00452CC6">
        <w:rPr>
          <w:iCs/>
        </w:rPr>
        <w:t xml:space="preserve"> shows </w:t>
      </w:r>
      <w:r w:rsidR="008C65BC">
        <w:rPr>
          <w:iCs/>
        </w:rPr>
        <w:t xml:space="preserve">the changes in use of </w:t>
      </w:r>
      <w:r w:rsidR="00452CC6">
        <w:rPr>
          <w:iCs/>
        </w:rPr>
        <w:t xml:space="preserve">MBS </w:t>
      </w:r>
      <w:r w:rsidR="008C65BC">
        <w:rPr>
          <w:iCs/>
        </w:rPr>
        <w:t xml:space="preserve">item </w:t>
      </w:r>
      <w:r w:rsidR="00452CC6">
        <w:rPr>
          <w:iCs/>
        </w:rPr>
        <w:t xml:space="preserve">using the revised patient and prescription numbers shown earlier in Table </w:t>
      </w:r>
      <w:r w:rsidR="004875A5">
        <w:rPr>
          <w:iCs/>
        </w:rPr>
        <w:t>5</w:t>
      </w:r>
      <w:r w:rsidR="00452CC6">
        <w:rPr>
          <w:iCs/>
        </w:rPr>
        <w:t xml:space="preserve">. </w:t>
      </w:r>
      <w:r w:rsidR="008C65BC" w:rsidRPr="004D286C">
        <w:t xml:space="preserve">The use of specialist consultation items was corrected </w:t>
      </w:r>
      <w:r w:rsidR="00571AE3">
        <w:rPr>
          <w:iCs/>
        </w:rPr>
        <w:t xml:space="preserve">by the Department </w:t>
      </w:r>
      <w:r w:rsidR="008C65BC" w:rsidRPr="004D286C">
        <w:t>to</w:t>
      </w:r>
      <w:r w:rsidR="00473761" w:rsidRPr="004D286C">
        <w:t xml:space="preserve"> be </w:t>
      </w:r>
      <w:r w:rsidR="007F4D92" w:rsidRPr="004D286C">
        <w:t xml:space="preserve">the same as the number of </w:t>
      </w:r>
      <w:r w:rsidR="000A31A7" w:rsidRPr="004D286C">
        <w:t>injections administered</w:t>
      </w:r>
      <w:r w:rsidR="001A5EF9" w:rsidRPr="004D286C">
        <w:t>.</w:t>
      </w:r>
      <w:r w:rsidR="008C65BC" w:rsidRPr="004D286C">
        <w:t xml:space="preserve">  </w:t>
      </w:r>
      <w:r w:rsidR="00452CC6">
        <w:rPr>
          <w:iCs/>
        </w:rPr>
        <w:t xml:space="preserve">General anaesthesia costs are also incorporated into Table </w:t>
      </w:r>
      <w:r w:rsidR="007758B8">
        <w:rPr>
          <w:iCs/>
        </w:rPr>
        <w:t>8</w:t>
      </w:r>
      <w:r w:rsidR="00452CC6">
        <w:rPr>
          <w:iCs/>
        </w:rPr>
        <w:t xml:space="preserve"> using assumptions of 100% utilisation in children </w:t>
      </w:r>
      <w:r w:rsidR="00C60873">
        <w:rPr>
          <w:iCs/>
        </w:rPr>
        <w:t>and</w:t>
      </w:r>
      <w:r w:rsidR="00452CC6">
        <w:rPr>
          <w:iCs/>
        </w:rPr>
        <w:t xml:space="preserve"> adolescents</w:t>
      </w:r>
      <w:r w:rsidR="0092627A">
        <w:rPr>
          <w:iCs/>
        </w:rPr>
        <w:t xml:space="preserve">. </w:t>
      </w:r>
    </w:p>
    <w:p w14:paraId="75F02BB8" w14:textId="7F47F3E8" w:rsidR="009931DF" w:rsidRDefault="009931DF" w:rsidP="00F87E43">
      <w:pPr>
        <w:pStyle w:val="Caption"/>
      </w:pPr>
      <w:bookmarkStart w:id="32" w:name="_Ref189735228"/>
      <w:r>
        <w:t xml:space="preserve">Table </w:t>
      </w:r>
      <w:r w:rsidR="00E12517">
        <w:fldChar w:fldCharType="begin"/>
      </w:r>
      <w:r w:rsidR="00E12517">
        <w:instrText xml:space="preserve"> SEQ Table \* ARABIC </w:instrText>
      </w:r>
      <w:r w:rsidR="00E12517">
        <w:fldChar w:fldCharType="separate"/>
      </w:r>
      <w:r w:rsidR="00E12517">
        <w:rPr>
          <w:noProof/>
        </w:rPr>
        <w:t>8</w:t>
      </w:r>
      <w:r w:rsidR="00E12517">
        <w:rPr>
          <w:noProof/>
        </w:rPr>
        <w:fldChar w:fldCharType="end"/>
      </w:r>
      <w:bookmarkEnd w:id="32"/>
      <w:r>
        <w:t xml:space="preserve">. </w:t>
      </w:r>
      <w:r w:rsidRPr="006C6471">
        <w:t xml:space="preserve">Net </w:t>
      </w:r>
      <w:r w:rsidR="00F4257C">
        <w:t xml:space="preserve">changes </w:t>
      </w:r>
      <w:r w:rsidRPr="006C6471">
        <w:t>to the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7"/>
        <w:gridCol w:w="1148"/>
        <w:gridCol w:w="1148"/>
        <w:gridCol w:w="1148"/>
        <w:gridCol w:w="1148"/>
        <w:gridCol w:w="1148"/>
        <w:gridCol w:w="1149"/>
      </w:tblGrid>
      <w:tr w:rsidR="008C0643" w:rsidRPr="00CE28E3" w14:paraId="19E04812" w14:textId="77777777" w:rsidTr="5F6FEE6A">
        <w:trPr>
          <w:tblHeader/>
        </w:trPr>
        <w:tc>
          <w:tcPr>
            <w:tcW w:w="2117" w:type="dxa"/>
            <w:shd w:val="clear" w:color="auto" w:fill="D0CECE" w:themeFill="background2" w:themeFillShade="E6"/>
            <w:tcMar>
              <w:top w:w="0" w:type="dxa"/>
              <w:left w:w="108" w:type="dxa"/>
              <w:bottom w:w="0" w:type="dxa"/>
              <w:right w:w="108" w:type="dxa"/>
            </w:tcMar>
          </w:tcPr>
          <w:p w14:paraId="6F05C9BB" w14:textId="1DC3A0E8" w:rsidR="008C0643" w:rsidRPr="00CE28E3" w:rsidRDefault="008C0643" w:rsidP="00F87E43">
            <w:pPr>
              <w:pStyle w:val="TableText"/>
              <w:keepNext/>
              <w:rPr>
                <w:b/>
                <w:bCs/>
              </w:rPr>
            </w:pPr>
            <w:r>
              <w:rPr>
                <w:b/>
                <w:bCs/>
              </w:rPr>
              <w:t xml:space="preserve">MBS Item Description </w:t>
            </w:r>
          </w:p>
        </w:tc>
        <w:tc>
          <w:tcPr>
            <w:tcW w:w="1148" w:type="dxa"/>
            <w:shd w:val="clear" w:color="auto" w:fill="D0CECE" w:themeFill="background2" w:themeFillShade="E6"/>
            <w:tcMar>
              <w:top w:w="0" w:type="dxa"/>
              <w:left w:w="108" w:type="dxa"/>
              <w:bottom w:w="0" w:type="dxa"/>
              <w:right w:w="108" w:type="dxa"/>
            </w:tcMar>
            <w:hideMark/>
          </w:tcPr>
          <w:p w14:paraId="4C19067D" w14:textId="12B92146" w:rsidR="008C0643" w:rsidRPr="00CE28E3" w:rsidRDefault="00FA1324" w:rsidP="00F87E43">
            <w:pPr>
              <w:pStyle w:val="TableText"/>
              <w:keepNext/>
              <w:rPr>
                <w:b/>
                <w:bCs/>
              </w:rPr>
            </w:pPr>
            <w:r w:rsidRPr="00FA1324">
              <w:rPr>
                <w:b/>
                <w:bCs/>
              </w:rPr>
              <w:t>FY</w:t>
            </w:r>
            <w:r w:rsidR="008C0643" w:rsidRPr="00CE28E3">
              <w:rPr>
                <w:b/>
                <w:bCs/>
              </w:rPr>
              <w:t xml:space="preserve"> </w:t>
            </w:r>
            <w:r w:rsidR="008C0643">
              <w:rPr>
                <w:b/>
                <w:bCs/>
              </w:rPr>
              <w:t>2025</w:t>
            </w:r>
            <w:r w:rsidRPr="00FA1324">
              <w:rPr>
                <w:b/>
                <w:bCs/>
              </w:rPr>
              <w:t>-26</w:t>
            </w:r>
          </w:p>
        </w:tc>
        <w:tc>
          <w:tcPr>
            <w:tcW w:w="1148" w:type="dxa"/>
            <w:shd w:val="clear" w:color="auto" w:fill="D0CECE" w:themeFill="background2" w:themeFillShade="E6"/>
            <w:tcMar>
              <w:top w:w="0" w:type="dxa"/>
              <w:left w:w="108" w:type="dxa"/>
              <w:bottom w:w="0" w:type="dxa"/>
              <w:right w:w="108" w:type="dxa"/>
            </w:tcMar>
            <w:hideMark/>
          </w:tcPr>
          <w:p w14:paraId="771AD77A" w14:textId="645CC47A" w:rsidR="008C0643" w:rsidRPr="00CE28E3" w:rsidRDefault="00FA1324" w:rsidP="00F87E43">
            <w:pPr>
              <w:pStyle w:val="TableText"/>
              <w:keepNext/>
              <w:rPr>
                <w:b/>
                <w:bCs/>
              </w:rPr>
            </w:pPr>
            <w:r w:rsidRPr="00FA1324">
              <w:rPr>
                <w:b/>
                <w:bCs/>
              </w:rPr>
              <w:t>FY</w:t>
            </w:r>
            <w:r w:rsidR="008C0643" w:rsidRPr="00CE28E3">
              <w:rPr>
                <w:b/>
                <w:bCs/>
              </w:rPr>
              <w:t xml:space="preserve"> </w:t>
            </w:r>
            <w:r w:rsidR="008C0643">
              <w:rPr>
                <w:b/>
                <w:bCs/>
              </w:rPr>
              <w:t>2026</w:t>
            </w:r>
            <w:r w:rsidRPr="00FA1324">
              <w:rPr>
                <w:b/>
                <w:bCs/>
              </w:rPr>
              <w:t>-27</w:t>
            </w:r>
          </w:p>
        </w:tc>
        <w:tc>
          <w:tcPr>
            <w:tcW w:w="1148" w:type="dxa"/>
            <w:shd w:val="clear" w:color="auto" w:fill="D0CECE" w:themeFill="background2" w:themeFillShade="E6"/>
            <w:tcMar>
              <w:top w:w="0" w:type="dxa"/>
              <w:left w:w="108" w:type="dxa"/>
              <w:bottom w:w="0" w:type="dxa"/>
              <w:right w:w="108" w:type="dxa"/>
            </w:tcMar>
            <w:hideMark/>
          </w:tcPr>
          <w:p w14:paraId="5BC95D01" w14:textId="1B9EC18F" w:rsidR="008C0643" w:rsidRPr="00CE28E3" w:rsidRDefault="00FA1324" w:rsidP="00F87E43">
            <w:pPr>
              <w:pStyle w:val="TableText"/>
              <w:keepNext/>
              <w:rPr>
                <w:b/>
                <w:bCs/>
              </w:rPr>
            </w:pPr>
            <w:r w:rsidRPr="00FA1324">
              <w:rPr>
                <w:b/>
                <w:bCs/>
              </w:rPr>
              <w:t>FY</w:t>
            </w:r>
            <w:r w:rsidR="008C0643" w:rsidRPr="00CE28E3">
              <w:rPr>
                <w:b/>
                <w:bCs/>
              </w:rPr>
              <w:t xml:space="preserve"> </w:t>
            </w:r>
            <w:r w:rsidR="008C0643">
              <w:rPr>
                <w:b/>
                <w:bCs/>
              </w:rPr>
              <w:t>2027</w:t>
            </w:r>
            <w:r w:rsidRPr="00FA1324">
              <w:rPr>
                <w:b/>
                <w:bCs/>
              </w:rPr>
              <w:t>-28</w:t>
            </w:r>
          </w:p>
        </w:tc>
        <w:tc>
          <w:tcPr>
            <w:tcW w:w="1148" w:type="dxa"/>
            <w:shd w:val="clear" w:color="auto" w:fill="D0CECE" w:themeFill="background2" w:themeFillShade="E6"/>
            <w:tcMar>
              <w:top w:w="0" w:type="dxa"/>
              <w:left w:w="108" w:type="dxa"/>
              <w:bottom w:w="0" w:type="dxa"/>
              <w:right w:w="108" w:type="dxa"/>
            </w:tcMar>
            <w:hideMark/>
          </w:tcPr>
          <w:p w14:paraId="5701C89A" w14:textId="6BAE0035" w:rsidR="008C0643" w:rsidRPr="00CE28E3" w:rsidRDefault="00FA1324" w:rsidP="00F87E43">
            <w:pPr>
              <w:pStyle w:val="TableText"/>
              <w:keepNext/>
              <w:rPr>
                <w:b/>
                <w:bCs/>
              </w:rPr>
            </w:pPr>
            <w:r w:rsidRPr="00FA1324">
              <w:rPr>
                <w:b/>
                <w:bCs/>
              </w:rPr>
              <w:t>FY</w:t>
            </w:r>
            <w:r w:rsidR="008C0643" w:rsidRPr="00CE28E3">
              <w:rPr>
                <w:b/>
                <w:bCs/>
              </w:rPr>
              <w:t xml:space="preserve"> </w:t>
            </w:r>
            <w:r w:rsidR="008C0643">
              <w:rPr>
                <w:b/>
                <w:bCs/>
              </w:rPr>
              <w:t>2028</w:t>
            </w:r>
            <w:r w:rsidRPr="00FA1324">
              <w:rPr>
                <w:b/>
                <w:bCs/>
              </w:rPr>
              <w:t>-29</w:t>
            </w:r>
          </w:p>
        </w:tc>
        <w:tc>
          <w:tcPr>
            <w:tcW w:w="1148" w:type="dxa"/>
            <w:shd w:val="clear" w:color="auto" w:fill="D0CECE" w:themeFill="background2" w:themeFillShade="E6"/>
            <w:tcMar>
              <w:top w:w="0" w:type="dxa"/>
              <w:left w:w="108" w:type="dxa"/>
              <w:bottom w:w="0" w:type="dxa"/>
              <w:right w:w="108" w:type="dxa"/>
            </w:tcMar>
            <w:hideMark/>
          </w:tcPr>
          <w:p w14:paraId="7A79A298" w14:textId="0A2A405D" w:rsidR="008C0643" w:rsidRPr="00CE28E3" w:rsidRDefault="00FA1324" w:rsidP="00F87E43">
            <w:pPr>
              <w:pStyle w:val="TableText"/>
              <w:keepNext/>
              <w:rPr>
                <w:b/>
                <w:bCs/>
              </w:rPr>
            </w:pPr>
            <w:r w:rsidRPr="00FA1324">
              <w:rPr>
                <w:b/>
                <w:bCs/>
              </w:rPr>
              <w:t>FY</w:t>
            </w:r>
            <w:r w:rsidR="008C0643" w:rsidRPr="00CE28E3">
              <w:rPr>
                <w:b/>
                <w:bCs/>
              </w:rPr>
              <w:t xml:space="preserve"> </w:t>
            </w:r>
            <w:r w:rsidR="008C0643">
              <w:rPr>
                <w:b/>
                <w:bCs/>
              </w:rPr>
              <w:t>2029</w:t>
            </w:r>
            <w:r w:rsidRPr="00FA1324">
              <w:rPr>
                <w:b/>
                <w:bCs/>
              </w:rPr>
              <w:t>-30</w:t>
            </w:r>
          </w:p>
        </w:tc>
        <w:tc>
          <w:tcPr>
            <w:tcW w:w="1149" w:type="dxa"/>
            <w:shd w:val="clear" w:color="auto" w:fill="D0CECE" w:themeFill="background2" w:themeFillShade="E6"/>
            <w:tcMar>
              <w:top w:w="0" w:type="dxa"/>
              <w:left w:w="108" w:type="dxa"/>
              <w:bottom w:w="0" w:type="dxa"/>
              <w:right w:w="108" w:type="dxa"/>
            </w:tcMar>
            <w:hideMark/>
          </w:tcPr>
          <w:p w14:paraId="275F9B94" w14:textId="52CD053F" w:rsidR="008C0643" w:rsidRPr="00CE28E3" w:rsidRDefault="00FA1324" w:rsidP="00F87E43">
            <w:pPr>
              <w:pStyle w:val="TableText"/>
              <w:keepNext/>
              <w:rPr>
                <w:b/>
                <w:bCs/>
              </w:rPr>
            </w:pPr>
            <w:r w:rsidRPr="00FA1324">
              <w:rPr>
                <w:b/>
                <w:bCs/>
              </w:rPr>
              <w:t>FY</w:t>
            </w:r>
            <w:r w:rsidR="008C0643" w:rsidRPr="00CE28E3">
              <w:rPr>
                <w:b/>
                <w:bCs/>
              </w:rPr>
              <w:t xml:space="preserve"> </w:t>
            </w:r>
            <w:r w:rsidR="008C0643">
              <w:rPr>
                <w:b/>
                <w:bCs/>
              </w:rPr>
              <w:t>2030</w:t>
            </w:r>
            <w:r w:rsidRPr="00FA1324">
              <w:rPr>
                <w:b/>
                <w:bCs/>
              </w:rPr>
              <w:t>-31</w:t>
            </w:r>
          </w:p>
        </w:tc>
      </w:tr>
      <w:tr w:rsidR="00C749F8" w:rsidRPr="00CE28E3" w14:paraId="2F49F372" w14:textId="77777777" w:rsidTr="5F6FEE6A">
        <w:tc>
          <w:tcPr>
            <w:tcW w:w="9006" w:type="dxa"/>
            <w:gridSpan w:val="7"/>
            <w:shd w:val="clear" w:color="auto" w:fill="E7E6E6" w:themeFill="background2"/>
            <w:tcMar>
              <w:top w:w="0" w:type="dxa"/>
              <w:left w:w="108" w:type="dxa"/>
              <w:bottom w:w="0" w:type="dxa"/>
              <w:right w:w="108" w:type="dxa"/>
            </w:tcMar>
          </w:tcPr>
          <w:p w14:paraId="6552A9D3" w14:textId="2DB5B1E0" w:rsidR="00C749F8" w:rsidRPr="00C749F8" w:rsidRDefault="00C749F8" w:rsidP="00F87E43">
            <w:pPr>
              <w:pStyle w:val="TableText"/>
              <w:keepNext/>
              <w:rPr>
                <w:b/>
                <w:bCs/>
              </w:rPr>
            </w:pPr>
            <w:r w:rsidRPr="00C749F8">
              <w:rPr>
                <w:b/>
                <w:bCs/>
              </w:rPr>
              <w:t xml:space="preserve">Estimated volume increases to the MBS </w:t>
            </w:r>
            <w:r w:rsidR="00AA745B">
              <w:rPr>
                <w:b/>
                <w:bCs/>
              </w:rPr>
              <w:t>(ADAR)</w:t>
            </w:r>
          </w:p>
        </w:tc>
      </w:tr>
      <w:tr w:rsidR="00111E1A" w:rsidRPr="00CE28E3" w14:paraId="6A79CABF" w14:textId="77777777" w:rsidTr="5F6FEE6A">
        <w:tc>
          <w:tcPr>
            <w:tcW w:w="2117" w:type="dxa"/>
            <w:tcMar>
              <w:top w:w="0" w:type="dxa"/>
              <w:left w:w="108" w:type="dxa"/>
              <w:bottom w:w="0" w:type="dxa"/>
              <w:right w:w="108" w:type="dxa"/>
            </w:tcMar>
          </w:tcPr>
          <w:p w14:paraId="56436E40" w14:textId="699DF56F" w:rsidR="00111E1A" w:rsidRPr="00C06A00" w:rsidRDefault="00111E1A" w:rsidP="00F87E43">
            <w:pPr>
              <w:pStyle w:val="TableText"/>
              <w:keepNext/>
            </w:pPr>
            <w:r w:rsidRPr="00C06A00">
              <w:t>Injection</w:t>
            </w:r>
            <w:r w:rsidR="008F4F4D">
              <w:t xml:space="preserve"> Administration</w:t>
            </w:r>
          </w:p>
        </w:tc>
        <w:tc>
          <w:tcPr>
            <w:tcW w:w="1148" w:type="dxa"/>
            <w:tcMar>
              <w:top w:w="0" w:type="dxa"/>
              <w:left w:w="108" w:type="dxa"/>
              <w:bottom w:w="0" w:type="dxa"/>
              <w:right w:w="108" w:type="dxa"/>
            </w:tcMar>
          </w:tcPr>
          <w:p w14:paraId="73E96B6F" w14:textId="1E10FF02"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18D160C8" w:rsidRPr="00A50660">
              <w:rPr>
                <w:rFonts w:cstheme="majorBidi"/>
                <w:vertAlign w:val="superscript"/>
              </w:rPr>
              <w:t>1</w:t>
            </w:r>
          </w:p>
        </w:tc>
        <w:tc>
          <w:tcPr>
            <w:tcW w:w="1148" w:type="dxa"/>
            <w:tcMar>
              <w:top w:w="0" w:type="dxa"/>
              <w:left w:w="108" w:type="dxa"/>
              <w:bottom w:w="0" w:type="dxa"/>
              <w:right w:w="108" w:type="dxa"/>
            </w:tcMar>
          </w:tcPr>
          <w:p w14:paraId="5CCB6786" w14:textId="0D13B0D8" w:rsidR="00111E1A" w:rsidRPr="00715B15" w:rsidRDefault="00262412" w:rsidP="00F87E43">
            <w:pPr>
              <w:pStyle w:val="TableText"/>
              <w:keepNext/>
            </w:pPr>
            <w:r w:rsidRPr="5B05C43F">
              <w:rPr>
                <w:rFonts w:eastAsia="Arial Narrow" w:cs="Arial Narrow"/>
              </w:rPr>
              <w:t xml:space="preserve">| </w:t>
            </w:r>
            <w:r w:rsidR="2CD1E1E8" w:rsidRPr="00A50660">
              <w:rPr>
                <w:rFonts w:cstheme="majorBidi"/>
                <w:vertAlign w:val="superscript"/>
              </w:rPr>
              <w:t>1</w:t>
            </w:r>
            <w:r w:rsidR="4017CEE8" w:rsidRPr="5B05C43F">
              <w:rPr>
                <w:rFonts w:cstheme="majorBidi"/>
              </w:rPr>
              <w:t xml:space="preserve"> </w:t>
            </w:r>
          </w:p>
        </w:tc>
        <w:tc>
          <w:tcPr>
            <w:tcW w:w="1148" w:type="dxa"/>
            <w:tcMar>
              <w:top w:w="0" w:type="dxa"/>
              <w:left w:w="108" w:type="dxa"/>
              <w:bottom w:w="0" w:type="dxa"/>
              <w:right w:w="108" w:type="dxa"/>
            </w:tcMar>
          </w:tcPr>
          <w:p w14:paraId="024F7698" w14:textId="4773FC06" w:rsidR="00111E1A" w:rsidRPr="00715B15" w:rsidRDefault="00575A65" w:rsidP="00F87E43">
            <w:pPr>
              <w:pStyle w:val="TableText"/>
              <w:keepNext/>
            </w:pPr>
            <w:r w:rsidRPr="5B05C43F">
              <w:rPr>
                <w:rFonts w:eastAsia="Arial Narrow" w:cs="Arial Narrow"/>
              </w:rPr>
              <w:t>|</w:t>
            </w:r>
            <w:r w:rsidRPr="005A2CE3">
              <w:rPr>
                <w:rFonts w:cstheme="majorBidi"/>
              </w:rPr>
              <w:t xml:space="preserve"> </w:t>
            </w:r>
            <w:r w:rsidR="560D6F63" w:rsidRPr="00A50660">
              <w:rPr>
                <w:rFonts w:cstheme="majorBidi"/>
                <w:vertAlign w:val="superscript"/>
              </w:rPr>
              <w:t>2</w:t>
            </w:r>
          </w:p>
        </w:tc>
        <w:tc>
          <w:tcPr>
            <w:tcW w:w="1148" w:type="dxa"/>
            <w:tcMar>
              <w:top w:w="0" w:type="dxa"/>
              <w:left w:w="108" w:type="dxa"/>
              <w:bottom w:w="0" w:type="dxa"/>
              <w:right w:w="108" w:type="dxa"/>
            </w:tcMar>
          </w:tcPr>
          <w:p w14:paraId="3D8562CF" w14:textId="47985CCD" w:rsidR="00111E1A" w:rsidRPr="00715B15" w:rsidRDefault="00F651CB" w:rsidP="00F87E43">
            <w:pPr>
              <w:pStyle w:val="TableText"/>
              <w:keepNext/>
            </w:pPr>
            <w:r w:rsidRPr="6C95547C">
              <w:rPr>
                <w:rFonts w:eastAsia="Arial Narrow" w:cs="Arial Narrow"/>
              </w:rPr>
              <w:t>|</w:t>
            </w:r>
            <w:r w:rsidRPr="005A2CE3">
              <w:rPr>
                <w:rFonts w:cstheme="majorBidi"/>
              </w:rPr>
              <w:t xml:space="preserve"> </w:t>
            </w:r>
            <w:r w:rsidR="011BB735" w:rsidRPr="00A50660">
              <w:rPr>
                <w:rFonts w:cstheme="majorBidi"/>
                <w:vertAlign w:val="superscript"/>
              </w:rPr>
              <w:t>3</w:t>
            </w:r>
          </w:p>
        </w:tc>
        <w:tc>
          <w:tcPr>
            <w:tcW w:w="1148" w:type="dxa"/>
            <w:tcMar>
              <w:top w:w="0" w:type="dxa"/>
              <w:left w:w="108" w:type="dxa"/>
              <w:bottom w:w="0" w:type="dxa"/>
              <w:right w:w="108" w:type="dxa"/>
            </w:tcMar>
          </w:tcPr>
          <w:p w14:paraId="412C84E1" w14:textId="3B2D1085" w:rsidR="00111E1A" w:rsidRPr="00715B15" w:rsidRDefault="00F651CB" w:rsidP="00F87E43">
            <w:pPr>
              <w:pStyle w:val="TableText"/>
              <w:keepNext/>
            </w:pPr>
            <w:r w:rsidRPr="00BF3C33">
              <w:rPr>
                <w:rFonts w:eastAsia="Arial Narrow" w:cs="Arial Narrow"/>
                <w:szCs w:val="20"/>
              </w:rPr>
              <w:t>|</w:t>
            </w:r>
            <w:r w:rsidRPr="005A2CE3">
              <w:rPr>
                <w:rFonts w:cstheme="majorBidi"/>
              </w:rPr>
              <w:t xml:space="preserve"> </w:t>
            </w:r>
            <w:r w:rsidR="3B914BF9" w:rsidRPr="0A621978">
              <w:rPr>
                <w:rFonts w:cstheme="majorBidi"/>
                <w:vertAlign w:val="superscript"/>
              </w:rPr>
              <w:t>3</w:t>
            </w:r>
          </w:p>
        </w:tc>
        <w:tc>
          <w:tcPr>
            <w:tcW w:w="1149" w:type="dxa"/>
            <w:tcMar>
              <w:top w:w="0" w:type="dxa"/>
              <w:left w:w="108" w:type="dxa"/>
              <w:bottom w:w="0" w:type="dxa"/>
              <w:right w:w="108" w:type="dxa"/>
            </w:tcMar>
          </w:tcPr>
          <w:p w14:paraId="63F288DF" w14:textId="7E6FCD1D" w:rsidR="00111E1A" w:rsidRPr="00715B15" w:rsidRDefault="00F651CB" w:rsidP="00F87E43">
            <w:pPr>
              <w:pStyle w:val="TableText"/>
              <w:keepNext/>
            </w:pPr>
            <w:r w:rsidRPr="63BD7BEB">
              <w:rPr>
                <w:rFonts w:eastAsia="Arial Narrow" w:cs="Arial Narrow"/>
              </w:rPr>
              <w:t>|</w:t>
            </w:r>
            <w:r w:rsidRPr="005A2CE3">
              <w:rPr>
                <w:rFonts w:cstheme="majorBidi"/>
              </w:rPr>
              <w:t xml:space="preserve"> </w:t>
            </w:r>
            <w:r w:rsidR="4C8C3DF4" w:rsidRPr="63BD7BEB">
              <w:rPr>
                <w:rFonts w:cstheme="majorBidi"/>
                <w:vertAlign w:val="superscript"/>
              </w:rPr>
              <w:t>3</w:t>
            </w:r>
          </w:p>
        </w:tc>
      </w:tr>
      <w:tr w:rsidR="00111E1A" w:rsidRPr="00CE28E3" w14:paraId="04FC92DD" w14:textId="77777777" w:rsidTr="5F6FEE6A">
        <w:tc>
          <w:tcPr>
            <w:tcW w:w="2117" w:type="dxa"/>
            <w:tcMar>
              <w:top w:w="0" w:type="dxa"/>
              <w:left w:w="108" w:type="dxa"/>
              <w:bottom w:w="0" w:type="dxa"/>
              <w:right w:w="108" w:type="dxa"/>
            </w:tcMar>
          </w:tcPr>
          <w:p w14:paraId="5D63E544" w14:textId="5D84A7E5" w:rsidR="00111E1A" w:rsidRPr="00C06A00" w:rsidRDefault="00111E1A" w:rsidP="00F87E43">
            <w:pPr>
              <w:pStyle w:val="TableText"/>
              <w:keepNext/>
            </w:pPr>
            <w:r w:rsidRPr="00C06A00">
              <w:t>Consultation</w:t>
            </w:r>
          </w:p>
        </w:tc>
        <w:tc>
          <w:tcPr>
            <w:tcW w:w="1148" w:type="dxa"/>
            <w:tcMar>
              <w:top w:w="0" w:type="dxa"/>
              <w:left w:w="108" w:type="dxa"/>
              <w:bottom w:w="0" w:type="dxa"/>
              <w:right w:w="108" w:type="dxa"/>
            </w:tcMar>
          </w:tcPr>
          <w:p w14:paraId="5C5F4069" w14:textId="221CD470" w:rsidR="00111E1A" w:rsidRPr="00715B15" w:rsidRDefault="00646F8B" w:rsidP="00F87E43">
            <w:pPr>
              <w:pStyle w:val="TableText"/>
              <w:keepNext/>
            </w:pPr>
            <w:r w:rsidRPr="5F6FEE6A">
              <w:rPr>
                <w:rFonts w:eastAsia="Arial Narrow" w:cs="Arial Narrow"/>
              </w:rPr>
              <w:t>|</w:t>
            </w:r>
            <w:r w:rsidRPr="5F6FEE6A">
              <w:rPr>
                <w:rFonts w:cstheme="majorBidi"/>
              </w:rPr>
              <w:t xml:space="preserve"> </w:t>
            </w:r>
            <w:r w:rsidR="14C21A09" w:rsidRPr="00A50660">
              <w:rPr>
                <w:rFonts w:cstheme="majorBidi"/>
                <w:vertAlign w:val="superscript"/>
              </w:rPr>
              <w:t>4</w:t>
            </w:r>
          </w:p>
        </w:tc>
        <w:tc>
          <w:tcPr>
            <w:tcW w:w="1148" w:type="dxa"/>
            <w:tcMar>
              <w:top w:w="0" w:type="dxa"/>
              <w:left w:w="108" w:type="dxa"/>
              <w:bottom w:w="0" w:type="dxa"/>
              <w:right w:w="108" w:type="dxa"/>
            </w:tcMar>
          </w:tcPr>
          <w:p w14:paraId="4D36ECC3" w14:textId="470E8CC0"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7032721B" w:rsidRPr="5B05C43F">
              <w:rPr>
                <w:rFonts w:cstheme="majorBidi"/>
                <w:vertAlign w:val="superscript"/>
              </w:rPr>
              <w:t>1</w:t>
            </w:r>
          </w:p>
        </w:tc>
        <w:tc>
          <w:tcPr>
            <w:tcW w:w="1148" w:type="dxa"/>
            <w:tcMar>
              <w:top w:w="0" w:type="dxa"/>
              <w:left w:w="108" w:type="dxa"/>
              <w:bottom w:w="0" w:type="dxa"/>
              <w:right w:w="108" w:type="dxa"/>
            </w:tcMar>
          </w:tcPr>
          <w:p w14:paraId="4F25CEE7" w14:textId="143A8735"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78500F21" w:rsidRPr="5B05C43F">
              <w:rPr>
                <w:rFonts w:cstheme="majorBidi"/>
                <w:vertAlign w:val="superscript"/>
              </w:rPr>
              <w:t>1</w:t>
            </w:r>
          </w:p>
        </w:tc>
        <w:tc>
          <w:tcPr>
            <w:tcW w:w="1148" w:type="dxa"/>
            <w:tcMar>
              <w:top w:w="0" w:type="dxa"/>
              <w:left w:w="108" w:type="dxa"/>
              <w:bottom w:w="0" w:type="dxa"/>
              <w:right w:w="108" w:type="dxa"/>
            </w:tcMar>
          </w:tcPr>
          <w:p w14:paraId="787F5A7E" w14:textId="2461AD7C"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07F912FB" w:rsidRPr="5B05C43F">
              <w:rPr>
                <w:rFonts w:cstheme="majorBidi"/>
                <w:vertAlign w:val="superscript"/>
              </w:rPr>
              <w:t>1</w:t>
            </w:r>
          </w:p>
        </w:tc>
        <w:tc>
          <w:tcPr>
            <w:tcW w:w="1148" w:type="dxa"/>
            <w:tcMar>
              <w:top w:w="0" w:type="dxa"/>
              <w:left w:w="108" w:type="dxa"/>
              <w:bottom w:w="0" w:type="dxa"/>
              <w:right w:w="108" w:type="dxa"/>
            </w:tcMar>
          </w:tcPr>
          <w:p w14:paraId="48BF872A" w14:textId="52492E7C" w:rsidR="00111E1A" w:rsidRPr="00715B15" w:rsidRDefault="00575A65" w:rsidP="00F87E43">
            <w:pPr>
              <w:pStyle w:val="TableText"/>
              <w:keepNext/>
            </w:pPr>
            <w:r w:rsidRPr="5B05C43F">
              <w:rPr>
                <w:rFonts w:eastAsia="Arial Narrow" w:cs="Arial Narrow"/>
              </w:rPr>
              <w:t>|</w:t>
            </w:r>
            <w:r w:rsidRPr="005A2CE3">
              <w:rPr>
                <w:rFonts w:cstheme="majorBidi"/>
              </w:rPr>
              <w:t xml:space="preserve"> </w:t>
            </w:r>
            <w:r w:rsidR="24EB82E2" w:rsidRPr="5B05C43F">
              <w:rPr>
                <w:rFonts w:cstheme="majorBidi"/>
                <w:vertAlign w:val="superscript"/>
              </w:rPr>
              <w:t>2</w:t>
            </w:r>
          </w:p>
        </w:tc>
        <w:tc>
          <w:tcPr>
            <w:tcW w:w="1149" w:type="dxa"/>
            <w:tcMar>
              <w:top w:w="0" w:type="dxa"/>
              <w:left w:w="108" w:type="dxa"/>
              <w:bottom w:w="0" w:type="dxa"/>
              <w:right w:w="108" w:type="dxa"/>
            </w:tcMar>
          </w:tcPr>
          <w:p w14:paraId="76B1259B" w14:textId="5C892CFA" w:rsidR="00111E1A" w:rsidRPr="00715B15" w:rsidRDefault="00575A65" w:rsidP="00F87E43">
            <w:pPr>
              <w:pStyle w:val="TableText"/>
              <w:keepNext/>
            </w:pPr>
            <w:r w:rsidRPr="5B05C43F">
              <w:rPr>
                <w:rFonts w:eastAsia="Arial Narrow" w:cs="Arial Narrow"/>
              </w:rPr>
              <w:t>|</w:t>
            </w:r>
            <w:r w:rsidRPr="005A2CE3">
              <w:rPr>
                <w:rFonts w:cstheme="majorBidi"/>
              </w:rPr>
              <w:t xml:space="preserve"> </w:t>
            </w:r>
            <w:r w:rsidR="29CC6071" w:rsidRPr="5B05C43F">
              <w:rPr>
                <w:rFonts w:cstheme="majorBidi"/>
                <w:vertAlign w:val="superscript"/>
              </w:rPr>
              <w:t>2</w:t>
            </w:r>
          </w:p>
        </w:tc>
      </w:tr>
      <w:tr w:rsidR="00111E1A" w:rsidRPr="00CE28E3" w14:paraId="05F0302D" w14:textId="77777777" w:rsidTr="5F6FEE6A">
        <w:tc>
          <w:tcPr>
            <w:tcW w:w="2117" w:type="dxa"/>
            <w:tcMar>
              <w:top w:w="0" w:type="dxa"/>
              <w:left w:w="108" w:type="dxa"/>
              <w:bottom w:w="0" w:type="dxa"/>
              <w:right w:w="108" w:type="dxa"/>
            </w:tcMar>
          </w:tcPr>
          <w:p w14:paraId="689ADCF5" w14:textId="3BD45188" w:rsidR="00111E1A" w:rsidRPr="00C06A00" w:rsidRDefault="00111E1A" w:rsidP="00F87E43">
            <w:pPr>
              <w:pStyle w:val="TableText"/>
              <w:keepNext/>
            </w:pPr>
            <w:r w:rsidRPr="00C06A00">
              <w:t>Ultrasound - Adult</w:t>
            </w:r>
          </w:p>
        </w:tc>
        <w:tc>
          <w:tcPr>
            <w:tcW w:w="1148" w:type="dxa"/>
            <w:tcMar>
              <w:top w:w="0" w:type="dxa"/>
              <w:left w:w="108" w:type="dxa"/>
              <w:bottom w:w="0" w:type="dxa"/>
              <w:right w:w="108" w:type="dxa"/>
            </w:tcMar>
          </w:tcPr>
          <w:p w14:paraId="181B9772" w14:textId="158F5C2C" w:rsidR="00111E1A" w:rsidRPr="00715B15" w:rsidRDefault="00646F8B" w:rsidP="00F87E43">
            <w:pPr>
              <w:pStyle w:val="TableText"/>
              <w:keepNext/>
            </w:pPr>
            <w:r w:rsidRPr="5F6FEE6A">
              <w:rPr>
                <w:rFonts w:eastAsia="Arial Narrow" w:cs="Arial Narrow"/>
              </w:rPr>
              <w:t>|</w:t>
            </w:r>
            <w:r w:rsidRPr="5F6FEE6A">
              <w:rPr>
                <w:rFonts w:cstheme="majorBidi"/>
              </w:rPr>
              <w:t xml:space="preserve"> </w:t>
            </w:r>
            <w:r w:rsidR="264BFA28" w:rsidRPr="5F6FEE6A">
              <w:rPr>
                <w:rFonts w:cstheme="majorBidi"/>
                <w:vertAlign w:val="superscript"/>
              </w:rPr>
              <w:t>4</w:t>
            </w:r>
          </w:p>
        </w:tc>
        <w:tc>
          <w:tcPr>
            <w:tcW w:w="1148" w:type="dxa"/>
            <w:tcMar>
              <w:top w:w="0" w:type="dxa"/>
              <w:left w:w="108" w:type="dxa"/>
              <w:bottom w:w="0" w:type="dxa"/>
              <w:right w:w="108" w:type="dxa"/>
            </w:tcMar>
          </w:tcPr>
          <w:p w14:paraId="758DAE3A" w14:textId="37CFC64C"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4EED0EFD" w:rsidRPr="5B05C43F">
              <w:rPr>
                <w:rFonts w:cstheme="majorBidi"/>
                <w:vertAlign w:val="superscript"/>
              </w:rPr>
              <w:t>1</w:t>
            </w:r>
          </w:p>
        </w:tc>
        <w:tc>
          <w:tcPr>
            <w:tcW w:w="1148" w:type="dxa"/>
            <w:tcMar>
              <w:top w:w="0" w:type="dxa"/>
              <w:left w:w="108" w:type="dxa"/>
              <w:bottom w:w="0" w:type="dxa"/>
              <w:right w:w="108" w:type="dxa"/>
            </w:tcMar>
          </w:tcPr>
          <w:p w14:paraId="5761E1A7" w14:textId="38F721EF"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52274286" w:rsidRPr="5B05C43F">
              <w:rPr>
                <w:rFonts w:cstheme="majorBidi"/>
                <w:vertAlign w:val="superscript"/>
              </w:rPr>
              <w:t>1</w:t>
            </w:r>
          </w:p>
        </w:tc>
        <w:tc>
          <w:tcPr>
            <w:tcW w:w="1148" w:type="dxa"/>
            <w:tcMar>
              <w:top w:w="0" w:type="dxa"/>
              <w:left w:w="108" w:type="dxa"/>
              <w:bottom w:w="0" w:type="dxa"/>
              <w:right w:w="108" w:type="dxa"/>
            </w:tcMar>
          </w:tcPr>
          <w:p w14:paraId="611AA3CD" w14:textId="7BDD9CDF"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3E378C56" w:rsidRPr="5B05C43F">
              <w:rPr>
                <w:rFonts w:cstheme="majorBidi"/>
                <w:vertAlign w:val="superscript"/>
              </w:rPr>
              <w:t>1</w:t>
            </w:r>
          </w:p>
        </w:tc>
        <w:tc>
          <w:tcPr>
            <w:tcW w:w="1148" w:type="dxa"/>
            <w:tcMar>
              <w:top w:w="0" w:type="dxa"/>
              <w:left w:w="108" w:type="dxa"/>
              <w:bottom w:w="0" w:type="dxa"/>
              <w:right w:w="108" w:type="dxa"/>
            </w:tcMar>
          </w:tcPr>
          <w:p w14:paraId="560ACB09" w14:textId="7FD8090D" w:rsidR="00111E1A" w:rsidRPr="00715B15" w:rsidRDefault="00575A65" w:rsidP="00F87E43">
            <w:pPr>
              <w:pStyle w:val="TableText"/>
              <w:keepNext/>
            </w:pPr>
            <w:r w:rsidRPr="5B05C43F">
              <w:rPr>
                <w:rFonts w:eastAsia="Arial Narrow" w:cs="Arial Narrow"/>
              </w:rPr>
              <w:t>|</w:t>
            </w:r>
            <w:r w:rsidRPr="005A2CE3">
              <w:rPr>
                <w:rFonts w:cstheme="majorBidi"/>
              </w:rPr>
              <w:t xml:space="preserve"> </w:t>
            </w:r>
            <w:r w:rsidR="42CDFECA" w:rsidRPr="5B05C43F">
              <w:rPr>
                <w:rFonts w:cstheme="majorBidi"/>
                <w:vertAlign w:val="superscript"/>
              </w:rPr>
              <w:t>2</w:t>
            </w:r>
          </w:p>
        </w:tc>
        <w:tc>
          <w:tcPr>
            <w:tcW w:w="1149" w:type="dxa"/>
            <w:tcMar>
              <w:top w:w="0" w:type="dxa"/>
              <w:left w:w="108" w:type="dxa"/>
              <w:bottom w:w="0" w:type="dxa"/>
              <w:right w:w="108" w:type="dxa"/>
            </w:tcMar>
          </w:tcPr>
          <w:p w14:paraId="771BF0C2" w14:textId="1DE0233F" w:rsidR="00111E1A" w:rsidRPr="00715B15" w:rsidRDefault="00575A65" w:rsidP="00F87E43">
            <w:pPr>
              <w:pStyle w:val="TableText"/>
              <w:keepNext/>
            </w:pPr>
            <w:r w:rsidRPr="5B05C43F">
              <w:rPr>
                <w:rFonts w:eastAsia="Arial Narrow" w:cs="Arial Narrow"/>
              </w:rPr>
              <w:t>|</w:t>
            </w:r>
            <w:r w:rsidRPr="005A2CE3">
              <w:rPr>
                <w:rFonts w:cstheme="majorBidi"/>
              </w:rPr>
              <w:t xml:space="preserve"> </w:t>
            </w:r>
            <w:r w:rsidR="64DF47F1" w:rsidRPr="5B05C43F">
              <w:rPr>
                <w:rFonts w:cstheme="majorBidi"/>
                <w:vertAlign w:val="superscript"/>
              </w:rPr>
              <w:t>2</w:t>
            </w:r>
          </w:p>
        </w:tc>
      </w:tr>
      <w:tr w:rsidR="00111E1A" w:rsidRPr="00CE28E3" w14:paraId="21498B89" w14:textId="77777777" w:rsidTr="5F6FEE6A">
        <w:tc>
          <w:tcPr>
            <w:tcW w:w="2117" w:type="dxa"/>
            <w:tcMar>
              <w:top w:w="0" w:type="dxa"/>
              <w:left w:w="108" w:type="dxa"/>
              <w:bottom w:w="0" w:type="dxa"/>
              <w:right w:w="108" w:type="dxa"/>
            </w:tcMar>
          </w:tcPr>
          <w:p w14:paraId="6A74DED3" w14:textId="44C21607" w:rsidR="00111E1A" w:rsidRPr="00C06A00" w:rsidRDefault="00111E1A" w:rsidP="00F87E43">
            <w:pPr>
              <w:pStyle w:val="TableText"/>
              <w:keepNext/>
            </w:pPr>
            <w:r w:rsidRPr="00C06A00">
              <w:t>Ultrasound - Paediatric</w:t>
            </w:r>
          </w:p>
        </w:tc>
        <w:tc>
          <w:tcPr>
            <w:tcW w:w="1148" w:type="dxa"/>
            <w:tcMar>
              <w:top w:w="0" w:type="dxa"/>
              <w:left w:w="108" w:type="dxa"/>
              <w:bottom w:w="0" w:type="dxa"/>
              <w:right w:w="108" w:type="dxa"/>
            </w:tcMar>
          </w:tcPr>
          <w:p w14:paraId="20953280" w14:textId="3AB4F48A" w:rsidR="00111E1A" w:rsidRPr="00715B15" w:rsidRDefault="00646F8B" w:rsidP="00F87E43">
            <w:pPr>
              <w:pStyle w:val="TableText"/>
              <w:keepNext/>
            </w:pPr>
            <w:r w:rsidRPr="5F6FEE6A">
              <w:rPr>
                <w:rFonts w:eastAsia="Arial Narrow" w:cs="Arial Narrow"/>
              </w:rPr>
              <w:t>|</w:t>
            </w:r>
            <w:r w:rsidRPr="5F6FEE6A">
              <w:rPr>
                <w:rFonts w:cstheme="majorBidi"/>
              </w:rPr>
              <w:t xml:space="preserve"> </w:t>
            </w:r>
            <w:r w:rsidR="24444CC4" w:rsidRPr="5F6FEE6A">
              <w:rPr>
                <w:rFonts w:cstheme="majorBidi"/>
                <w:vertAlign w:val="superscript"/>
              </w:rPr>
              <w:t>4</w:t>
            </w:r>
          </w:p>
        </w:tc>
        <w:tc>
          <w:tcPr>
            <w:tcW w:w="1148" w:type="dxa"/>
            <w:tcMar>
              <w:top w:w="0" w:type="dxa"/>
              <w:left w:w="108" w:type="dxa"/>
              <w:bottom w:w="0" w:type="dxa"/>
              <w:right w:w="108" w:type="dxa"/>
            </w:tcMar>
          </w:tcPr>
          <w:p w14:paraId="16BF16EB" w14:textId="4B162501"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42FE795A" w:rsidRPr="5B05C43F">
              <w:rPr>
                <w:rFonts w:cstheme="majorBidi"/>
                <w:vertAlign w:val="superscript"/>
              </w:rPr>
              <w:t>1</w:t>
            </w:r>
          </w:p>
        </w:tc>
        <w:tc>
          <w:tcPr>
            <w:tcW w:w="1148" w:type="dxa"/>
            <w:tcMar>
              <w:top w:w="0" w:type="dxa"/>
              <w:left w:w="108" w:type="dxa"/>
              <w:bottom w:w="0" w:type="dxa"/>
              <w:right w:w="108" w:type="dxa"/>
            </w:tcMar>
          </w:tcPr>
          <w:p w14:paraId="3BDEF49C" w14:textId="2B966D28"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4EEB121F" w:rsidRPr="5B05C43F">
              <w:rPr>
                <w:rFonts w:cstheme="majorBidi"/>
                <w:vertAlign w:val="superscript"/>
              </w:rPr>
              <w:t>1</w:t>
            </w:r>
          </w:p>
        </w:tc>
        <w:tc>
          <w:tcPr>
            <w:tcW w:w="1148" w:type="dxa"/>
            <w:tcMar>
              <w:top w:w="0" w:type="dxa"/>
              <w:left w:w="108" w:type="dxa"/>
              <w:bottom w:w="0" w:type="dxa"/>
              <w:right w:w="108" w:type="dxa"/>
            </w:tcMar>
          </w:tcPr>
          <w:p w14:paraId="735AEA32" w14:textId="44E6708C"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58AFBCEC" w:rsidRPr="5B05C43F">
              <w:rPr>
                <w:rFonts w:cstheme="majorBidi"/>
                <w:vertAlign w:val="superscript"/>
              </w:rPr>
              <w:t>1</w:t>
            </w:r>
          </w:p>
        </w:tc>
        <w:tc>
          <w:tcPr>
            <w:tcW w:w="1148" w:type="dxa"/>
            <w:tcMar>
              <w:top w:w="0" w:type="dxa"/>
              <w:left w:w="108" w:type="dxa"/>
              <w:bottom w:w="0" w:type="dxa"/>
              <w:right w:w="108" w:type="dxa"/>
            </w:tcMar>
          </w:tcPr>
          <w:p w14:paraId="01D78517" w14:textId="57787C9B"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673895E9" w:rsidRPr="5B05C43F">
              <w:rPr>
                <w:rFonts w:cstheme="majorBidi"/>
                <w:vertAlign w:val="superscript"/>
              </w:rPr>
              <w:t>1</w:t>
            </w:r>
          </w:p>
        </w:tc>
        <w:tc>
          <w:tcPr>
            <w:tcW w:w="1149" w:type="dxa"/>
            <w:tcMar>
              <w:top w:w="0" w:type="dxa"/>
              <w:left w:w="108" w:type="dxa"/>
              <w:bottom w:w="0" w:type="dxa"/>
              <w:right w:w="108" w:type="dxa"/>
            </w:tcMar>
          </w:tcPr>
          <w:p w14:paraId="44197FD3" w14:textId="445126AB" w:rsidR="00111E1A" w:rsidRPr="00715B15" w:rsidRDefault="00262412" w:rsidP="00F87E43">
            <w:pPr>
              <w:pStyle w:val="TableText"/>
              <w:keepNext/>
            </w:pPr>
            <w:r w:rsidRPr="5B05C43F">
              <w:rPr>
                <w:rFonts w:eastAsia="Arial Narrow" w:cs="Arial Narrow"/>
              </w:rPr>
              <w:t>|</w:t>
            </w:r>
            <w:r w:rsidRPr="005A2CE3">
              <w:rPr>
                <w:rFonts w:cstheme="majorBidi"/>
              </w:rPr>
              <w:t xml:space="preserve"> </w:t>
            </w:r>
            <w:r w:rsidR="70141725" w:rsidRPr="5B05C43F">
              <w:rPr>
                <w:rFonts w:cstheme="majorBidi"/>
                <w:vertAlign w:val="superscript"/>
              </w:rPr>
              <w:t>1</w:t>
            </w:r>
          </w:p>
        </w:tc>
      </w:tr>
      <w:tr w:rsidR="00111E1A" w:rsidRPr="00CE28E3" w14:paraId="4514F4C1" w14:textId="77777777" w:rsidTr="5F6FEE6A">
        <w:tc>
          <w:tcPr>
            <w:tcW w:w="2117" w:type="dxa"/>
            <w:tcMar>
              <w:top w:w="0" w:type="dxa"/>
              <w:left w:w="108" w:type="dxa"/>
              <w:bottom w:w="0" w:type="dxa"/>
              <w:right w:w="108" w:type="dxa"/>
            </w:tcMar>
          </w:tcPr>
          <w:p w14:paraId="05595653" w14:textId="2F0EFBF7" w:rsidR="00111E1A" w:rsidRPr="005B6C53" w:rsidRDefault="00111E1A" w:rsidP="00F87E43">
            <w:pPr>
              <w:pStyle w:val="TableText"/>
              <w:keepNext/>
              <w:rPr>
                <w:b/>
                <w:bCs/>
              </w:rPr>
            </w:pPr>
            <w:r w:rsidRPr="005B6C53">
              <w:rPr>
                <w:b/>
                <w:bCs/>
              </w:rPr>
              <w:t>Total MBS services</w:t>
            </w:r>
          </w:p>
        </w:tc>
        <w:tc>
          <w:tcPr>
            <w:tcW w:w="1148" w:type="dxa"/>
            <w:tcMar>
              <w:top w:w="0" w:type="dxa"/>
              <w:left w:w="108" w:type="dxa"/>
              <w:bottom w:w="0" w:type="dxa"/>
              <w:right w:w="108" w:type="dxa"/>
            </w:tcMar>
          </w:tcPr>
          <w:p w14:paraId="4F515EA1" w14:textId="78453839" w:rsidR="00111E1A" w:rsidRPr="005B6C53" w:rsidRDefault="00262412" w:rsidP="00F87E43">
            <w:pPr>
              <w:pStyle w:val="TableText"/>
              <w:keepNext/>
              <w:rPr>
                <w:b/>
                <w:bCs/>
              </w:rPr>
            </w:pPr>
            <w:r w:rsidRPr="5B05C43F">
              <w:rPr>
                <w:rFonts w:eastAsia="Arial Narrow" w:cs="Arial Narrow"/>
              </w:rPr>
              <w:t>|</w:t>
            </w:r>
            <w:r w:rsidRPr="005A2CE3">
              <w:rPr>
                <w:rFonts w:cstheme="majorBidi"/>
              </w:rPr>
              <w:t xml:space="preserve"> </w:t>
            </w:r>
            <w:r w:rsidR="11696EDD" w:rsidRPr="5B05C43F">
              <w:rPr>
                <w:rFonts w:cstheme="majorBidi"/>
                <w:vertAlign w:val="superscript"/>
              </w:rPr>
              <w:t>1</w:t>
            </w:r>
          </w:p>
        </w:tc>
        <w:tc>
          <w:tcPr>
            <w:tcW w:w="1148" w:type="dxa"/>
            <w:tcMar>
              <w:top w:w="0" w:type="dxa"/>
              <w:left w:w="108" w:type="dxa"/>
              <w:bottom w:w="0" w:type="dxa"/>
              <w:right w:w="108" w:type="dxa"/>
            </w:tcMar>
          </w:tcPr>
          <w:p w14:paraId="7FA83454" w14:textId="128AD533" w:rsidR="00111E1A" w:rsidRPr="005B6C53" w:rsidRDefault="00262412" w:rsidP="00F87E43">
            <w:pPr>
              <w:pStyle w:val="TableText"/>
              <w:keepNext/>
              <w:rPr>
                <w:b/>
                <w:bCs/>
              </w:rPr>
            </w:pPr>
            <w:r w:rsidRPr="5B05C43F">
              <w:rPr>
                <w:rFonts w:eastAsia="Arial Narrow" w:cs="Arial Narrow"/>
              </w:rPr>
              <w:t>|</w:t>
            </w:r>
            <w:r w:rsidRPr="005A2CE3">
              <w:rPr>
                <w:rFonts w:cstheme="majorBidi"/>
              </w:rPr>
              <w:t xml:space="preserve"> </w:t>
            </w:r>
            <w:r w:rsidR="74E2394C" w:rsidRPr="5B05C43F">
              <w:rPr>
                <w:rFonts w:cstheme="majorBidi"/>
                <w:vertAlign w:val="superscript"/>
              </w:rPr>
              <w:t>1</w:t>
            </w:r>
          </w:p>
        </w:tc>
        <w:tc>
          <w:tcPr>
            <w:tcW w:w="1148" w:type="dxa"/>
            <w:tcMar>
              <w:top w:w="0" w:type="dxa"/>
              <w:left w:w="108" w:type="dxa"/>
              <w:bottom w:w="0" w:type="dxa"/>
              <w:right w:w="108" w:type="dxa"/>
            </w:tcMar>
          </w:tcPr>
          <w:p w14:paraId="72EC85A8" w14:textId="7321CDFB" w:rsidR="00111E1A" w:rsidRPr="005B6C53" w:rsidRDefault="36B30C96" w:rsidP="00F87E43">
            <w:pPr>
              <w:pStyle w:val="TableText"/>
              <w:keepNext/>
              <w:rPr>
                <w:b/>
                <w:bCs/>
              </w:rPr>
            </w:pPr>
            <w:r w:rsidRPr="00BF3C33">
              <w:rPr>
                <w:rFonts w:eastAsia="Arial Narrow" w:cs="Arial Narrow"/>
                <w:szCs w:val="20"/>
              </w:rPr>
              <w:t>|</w:t>
            </w:r>
            <w:r w:rsidRPr="4A326C2A">
              <w:rPr>
                <w:rFonts w:cstheme="majorBidi"/>
              </w:rPr>
              <w:t xml:space="preserve"> </w:t>
            </w:r>
            <w:r w:rsidR="184FCB9C" w:rsidRPr="4A326C2A">
              <w:rPr>
                <w:rFonts w:cstheme="majorBidi"/>
                <w:vertAlign w:val="superscript"/>
              </w:rPr>
              <w:t>3</w:t>
            </w:r>
          </w:p>
        </w:tc>
        <w:tc>
          <w:tcPr>
            <w:tcW w:w="1148" w:type="dxa"/>
            <w:tcMar>
              <w:top w:w="0" w:type="dxa"/>
              <w:left w:w="108" w:type="dxa"/>
              <w:bottom w:w="0" w:type="dxa"/>
              <w:right w:w="108" w:type="dxa"/>
            </w:tcMar>
          </w:tcPr>
          <w:p w14:paraId="76D063B5" w14:textId="72E808D2" w:rsidR="00111E1A" w:rsidRPr="005B6C53" w:rsidRDefault="00123C1C" w:rsidP="00F87E43">
            <w:pPr>
              <w:pStyle w:val="TableText"/>
              <w:keepNext/>
              <w:rPr>
                <w:b/>
                <w:bCs/>
              </w:rPr>
            </w:pPr>
            <w:r w:rsidRPr="00BF3C33">
              <w:rPr>
                <w:rFonts w:eastAsia="Arial Narrow" w:cs="Arial Narrow"/>
                <w:szCs w:val="20"/>
              </w:rPr>
              <w:t>|</w:t>
            </w:r>
            <w:r w:rsidRPr="005A2CE3">
              <w:rPr>
                <w:rFonts w:cstheme="majorBidi"/>
              </w:rPr>
              <w:t xml:space="preserve"> </w:t>
            </w:r>
            <w:r w:rsidRPr="005B516B">
              <w:rPr>
                <w:rFonts w:cstheme="majorBidi"/>
                <w:vertAlign w:val="superscript"/>
              </w:rPr>
              <w:t>5</w:t>
            </w:r>
          </w:p>
        </w:tc>
        <w:tc>
          <w:tcPr>
            <w:tcW w:w="1148" w:type="dxa"/>
            <w:tcMar>
              <w:top w:w="0" w:type="dxa"/>
              <w:left w:w="108" w:type="dxa"/>
              <w:bottom w:w="0" w:type="dxa"/>
              <w:right w:w="108" w:type="dxa"/>
            </w:tcMar>
          </w:tcPr>
          <w:p w14:paraId="338E0353" w14:textId="4AA75D32" w:rsidR="00111E1A" w:rsidRPr="005B6C53" w:rsidRDefault="00282AEA" w:rsidP="00F87E43">
            <w:pPr>
              <w:pStyle w:val="TableText"/>
              <w:keepNext/>
              <w:rPr>
                <w:b/>
                <w:bCs/>
              </w:rPr>
            </w:pPr>
            <w:r w:rsidRPr="00BF3C33">
              <w:rPr>
                <w:rFonts w:eastAsia="Arial Narrow" w:cs="Arial Narrow"/>
                <w:szCs w:val="20"/>
              </w:rPr>
              <w:t>|</w:t>
            </w:r>
            <w:r>
              <w:rPr>
                <w:rFonts w:eastAsia="Arial Narrow" w:cs="Arial Narrow"/>
                <w:szCs w:val="20"/>
              </w:rPr>
              <w:t xml:space="preserve"> </w:t>
            </w:r>
            <w:r w:rsidRPr="00672AA4">
              <w:rPr>
                <w:rFonts w:cstheme="majorBidi"/>
                <w:vertAlign w:val="superscript"/>
              </w:rPr>
              <w:t>6</w:t>
            </w:r>
          </w:p>
        </w:tc>
        <w:tc>
          <w:tcPr>
            <w:tcW w:w="1149" w:type="dxa"/>
            <w:tcMar>
              <w:top w:w="0" w:type="dxa"/>
              <w:left w:w="108" w:type="dxa"/>
              <w:bottom w:w="0" w:type="dxa"/>
              <w:right w:w="108" w:type="dxa"/>
            </w:tcMar>
          </w:tcPr>
          <w:p w14:paraId="6A2268A2" w14:textId="11AF1937" w:rsidR="00111E1A" w:rsidRPr="005B6C53" w:rsidRDefault="00282AEA" w:rsidP="00F87E43">
            <w:pPr>
              <w:pStyle w:val="TableText"/>
              <w:keepNext/>
              <w:rPr>
                <w:b/>
                <w:bCs/>
              </w:rPr>
            </w:pPr>
            <w:r w:rsidRPr="00BF3C33">
              <w:rPr>
                <w:rFonts w:eastAsia="Arial Narrow" w:cs="Arial Narrow"/>
                <w:szCs w:val="20"/>
              </w:rPr>
              <w:t>|</w:t>
            </w:r>
            <w:r>
              <w:rPr>
                <w:rFonts w:eastAsia="Arial Narrow" w:cs="Arial Narrow"/>
                <w:szCs w:val="20"/>
              </w:rPr>
              <w:t xml:space="preserve"> </w:t>
            </w:r>
            <w:r w:rsidRPr="00672AA4">
              <w:rPr>
                <w:rFonts w:cstheme="majorBidi"/>
                <w:vertAlign w:val="superscript"/>
              </w:rPr>
              <w:t>6</w:t>
            </w:r>
          </w:p>
        </w:tc>
      </w:tr>
      <w:tr w:rsidR="00AA745B" w:rsidRPr="00ED0616" w14:paraId="27677562" w14:textId="77777777" w:rsidTr="5F6FEE6A">
        <w:tc>
          <w:tcPr>
            <w:tcW w:w="9006" w:type="dxa"/>
            <w:gridSpan w:val="7"/>
            <w:tcMar>
              <w:top w:w="0" w:type="dxa"/>
              <w:left w:w="108" w:type="dxa"/>
              <w:bottom w:w="0" w:type="dxa"/>
              <w:right w:w="108" w:type="dxa"/>
            </w:tcMar>
          </w:tcPr>
          <w:p w14:paraId="0111EAC0" w14:textId="1A7E27B3" w:rsidR="00AA745B" w:rsidRPr="00975BEE" w:rsidRDefault="00AA745B" w:rsidP="00AA745B">
            <w:pPr>
              <w:pStyle w:val="TableText"/>
              <w:keepNext/>
              <w:rPr>
                <w:b/>
                <w:bCs/>
              </w:rPr>
            </w:pPr>
            <w:r w:rsidRPr="004D286C">
              <w:rPr>
                <w:b/>
                <w:bCs/>
              </w:rPr>
              <w:t xml:space="preserve">Revised </w:t>
            </w:r>
            <w:r w:rsidR="00005096" w:rsidRPr="004D286C">
              <w:rPr>
                <w:b/>
                <w:bCs/>
              </w:rPr>
              <w:t>e</w:t>
            </w:r>
            <w:r w:rsidRPr="00975BEE">
              <w:rPr>
                <w:b/>
                <w:bCs/>
              </w:rPr>
              <w:t xml:space="preserve">stimated volume increases to the MBS </w:t>
            </w:r>
            <w:r w:rsidRPr="004D286C">
              <w:rPr>
                <w:b/>
              </w:rPr>
              <w:t>(</w:t>
            </w:r>
            <w:r w:rsidR="00A67232" w:rsidRPr="004D286C">
              <w:rPr>
                <w:b/>
                <w:bCs/>
              </w:rPr>
              <w:t>based on PBAC minutes</w:t>
            </w:r>
            <w:r w:rsidRPr="004D286C">
              <w:rPr>
                <w:b/>
              </w:rPr>
              <w:t>)</w:t>
            </w:r>
          </w:p>
        </w:tc>
      </w:tr>
      <w:tr w:rsidR="00AA745B" w:rsidRPr="00ED0616" w14:paraId="7CCECE58" w14:textId="77777777" w:rsidTr="5F6FEE6A">
        <w:tc>
          <w:tcPr>
            <w:tcW w:w="2117" w:type="dxa"/>
            <w:tcMar>
              <w:top w:w="0" w:type="dxa"/>
              <w:left w:w="108" w:type="dxa"/>
              <w:bottom w:w="0" w:type="dxa"/>
              <w:right w:w="108" w:type="dxa"/>
            </w:tcMar>
          </w:tcPr>
          <w:p w14:paraId="681888D5" w14:textId="240F21AE" w:rsidR="00AA745B" w:rsidRPr="00802A97" w:rsidRDefault="00AA745B" w:rsidP="00AA745B">
            <w:pPr>
              <w:pStyle w:val="TableText"/>
              <w:keepNext/>
              <w:rPr>
                <w:b/>
                <w:bCs/>
              </w:rPr>
            </w:pPr>
            <w:r w:rsidRPr="004D286C">
              <w:t>Injection administration</w:t>
            </w:r>
          </w:p>
        </w:tc>
        <w:tc>
          <w:tcPr>
            <w:tcW w:w="1148" w:type="dxa"/>
            <w:tcMar>
              <w:top w:w="0" w:type="dxa"/>
              <w:left w:w="108" w:type="dxa"/>
              <w:bottom w:w="0" w:type="dxa"/>
              <w:right w:w="108" w:type="dxa"/>
            </w:tcMar>
          </w:tcPr>
          <w:p w14:paraId="104632C4" w14:textId="0567027D"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36EE1A8A" w:rsidRPr="5B05C43F">
              <w:rPr>
                <w:rFonts w:cstheme="majorBidi"/>
                <w:vertAlign w:val="superscript"/>
              </w:rPr>
              <w:t>1</w:t>
            </w:r>
          </w:p>
        </w:tc>
        <w:tc>
          <w:tcPr>
            <w:tcW w:w="1148" w:type="dxa"/>
            <w:tcMar>
              <w:top w:w="0" w:type="dxa"/>
              <w:left w:w="108" w:type="dxa"/>
              <w:bottom w:w="0" w:type="dxa"/>
              <w:right w:w="108" w:type="dxa"/>
            </w:tcMar>
          </w:tcPr>
          <w:p w14:paraId="70164571" w14:textId="72A1D77B" w:rsidR="00AA745B" w:rsidRPr="00802A97" w:rsidRDefault="00C2155F" w:rsidP="00AA745B">
            <w:pPr>
              <w:pStyle w:val="TableText"/>
              <w:keepNext/>
              <w:rPr>
                <w:b/>
                <w:bCs/>
              </w:rPr>
            </w:pPr>
            <w:r w:rsidRPr="5B05C43F">
              <w:rPr>
                <w:rFonts w:eastAsia="Arial Narrow" w:cs="Arial Narrow"/>
              </w:rPr>
              <w:t>|</w:t>
            </w:r>
            <w:r>
              <w:rPr>
                <w:rFonts w:eastAsia="Arial Narrow" w:cs="Arial Narrow"/>
              </w:rPr>
              <w:t xml:space="preserve"> </w:t>
            </w:r>
            <w:r w:rsidRPr="5B05C43F">
              <w:rPr>
                <w:rFonts w:cstheme="majorBidi"/>
                <w:vertAlign w:val="superscript"/>
              </w:rPr>
              <w:t>2</w:t>
            </w:r>
          </w:p>
        </w:tc>
        <w:tc>
          <w:tcPr>
            <w:tcW w:w="1148" w:type="dxa"/>
            <w:tcMar>
              <w:top w:w="0" w:type="dxa"/>
              <w:left w:w="108" w:type="dxa"/>
              <w:bottom w:w="0" w:type="dxa"/>
              <w:right w:w="108" w:type="dxa"/>
            </w:tcMar>
          </w:tcPr>
          <w:p w14:paraId="217301C1" w14:textId="0DDE2924" w:rsidR="00AA745B" w:rsidRPr="00802A97" w:rsidRDefault="00F651CB" w:rsidP="00AA745B">
            <w:pPr>
              <w:pStyle w:val="TableText"/>
              <w:keepNext/>
              <w:rPr>
                <w:b/>
                <w:bCs/>
              </w:rPr>
            </w:pPr>
            <w:r w:rsidRPr="63BD7BEB">
              <w:rPr>
                <w:rFonts w:eastAsia="Arial Narrow" w:cs="Arial Narrow"/>
              </w:rPr>
              <w:t>|</w:t>
            </w:r>
            <w:r w:rsidRPr="005A2CE3">
              <w:rPr>
                <w:rFonts w:cstheme="majorBidi"/>
              </w:rPr>
              <w:t xml:space="preserve"> </w:t>
            </w:r>
            <w:r w:rsidR="0F76BB9E" w:rsidRPr="63BD7BEB">
              <w:rPr>
                <w:rFonts w:cstheme="majorBidi"/>
                <w:vertAlign w:val="superscript"/>
              </w:rPr>
              <w:t>3</w:t>
            </w:r>
          </w:p>
        </w:tc>
        <w:tc>
          <w:tcPr>
            <w:tcW w:w="1148" w:type="dxa"/>
            <w:tcMar>
              <w:top w:w="0" w:type="dxa"/>
              <w:left w:w="108" w:type="dxa"/>
              <w:bottom w:w="0" w:type="dxa"/>
              <w:right w:w="108" w:type="dxa"/>
            </w:tcMar>
          </w:tcPr>
          <w:p w14:paraId="54170CC6" w14:textId="1EDD10AA" w:rsidR="00AA745B" w:rsidRPr="00802A97" w:rsidRDefault="00123C1C" w:rsidP="00AA745B">
            <w:pPr>
              <w:pStyle w:val="TableText"/>
              <w:keepNext/>
              <w:rPr>
                <w:b/>
                <w:bCs/>
              </w:rPr>
            </w:pPr>
            <w:r w:rsidRPr="00BF3C33">
              <w:rPr>
                <w:rFonts w:eastAsia="Arial Narrow" w:cs="Arial Narrow"/>
                <w:szCs w:val="20"/>
              </w:rPr>
              <w:t>|</w:t>
            </w:r>
            <w:r w:rsidRPr="005A2CE3">
              <w:rPr>
                <w:rFonts w:cstheme="majorBidi"/>
              </w:rPr>
              <w:t xml:space="preserve"> </w:t>
            </w:r>
            <w:r w:rsidRPr="005B516B">
              <w:rPr>
                <w:rFonts w:cstheme="majorBidi"/>
                <w:vertAlign w:val="superscript"/>
              </w:rPr>
              <w:t>5</w:t>
            </w:r>
          </w:p>
        </w:tc>
        <w:tc>
          <w:tcPr>
            <w:tcW w:w="1148" w:type="dxa"/>
            <w:tcMar>
              <w:top w:w="0" w:type="dxa"/>
              <w:left w:w="108" w:type="dxa"/>
              <w:bottom w:w="0" w:type="dxa"/>
              <w:right w:w="108" w:type="dxa"/>
            </w:tcMar>
          </w:tcPr>
          <w:p w14:paraId="1351E299" w14:textId="21D50148" w:rsidR="00AA745B" w:rsidRPr="00802A97" w:rsidRDefault="002D5CC3" w:rsidP="00AA745B">
            <w:pPr>
              <w:pStyle w:val="TableText"/>
              <w:keepNext/>
              <w:rPr>
                <w:b/>
                <w:bCs/>
              </w:rPr>
            </w:pPr>
            <w:r w:rsidRPr="00BF3C33">
              <w:rPr>
                <w:rFonts w:eastAsia="Arial Narrow" w:cs="Arial Narrow"/>
                <w:szCs w:val="20"/>
              </w:rPr>
              <w:t>|</w:t>
            </w:r>
            <w:r>
              <w:rPr>
                <w:rFonts w:eastAsia="Arial Narrow" w:cs="Arial Narrow"/>
                <w:szCs w:val="20"/>
              </w:rPr>
              <w:t xml:space="preserve"> </w:t>
            </w:r>
            <w:r w:rsidRPr="001F2869">
              <w:rPr>
                <w:rFonts w:cstheme="majorBidi"/>
                <w:vertAlign w:val="superscript"/>
              </w:rPr>
              <w:t>7</w:t>
            </w:r>
          </w:p>
        </w:tc>
        <w:tc>
          <w:tcPr>
            <w:tcW w:w="1149" w:type="dxa"/>
            <w:tcMar>
              <w:top w:w="0" w:type="dxa"/>
              <w:left w:w="108" w:type="dxa"/>
              <w:bottom w:w="0" w:type="dxa"/>
              <w:right w:w="108" w:type="dxa"/>
            </w:tcMar>
          </w:tcPr>
          <w:p w14:paraId="476EB2D1" w14:textId="039EF17D" w:rsidR="00AA745B" w:rsidRPr="00802A97" w:rsidRDefault="002D5CC3" w:rsidP="00AA745B">
            <w:pPr>
              <w:pStyle w:val="TableText"/>
              <w:keepNext/>
              <w:rPr>
                <w:b/>
                <w:bCs/>
              </w:rPr>
            </w:pPr>
            <w:r w:rsidRPr="00BF3C33">
              <w:rPr>
                <w:rFonts w:eastAsia="Arial Narrow" w:cs="Arial Narrow"/>
                <w:szCs w:val="20"/>
              </w:rPr>
              <w:t>|</w:t>
            </w:r>
            <w:r>
              <w:rPr>
                <w:rFonts w:eastAsia="Arial Narrow" w:cs="Arial Narrow"/>
                <w:szCs w:val="20"/>
              </w:rPr>
              <w:t xml:space="preserve"> </w:t>
            </w:r>
            <w:r w:rsidRPr="001F2869">
              <w:rPr>
                <w:rFonts w:cstheme="majorBidi"/>
                <w:vertAlign w:val="superscript"/>
              </w:rPr>
              <w:t>7</w:t>
            </w:r>
          </w:p>
        </w:tc>
      </w:tr>
      <w:tr w:rsidR="00615903" w:rsidRPr="00ED0616" w14:paraId="1E87BA37" w14:textId="77777777" w:rsidTr="5F6FEE6A">
        <w:tc>
          <w:tcPr>
            <w:tcW w:w="2117" w:type="dxa"/>
            <w:tcMar>
              <w:top w:w="0" w:type="dxa"/>
              <w:left w:w="108" w:type="dxa"/>
              <w:bottom w:w="0" w:type="dxa"/>
              <w:right w:w="108" w:type="dxa"/>
            </w:tcMar>
          </w:tcPr>
          <w:p w14:paraId="1014C711" w14:textId="6592DCF6" w:rsidR="00615903" w:rsidRPr="00802A97" w:rsidRDefault="00615903" w:rsidP="00615903">
            <w:pPr>
              <w:pStyle w:val="TableText"/>
              <w:keepNext/>
              <w:rPr>
                <w:b/>
                <w:bCs/>
              </w:rPr>
            </w:pPr>
            <w:r w:rsidRPr="004D286C">
              <w:t>Consultation</w:t>
            </w:r>
          </w:p>
        </w:tc>
        <w:tc>
          <w:tcPr>
            <w:tcW w:w="1148" w:type="dxa"/>
            <w:tcMar>
              <w:top w:w="0" w:type="dxa"/>
              <w:left w:w="108" w:type="dxa"/>
              <w:bottom w:w="0" w:type="dxa"/>
              <w:right w:w="108" w:type="dxa"/>
            </w:tcMar>
          </w:tcPr>
          <w:p w14:paraId="0825869C" w14:textId="03A30315" w:rsidR="00615903" w:rsidRPr="004D286C" w:rsidRDefault="00262412" w:rsidP="00615903">
            <w:pPr>
              <w:pStyle w:val="TableText"/>
              <w:keepNext/>
              <w:rPr>
                <w:b/>
                <w:bCs/>
              </w:rPr>
            </w:pPr>
            <w:r w:rsidRPr="5B05C43F">
              <w:rPr>
                <w:rFonts w:eastAsia="Arial Narrow" w:cs="Arial Narrow"/>
              </w:rPr>
              <w:t>|</w:t>
            </w:r>
            <w:r w:rsidRPr="005A2CE3">
              <w:rPr>
                <w:rFonts w:cstheme="majorBidi"/>
              </w:rPr>
              <w:t xml:space="preserve"> </w:t>
            </w:r>
            <w:r w:rsidR="6066E380" w:rsidRPr="5B05C43F">
              <w:rPr>
                <w:rFonts w:cstheme="majorBidi"/>
                <w:vertAlign w:val="superscript"/>
              </w:rPr>
              <w:t>1</w:t>
            </w:r>
          </w:p>
        </w:tc>
        <w:tc>
          <w:tcPr>
            <w:tcW w:w="1148" w:type="dxa"/>
            <w:tcMar>
              <w:top w:w="0" w:type="dxa"/>
              <w:left w:w="108" w:type="dxa"/>
              <w:bottom w:w="0" w:type="dxa"/>
              <w:right w:w="108" w:type="dxa"/>
            </w:tcMar>
          </w:tcPr>
          <w:p w14:paraId="22A9C153" w14:textId="07665DC8" w:rsidR="00615903" w:rsidRPr="004D286C" w:rsidRDefault="00195155" w:rsidP="00615903">
            <w:pPr>
              <w:pStyle w:val="TableText"/>
              <w:keepNext/>
            </w:pPr>
            <w:r w:rsidRPr="5B05C43F">
              <w:rPr>
                <w:rFonts w:eastAsia="Arial Narrow" w:cs="Arial Narrow"/>
              </w:rPr>
              <w:t>|</w:t>
            </w:r>
            <w:r>
              <w:rPr>
                <w:rFonts w:eastAsia="Arial Narrow" w:cs="Arial Narrow"/>
              </w:rPr>
              <w:t xml:space="preserve"> </w:t>
            </w:r>
            <w:r w:rsidR="430FB824" w:rsidRPr="5B05C43F">
              <w:rPr>
                <w:rFonts w:cstheme="majorBidi"/>
                <w:vertAlign w:val="superscript"/>
              </w:rPr>
              <w:t>2</w:t>
            </w:r>
          </w:p>
        </w:tc>
        <w:tc>
          <w:tcPr>
            <w:tcW w:w="1148" w:type="dxa"/>
            <w:tcMar>
              <w:top w:w="0" w:type="dxa"/>
              <w:left w:w="108" w:type="dxa"/>
              <w:bottom w:w="0" w:type="dxa"/>
              <w:right w:w="108" w:type="dxa"/>
            </w:tcMar>
          </w:tcPr>
          <w:p w14:paraId="656A5EE6" w14:textId="39DC9280" w:rsidR="00615903" w:rsidRPr="004D286C" w:rsidRDefault="00F651CB" w:rsidP="00615903">
            <w:pPr>
              <w:pStyle w:val="TableText"/>
              <w:keepNext/>
              <w:rPr>
                <w:b/>
                <w:bCs/>
              </w:rPr>
            </w:pPr>
            <w:r w:rsidRPr="00BF3C33">
              <w:rPr>
                <w:rFonts w:eastAsia="Arial Narrow" w:cs="Arial Narrow"/>
                <w:szCs w:val="20"/>
              </w:rPr>
              <w:t>|</w:t>
            </w:r>
            <w:r w:rsidRPr="005A2CE3">
              <w:rPr>
                <w:rFonts w:cstheme="majorBidi"/>
              </w:rPr>
              <w:t xml:space="preserve"> </w:t>
            </w:r>
            <w:r w:rsidR="20709B7A" w:rsidRPr="0DB90E64">
              <w:rPr>
                <w:rFonts w:cstheme="majorBidi"/>
                <w:vertAlign w:val="superscript"/>
              </w:rPr>
              <w:t>3</w:t>
            </w:r>
          </w:p>
        </w:tc>
        <w:tc>
          <w:tcPr>
            <w:tcW w:w="1148" w:type="dxa"/>
            <w:tcMar>
              <w:top w:w="0" w:type="dxa"/>
              <w:left w:w="108" w:type="dxa"/>
              <w:bottom w:w="0" w:type="dxa"/>
              <w:right w:w="108" w:type="dxa"/>
            </w:tcMar>
          </w:tcPr>
          <w:p w14:paraId="3CC77DEA" w14:textId="5DED0B72" w:rsidR="00615903" w:rsidRPr="004D286C" w:rsidRDefault="00123C1C" w:rsidP="00615903">
            <w:pPr>
              <w:pStyle w:val="TableText"/>
              <w:keepNext/>
              <w:rPr>
                <w:b/>
                <w:bCs/>
              </w:rPr>
            </w:pPr>
            <w:r w:rsidRPr="00BF3C33">
              <w:rPr>
                <w:rFonts w:eastAsia="Arial Narrow" w:cs="Arial Narrow"/>
                <w:szCs w:val="20"/>
              </w:rPr>
              <w:t>|</w:t>
            </w:r>
            <w:r w:rsidRPr="005A2CE3">
              <w:rPr>
                <w:rFonts w:cstheme="majorBidi"/>
              </w:rPr>
              <w:t xml:space="preserve"> </w:t>
            </w:r>
            <w:r w:rsidRPr="005B516B">
              <w:rPr>
                <w:rFonts w:cstheme="majorBidi"/>
                <w:vertAlign w:val="superscript"/>
              </w:rPr>
              <w:t>5</w:t>
            </w:r>
          </w:p>
        </w:tc>
        <w:tc>
          <w:tcPr>
            <w:tcW w:w="1148" w:type="dxa"/>
            <w:tcMar>
              <w:top w:w="0" w:type="dxa"/>
              <w:left w:w="108" w:type="dxa"/>
              <w:bottom w:w="0" w:type="dxa"/>
              <w:right w:w="108" w:type="dxa"/>
            </w:tcMar>
          </w:tcPr>
          <w:p w14:paraId="4C36441D" w14:textId="69DCF12C" w:rsidR="00615903" w:rsidRPr="004D286C" w:rsidRDefault="002D5CC3" w:rsidP="00615903">
            <w:pPr>
              <w:pStyle w:val="TableText"/>
              <w:keepNext/>
              <w:rPr>
                <w:b/>
                <w:bCs/>
              </w:rPr>
            </w:pPr>
            <w:r w:rsidRPr="00BF3C33">
              <w:rPr>
                <w:rFonts w:eastAsia="Arial Narrow" w:cs="Arial Narrow"/>
                <w:szCs w:val="20"/>
              </w:rPr>
              <w:t>|</w:t>
            </w:r>
            <w:r>
              <w:rPr>
                <w:rFonts w:eastAsia="Arial Narrow" w:cs="Arial Narrow"/>
                <w:szCs w:val="20"/>
              </w:rPr>
              <w:t xml:space="preserve"> </w:t>
            </w:r>
            <w:r w:rsidRPr="001F2869">
              <w:rPr>
                <w:rFonts w:cstheme="majorBidi"/>
                <w:vertAlign w:val="superscript"/>
              </w:rPr>
              <w:t>7</w:t>
            </w:r>
          </w:p>
        </w:tc>
        <w:tc>
          <w:tcPr>
            <w:tcW w:w="1149" w:type="dxa"/>
            <w:tcMar>
              <w:top w:w="0" w:type="dxa"/>
              <w:left w:w="108" w:type="dxa"/>
              <w:bottom w:w="0" w:type="dxa"/>
              <w:right w:w="108" w:type="dxa"/>
            </w:tcMar>
          </w:tcPr>
          <w:p w14:paraId="58DFD8A9" w14:textId="5C1D203D" w:rsidR="00615903" w:rsidRPr="004D286C" w:rsidRDefault="002D5CC3" w:rsidP="00615903">
            <w:pPr>
              <w:pStyle w:val="TableText"/>
              <w:keepNext/>
              <w:rPr>
                <w:b/>
                <w:bCs/>
              </w:rPr>
            </w:pPr>
            <w:r w:rsidRPr="00BF3C33">
              <w:rPr>
                <w:rFonts w:eastAsia="Arial Narrow" w:cs="Arial Narrow"/>
                <w:szCs w:val="20"/>
              </w:rPr>
              <w:t>|</w:t>
            </w:r>
            <w:r>
              <w:rPr>
                <w:rFonts w:eastAsia="Arial Narrow" w:cs="Arial Narrow"/>
                <w:szCs w:val="20"/>
              </w:rPr>
              <w:t xml:space="preserve"> </w:t>
            </w:r>
            <w:r w:rsidRPr="001F2869">
              <w:rPr>
                <w:rFonts w:cstheme="majorBidi"/>
                <w:vertAlign w:val="superscript"/>
              </w:rPr>
              <w:t>7</w:t>
            </w:r>
          </w:p>
        </w:tc>
      </w:tr>
      <w:tr w:rsidR="00AA745B" w:rsidRPr="00ED0616" w14:paraId="16EBE080" w14:textId="77777777" w:rsidTr="5F6FEE6A">
        <w:tc>
          <w:tcPr>
            <w:tcW w:w="2117" w:type="dxa"/>
            <w:tcMar>
              <w:top w:w="0" w:type="dxa"/>
              <w:left w:w="108" w:type="dxa"/>
              <w:bottom w:w="0" w:type="dxa"/>
              <w:right w:w="108" w:type="dxa"/>
            </w:tcMar>
          </w:tcPr>
          <w:p w14:paraId="29B7B1FB" w14:textId="33434D35" w:rsidR="00AA745B" w:rsidRPr="00802A97" w:rsidRDefault="00AA745B" w:rsidP="00AA745B">
            <w:pPr>
              <w:pStyle w:val="TableText"/>
              <w:keepNext/>
              <w:rPr>
                <w:b/>
                <w:bCs/>
              </w:rPr>
            </w:pPr>
            <w:r w:rsidRPr="004D286C">
              <w:t>Ultrasound (adult)</w:t>
            </w:r>
          </w:p>
        </w:tc>
        <w:tc>
          <w:tcPr>
            <w:tcW w:w="1148" w:type="dxa"/>
            <w:tcMar>
              <w:top w:w="0" w:type="dxa"/>
              <w:left w:w="108" w:type="dxa"/>
              <w:bottom w:w="0" w:type="dxa"/>
              <w:right w:w="108" w:type="dxa"/>
            </w:tcMar>
          </w:tcPr>
          <w:p w14:paraId="0733AE72" w14:textId="646ABCA5"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6A17F688" w:rsidRPr="5B05C43F">
              <w:rPr>
                <w:rFonts w:cstheme="majorBidi"/>
                <w:vertAlign w:val="superscript"/>
              </w:rPr>
              <w:t>1</w:t>
            </w:r>
          </w:p>
        </w:tc>
        <w:tc>
          <w:tcPr>
            <w:tcW w:w="1148" w:type="dxa"/>
            <w:tcMar>
              <w:top w:w="0" w:type="dxa"/>
              <w:left w:w="108" w:type="dxa"/>
              <w:bottom w:w="0" w:type="dxa"/>
              <w:right w:w="108" w:type="dxa"/>
            </w:tcMar>
          </w:tcPr>
          <w:p w14:paraId="64B81118" w14:textId="6DD3E2C6"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513DA3F2" w:rsidRPr="5B05C43F">
              <w:rPr>
                <w:rFonts w:cstheme="majorBidi"/>
                <w:vertAlign w:val="superscript"/>
              </w:rPr>
              <w:t>1</w:t>
            </w:r>
          </w:p>
        </w:tc>
        <w:tc>
          <w:tcPr>
            <w:tcW w:w="1148" w:type="dxa"/>
            <w:tcMar>
              <w:top w:w="0" w:type="dxa"/>
              <w:left w:w="108" w:type="dxa"/>
              <w:bottom w:w="0" w:type="dxa"/>
              <w:right w:w="108" w:type="dxa"/>
            </w:tcMar>
          </w:tcPr>
          <w:p w14:paraId="0474C314" w14:textId="74AFC827" w:rsidR="00AA745B" w:rsidRPr="00802A97" w:rsidRDefault="00575A65" w:rsidP="00AA745B">
            <w:pPr>
              <w:pStyle w:val="TableText"/>
              <w:keepNext/>
              <w:rPr>
                <w:b/>
                <w:bCs/>
              </w:rPr>
            </w:pPr>
            <w:r w:rsidRPr="5B05C43F">
              <w:rPr>
                <w:rFonts w:eastAsia="Arial Narrow" w:cs="Arial Narrow"/>
              </w:rPr>
              <w:t>|</w:t>
            </w:r>
            <w:r w:rsidRPr="005A2CE3">
              <w:rPr>
                <w:rFonts w:cstheme="majorBidi"/>
              </w:rPr>
              <w:t xml:space="preserve"> </w:t>
            </w:r>
            <w:r w:rsidR="079CC5E8" w:rsidRPr="5B05C43F">
              <w:rPr>
                <w:rFonts w:cstheme="majorBidi"/>
                <w:vertAlign w:val="superscript"/>
              </w:rPr>
              <w:t>2</w:t>
            </w:r>
          </w:p>
        </w:tc>
        <w:tc>
          <w:tcPr>
            <w:tcW w:w="1148" w:type="dxa"/>
            <w:tcMar>
              <w:top w:w="0" w:type="dxa"/>
              <w:left w:w="108" w:type="dxa"/>
              <w:bottom w:w="0" w:type="dxa"/>
              <w:right w:w="108" w:type="dxa"/>
            </w:tcMar>
          </w:tcPr>
          <w:p w14:paraId="0E6C8553" w14:textId="57EF226F" w:rsidR="00AA745B" w:rsidRPr="00802A97" w:rsidRDefault="00F651CB" w:rsidP="00AA745B">
            <w:pPr>
              <w:pStyle w:val="TableText"/>
              <w:keepNext/>
              <w:rPr>
                <w:b/>
                <w:bCs/>
              </w:rPr>
            </w:pPr>
            <w:r w:rsidRPr="63BD7BEB">
              <w:rPr>
                <w:rFonts w:eastAsia="Arial Narrow" w:cs="Arial Narrow"/>
              </w:rPr>
              <w:t>|</w:t>
            </w:r>
            <w:r w:rsidRPr="005A2CE3">
              <w:rPr>
                <w:rFonts w:cstheme="majorBidi"/>
              </w:rPr>
              <w:t xml:space="preserve"> </w:t>
            </w:r>
            <w:r w:rsidR="345D8F3A" w:rsidRPr="63BD7BEB">
              <w:rPr>
                <w:rFonts w:cstheme="majorBidi"/>
                <w:vertAlign w:val="superscript"/>
              </w:rPr>
              <w:t>3</w:t>
            </w:r>
          </w:p>
        </w:tc>
        <w:tc>
          <w:tcPr>
            <w:tcW w:w="1148" w:type="dxa"/>
            <w:tcMar>
              <w:top w:w="0" w:type="dxa"/>
              <w:left w:w="108" w:type="dxa"/>
              <w:bottom w:w="0" w:type="dxa"/>
              <w:right w:w="108" w:type="dxa"/>
            </w:tcMar>
          </w:tcPr>
          <w:p w14:paraId="74437753" w14:textId="4C393E2C" w:rsidR="00AA745B" w:rsidRPr="00802A97" w:rsidRDefault="36B30C96" w:rsidP="00AA745B">
            <w:pPr>
              <w:pStyle w:val="TableText"/>
              <w:keepNext/>
              <w:rPr>
                <w:b/>
                <w:bCs/>
              </w:rPr>
            </w:pPr>
            <w:r w:rsidRPr="4A326C2A">
              <w:rPr>
                <w:rFonts w:eastAsia="Arial Narrow" w:cs="Arial Narrow"/>
              </w:rPr>
              <w:t>|</w:t>
            </w:r>
            <w:r w:rsidRPr="4A326C2A">
              <w:rPr>
                <w:rFonts w:cstheme="majorBidi"/>
              </w:rPr>
              <w:t xml:space="preserve"> </w:t>
            </w:r>
            <w:r w:rsidR="49D60F2D" w:rsidRPr="4A326C2A">
              <w:rPr>
                <w:rFonts w:cstheme="majorBidi"/>
                <w:vertAlign w:val="superscript"/>
              </w:rPr>
              <w:t>3</w:t>
            </w:r>
          </w:p>
        </w:tc>
        <w:tc>
          <w:tcPr>
            <w:tcW w:w="1149" w:type="dxa"/>
            <w:tcMar>
              <w:top w:w="0" w:type="dxa"/>
              <w:left w:w="108" w:type="dxa"/>
              <w:bottom w:w="0" w:type="dxa"/>
              <w:right w:w="108" w:type="dxa"/>
            </w:tcMar>
          </w:tcPr>
          <w:p w14:paraId="5B459181" w14:textId="49A27FB7" w:rsidR="00AA745B" w:rsidRPr="00802A97" w:rsidRDefault="00F651CB" w:rsidP="00AA745B">
            <w:pPr>
              <w:pStyle w:val="TableText"/>
              <w:keepNext/>
              <w:rPr>
                <w:b/>
                <w:bCs/>
              </w:rPr>
            </w:pPr>
            <w:r w:rsidRPr="00BF3C33">
              <w:rPr>
                <w:rFonts w:eastAsia="Arial Narrow" w:cs="Arial Narrow"/>
                <w:szCs w:val="20"/>
              </w:rPr>
              <w:t>|</w:t>
            </w:r>
            <w:r w:rsidRPr="005A2CE3">
              <w:rPr>
                <w:rFonts w:cstheme="majorBidi"/>
              </w:rPr>
              <w:t xml:space="preserve"> </w:t>
            </w:r>
            <w:r w:rsidR="3AD75A2E" w:rsidRPr="0DB90E64">
              <w:rPr>
                <w:rFonts w:cstheme="majorBidi"/>
                <w:vertAlign w:val="superscript"/>
              </w:rPr>
              <w:t>3</w:t>
            </w:r>
          </w:p>
        </w:tc>
      </w:tr>
      <w:tr w:rsidR="00AA745B" w:rsidRPr="00ED0616" w14:paraId="4D417351" w14:textId="77777777" w:rsidTr="5F6FEE6A">
        <w:tc>
          <w:tcPr>
            <w:tcW w:w="2117" w:type="dxa"/>
            <w:tcMar>
              <w:top w:w="0" w:type="dxa"/>
              <w:left w:w="108" w:type="dxa"/>
              <w:bottom w:w="0" w:type="dxa"/>
              <w:right w:w="108" w:type="dxa"/>
            </w:tcMar>
          </w:tcPr>
          <w:p w14:paraId="6D945DF6" w14:textId="653885D0" w:rsidR="00AA745B" w:rsidRPr="00802A97" w:rsidRDefault="00AA745B" w:rsidP="00AA745B">
            <w:pPr>
              <w:pStyle w:val="TableText"/>
              <w:keepNext/>
              <w:rPr>
                <w:b/>
                <w:bCs/>
              </w:rPr>
            </w:pPr>
            <w:r w:rsidRPr="004D286C">
              <w:t>Ultrasound (paediatric)</w:t>
            </w:r>
          </w:p>
        </w:tc>
        <w:tc>
          <w:tcPr>
            <w:tcW w:w="1148" w:type="dxa"/>
            <w:tcMar>
              <w:top w:w="0" w:type="dxa"/>
              <w:left w:w="108" w:type="dxa"/>
              <w:bottom w:w="0" w:type="dxa"/>
              <w:right w:w="108" w:type="dxa"/>
            </w:tcMar>
          </w:tcPr>
          <w:p w14:paraId="6FE59D20" w14:textId="7A0A67E5"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58B051BF" w:rsidRPr="5B05C43F">
              <w:rPr>
                <w:rFonts w:cstheme="majorBidi"/>
                <w:vertAlign w:val="superscript"/>
              </w:rPr>
              <w:t>1</w:t>
            </w:r>
          </w:p>
        </w:tc>
        <w:tc>
          <w:tcPr>
            <w:tcW w:w="1148" w:type="dxa"/>
            <w:tcMar>
              <w:top w:w="0" w:type="dxa"/>
              <w:left w:w="108" w:type="dxa"/>
              <w:bottom w:w="0" w:type="dxa"/>
              <w:right w:w="108" w:type="dxa"/>
            </w:tcMar>
          </w:tcPr>
          <w:p w14:paraId="56C9D114" w14:textId="7C40A2EA"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1ED3474D" w:rsidRPr="5B05C43F">
              <w:rPr>
                <w:rFonts w:cstheme="majorBidi"/>
                <w:vertAlign w:val="superscript"/>
              </w:rPr>
              <w:t>1</w:t>
            </w:r>
          </w:p>
        </w:tc>
        <w:tc>
          <w:tcPr>
            <w:tcW w:w="1148" w:type="dxa"/>
            <w:tcMar>
              <w:top w:w="0" w:type="dxa"/>
              <w:left w:w="108" w:type="dxa"/>
              <w:bottom w:w="0" w:type="dxa"/>
              <w:right w:w="108" w:type="dxa"/>
            </w:tcMar>
          </w:tcPr>
          <w:p w14:paraId="1766E13B" w14:textId="56B6EC68"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022319A3" w:rsidRPr="5B05C43F">
              <w:rPr>
                <w:rFonts w:cstheme="majorBidi"/>
                <w:vertAlign w:val="superscript"/>
              </w:rPr>
              <w:t>1</w:t>
            </w:r>
          </w:p>
        </w:tc>
        <w:tc>
          <w:tcPr>
            <w:tcW w:w="1148" w:type="dxa"/>
            <w:tcMar>
              <w:top w:w="0" w:type="dxa"/>
              <w:left w:w="108" w:type="dxa"/>
              <w:bottom w:w="0" w:type="dxa"/>
              <w:right w:w="108" w:type="dxa"/>
            </w:tcMar>
          </w:tcPr>
          <w:p w14:paraId="60DB5CAA" w14:textId="4298464B" w:rsidR="00AA745B" w:rsidRPr="00802A97" w:rsidRDefault="00575A65" w:rsidP="00AA745B">
            <w:pPr>
              <w:pStyle w:val="TableText"/>
              <w:keepNext/>
              <w:rPr>
                <w:b/>
                <w:bCs/>
              </w:rPr>
            </w:pPr>
            <w:r w:rsidRPr="044A6D0A">
              <w:rPr>
                <w:rFonts w:eastAsia="Arial Narrow" w:cs="Arial Narrow"/>
              </w:rPr>
              <w:t>|</w:t>
            </w:r>
            <w:r w:rsidRPr="005A2CE3">
              <w:rPr>
                <w:rFonts w:cstheme="majorBidi"/>
              </w:rPr>
              <w:t xml:space="preserve"> </w:t>
            </w:r>
            <w:r w:rsidR="190E6662" w:rsidRPr="044A6D0A">
              <w:rPr>
                <w:rFonts w:cstheme="majorBidi"/>
                <w:vertAlign w:val="superscript"/>
              </w:rPr>
              <w:t>2</w:t>
            </w:r>
          </w:p>
        </w:tc>
        <w:tc>
          <w:tcPr>
            <w:tcW w:w="1148" w:type="dxa"/>
            <w:tcMar>
              <w:top w:w="0" w:type="dxa"/>
              <w:left w:w="108" w:type="dxa"/>
              <w:bottom w:w="0" w:type="dxa"/>
              <w:right w:w="108" w:type="dxa"/>
            </w:tcMar>
          </w:tcPr>
          <w:p w14:paraId="5A7EC37E" w14:textId="66CD9664" w:rsidR="00AA745B" w:rsidRPr="00802A97" w:rsidRDefault="00575A65" w:rsidP="00AA745B">
            <w:pPr>
              <w:pStyle w:val="TableText"/>
              <w:keepNext/>
              <w:rPr>
                <w:b/>
                <w:bCs/>
              </w:rPr>
            </w:pPr>
            <w:r w:rsidRPr="044A6D0A">
              <w:rPr>
                <w:rFonts w:eastAsia="Arial Narrow" w:cs="Arial Narrow"/>
              </w:rPr>
              <w:t>|</w:t>
            </w:r>
            <w:r w:rsidRPr="005A2CE3">
              <w:rPr>
                <w:rFonts w:cstheme="majorBidi"/>
              </w:rPr>
              <w:t xml:space="preserve"> </w:t>
            </w:r>
            <w:r w:rsidR="4B7B370C" w:rsidRPr="044A6D0A">
              <w:rPr>
                <w:rFonts w:cstheme="majorBidi"/>
                <w:vertAlign w:val="superscript"/>
              </w:rPr>
              <w:t>2</w:t>
            </w:r>
          </w:p>
        </w:tc>
        <w:tc>
          <w:tcPr>
            <w:tcW w:w="1149" w:type="dxa"/>
            <w:tcMar>
              <w:top w:w="0" w:type="dxa"/>
              <w:left w:w="108" w:type="dxa"/>
              <w:bottom w:w="0" w:type="dxa"/>
              <w:right w:w="108" w:type="dxa"/>
            </w:tcMar>
          </w:tcPr>
          <w:p w14:paraId="4C1E9B87" w14:textId="780F70C9" w:rsidR="00AA745B" w:rsidRPr="00802A97" w:rsidRDefault="00575A65" w:rsidP="00AA745B">
            <w:pPr>
              <w:pStyle w:val="TableText"/>
              <w:keepNext/>
              <w:rPr>
                <w:b/>
                <w:bCs/>
              </w:rPr>
            </w:pPr>
            <w:r w:rsidRPr="044A6D0A">
              <w:rPr>
                <w:rFonts w:eastAsia="Arial Narrow" w:cs="Arial Narrow"/>
              </w:rPr>
              <w:t>|</w:t>
            </w:r>
            <w:r w:rsidRPr="005A2CE3">
              <w:rPr>
                <w:rFonts w:cstheme="majorBidi"/>
              </w:rPr>
              <w:t xml:space="preserve"> </w:t>
            </w:r>
            <w:r w:rsidR="21E7BBF7" w:rsidRPr="044A6D0A">
              <w:rPr>
                <w:rFonts w:cstheme="majorBidi"/>
                <w:vertAlign w:val="superscript"/>
              </w:rPr>
              <w:t>2</w:t>
            </w:r>
          </w:p>
        </w:tc>
      </w:tr>
      <w:tr w:rsidR="00AA745B" w:rsidRPr="00ED0616" w14:paraId="711E6640" w14:textId="77777777" w:rsidTr="5F6FEE6A">
        <w:tc>
          <w:tcPr>
            <w:tcW w:w="2117" w:type="dxa"/>
            <w:tcMar>
              <w:top w:w="0" w:type="dxa"/>
              <w:left w:w="108" w:type="dxa"/>
              <w:bottom w:w="0" w:type="dxa"/>
              <w:right w:w="108" w:type="dxa"/>
            </w:tcMar>
          </w:tcPr>
          <w:p w14:paraId="466471AE" w14:textId="6BAD8B55" w:rsidR="00AA745B" w:rsidRPr="00802A97" w:rsidRDefault="00AA745B" w:rsidP="00AA745B">
            <w:pPr>
              <w:pStyle w:val="TableText"/>
              <w:keepNext/>
              <w:rPr>
                <w:b/>
                <w:bCs/>
              </w:rPr>
            </w:pPr>
            <w:r w:rsidRPr="004D286C">
              <w:t xml:space="preserve">Anaesthesia items (paediatric only) </w:t>
            </w:r>
          </w:p>
        </w:tc>
        <w:tc>
          <w:tcPr>
            <w:tcW w:w="1148" w:type="dxa"/>
            <w:tcMar>
              <w:top w:w="0" w:type="dxa"/>
              <w:left w:w="108" w:type="dxa"/>
              <w:bottom w:w="0" w:type="dxa"/>
              <w:right w:w="108" w:type="dxa"/>
            </w:tcMar>
          </w:tcPr>
          <w:p w14:paraId="166A030B" w14:textId="0366D5E5"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5162398F" w:rsidRPr="5B05C43F">
              <w:rPr>
                <w:rFonts w:cstheme="majorBidi"/>
                <w:vertAlign w:val="superscript"/>
              </w:rPr>
              <w:t>1</w:t>
            </w:r>
          </w:p>
        </w:tc>
        <w:tc>
          <w:tcPr>
            <w:tcW w:w="1148" w:type="dxa"/>
            <w:tcMar>
              <w:top w:w="0" w:type="dxa"/>
              <w:left w:w="108" w:type="dxa"/>
              <w:bottom w:w="0" w:type="dxa"/>
              <w:right w:w="108" w:type="dxa"/>
            </w:tcMar>
          </w:tcPr>
          <w:p w14:paraId="7C0386DF" w14:textId="1B2863DF"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70D0403C" w:rsidRPr="5B05C43F">
              <w:rPr>
                <w:rFonts w:cstheme="majorBidi"/>
                <w:vertAlign w:val="superscript"/>
              </w:rPr>
              <w:t>1</w:t>
            </w:r>
          </w:p>
        </w:tc>
        <w:tc>
          <w:tcPr>
            <w:tcW w:w="1148" w:type="dxa"/>
            <w:tcMar>
              <w:top w:w="0" w:type="dxa"/>
              <w:left w:w="108" w:type="dxa"/>
              <w:bottom w:w="0" w:type="dxa"/>
              <w:right w:w="108" w:type="dxa"/>
            </w:tcMar>
          </w:tcPr>
          <w:p w14:paraId="2E5A1CF6" w14:textId="778C25E5" w:rsidR="00AA745B" w:rsidRPr="00802A97" w:rsidRDefault="00262412" w:rsidP="00AA745B">
            <w:pPr>
              <w:pStyle w:val="TableText"/>
              <w:keepNext/>
              <w:rPr>
                <w:b/>
                <w:bCs/>
              </w:rPr>
            </w:pPr>
            <w:r w:rsidRPr="5B05C43F">
              <w:rPr>
                <w:rFonts w:eastAsia="Arial Narrow" w:cs="Arial Narrow"/>
              </w:rPr>
              <w:t>|</w:t>
            </w:r>
            <w:r w:rsidRPr="005A2CE3">
              <w:rPr>
                <w:rFonts w:cstheme="majorBidi"/>
              </w:rPr>
              <w:t xml:space="preserve"> </w:t>
            </w:r>
            <w:r w:rsidR="54D82D5D" w:rsidRPr="5B05C43F">
              <w:rPr>
                <w:rFonts w:cstheme="majorBidi"/>
                <w:vertAlign w:val="superscript"/>
              </w:rPr>
              <w:t>1</w:t>
            </w:r>
          </w:p>
        </w:tc>
        <w:tc>
          <w:tcPr>
            <w:tcW w:w="1148" w:type="dxa"/>
            <w:tcMar>
              <w:top w:w="0" w:type="dxa"/>
              <w:left w:w="108" w:type="dxa"/>
              <w:bottom w:w="0" w:type="dxa"/>
              <w:right w:w="108" w:type="dxa"/>
            </w:tcMar>
          </w:tcPr>
          <w:p w14:paraId="5215DE43" w14:textId="33D43275" w:rsidR="00AA745B" w:rsidRPr="00802A97" w:rsidRDefault="00575A65" w:rsidP="00AA745B">
            <w:pPr>
              <w:pStyle w:val="TableText"/>
              <w:keepNext/>
              <w:rPr>
                <w:b/>
                <w:bCs/>
              </w:rPr>
            </w:pPr>
            <w:r w:rsidRPr="044A6D0A">
              <w:rPr>
                <w:rFonts w:eastAsia="Arial Narrow" w:cs="Arial Narrow"/>
              </w:rPr>
              <w:t>|</w:t>
            </w:r>
            <w:r w:rsidR="003B6A1A">
              <w:rPr>
                <w:rFonts w:eastAsia="Arial Narrow" w:cs="Arial Narrow"/>
              </w:rPr>
              <w:t xml:space="preserve"> </w:t>
            </w:r>
            <w:r w:rsidR="23A9DD64" w:rsidRPr="044A6D0A">
              <w:rPr>
                <w:rFonts w:cstheme="majorBidi"/>
                <w:vertAlign w:val="superscript"/>
              </w:rPr>
              <w:t>2</w:t>
            </w:r>
          </w:p>
        </w:tc>
        <w:tc>
          <w:tcPr>
            <w:tcW w:w="1148" w:type="dxa"/>
            <w:tcMar>
              <w:top w:w="0" w:type="dxa"/>
              <w:left w:w="108" w:type="dxa"/>
              <w:bottom w:w="0" w:type="dxa"/>
              <w:right w:w="108" w:type="dxa"/>
            </w:tcMar>
          </w:tcPr>
          <w:p w14:paraId="2BFC8276" w14:textId="4B1301B7" w:rsidR="00AA745B" w:rsidRPr="00802A97" w:rsidRDefault="00575A65" w:rsidP="00AA745B">
            <w:pPr>
              <w:pStyle w:val="TableText"/>
              <w:keepNext/>
              <w:rPr>
                <w:b/>
                <w:bCs/>
              </w:rPr>
            </w:pPr>
            <w:r w:rsidRPr="044A6D0A">
              <w:rPr>
                <w:rFonts w:eastAsia="Arial Narrow" w:cs="Arial Narrow"/>
              </w:rPr>
              <w:t>|</w:t>
            </w:r>
            <w:r w:rsidR="003B6A1A">
              <w:rPr>
                <w:rFonts w:eastAsia="Arial Narrow" w:cs="Arial Narrow"/>
              </w:rPr>
              <w:t xml:space="preserve"> </w:t>
            </w:r>
            <w:r w:rsidR="0819461E" w:rsidRPr="044A6D0A">
              <w:rPr>
                <w:rFonts w:cstheme="majorBidi"/>
                <w:vertAlign w:val="superscript"/>
              </w:rPr>
              <w:t>2</w:t>
            </w:r>
          </w:p>
        </w:tc>
        <w:tc>
          <w:tcPr>
            <w:tcW w:w="1149" w:type="dxa"/>
            <w:tcMar>
              <w:top w:w="0" w:type="dxa"/>
              <w:left w:w="108" w:type="dxa"/>
              <w:bottom w:w="0" w:type="dxa"/>
              <w:right w:w="108" w:type="dxa"/>
            </w:tcMar>
          </w:tcPr>
          <w:p w14:paraId="1125C5B5" w14:textId="0105CB52" w:rsidR="00AA745B" w:rsidRPr="00802A97" w:rsidRDefault="00575A65" w:rsidP="00AA745B">
            <w:pPr>
              <w:pStyle w:val="TableText"/>
              <w:keepNext/>
              <w:rPr>
                <w:b/>
                <w:bCs/>
              </w:rPr>
            </w:pPr>
            <w:r w:rsidRPr="6C95547C">
              <w:rPr>
                <w:rFonts w:eastAsia="Arial Narrow" w:cs="Arial Narrow"/>
              </w:rPr>
              <w:t>|</w:t>
            </w:r>
            <w:r w:rsidRPr="005A2CE3">
              <w:rPr>
                <w:rFonts w:cstheme="majorBidi"/>
              </w:rPr>
              <w:t xml:space="preserve"> </w:t>
            </w:r>
            <w:r w:rsidR="4E0F56E7" w:rsidRPr="6C95547C">
              <w:rPr>
                <w:rFonts w:cstheme="majorBidi"/>
                <w:vertAlign w:val="superscript"/>
              </w:rPr>
              <w:t>2</w:t>
            </w:r>
          </w:p>
        </w:tc>
      </w:tr>
    </w:tbl>
    <w:p w14:paraId="1EB5A70B" w14:textId="4583DB7C" w:rsidR="009A1E0D" w:rsidRDefault="00F347D6" w:rsidP="009A1E0D">
      <w:pPr>
        <w:pStyle w:val="TableFigureFooter"/>
        <w:spacing w:before="0" w:after="0"/>
      </w:pPr>
      <w:r w:rsidRPr="00F347D6">
        <w:t>Abbreviations.</w:t>
      </w:r>
      <w:r>
        <w:t xml:space="preserve"> FY: Financial Year;</w:t>
      </w:r>
      <w:r w:rsidRPr="00F347D6">
        <w:t xml:space="preserve"> MBS: Medicare Benefits Scheme</w:t>
      </w:r>
    </w:p>
    <w:p w14:paraId="725A5CAD" w14:textId="76DEB84B" w:rsidR="009A1E0D" w:rsidRDefault="009A1E0D" w:rsidP="71D01A9D">
      <w:pPr>
        <w:pStyle w:val="TableFigureFooter"/>
        <w:spacing w:before="0" w:after="0"/>
        <w:rPr>
          <w:i/>
          <w:iCs/>
        </w:rPr>
      </w:pPr>
      <w:r>
        <w:t xml:space="preserve">Source: </w:t>
      </w:r>
      <w:r w:rsidR="00FA4693">
        <w:t>Table 18, p17 of the ADAR</w:t>
      </w:r>
      <w:r w:rsidR="00782BA7">
        <w:t xml:space="preserve">; </w:t>
      </w:r>
      <w:r w:rsidR="00975FC5" w:rsidRPr="71D01A9D">
        <w:rPr>
          <w:i/>
          <w:iCs/>
        </w:rPr>
        <w:t>Table 19,</w:t>
      </w:r>
      <w:r w:rsidR="0083057C" w:rsidRPr="71D01A9D">
        <w:rPr>
          <w:i/>
          <w:iCs/>
        </w:rPr>
        <w:t xml:space="preserve"> p51 of </w:t>
      </w:r>
      <w:r w:rsidR="0083057C" w:rsidRPr="71D01A9D">
        <w:rPr>
          <w:rFonts w:eastAsia="Calibri"/>
          <w:i/>
          <w:iCs/>
        </w:rPr>
        <w:t xml:space="preserve">the November 2024 </w:t>
      </w:r>
      <w:r w:rsidR="0083057C" w:rsidRPr="71D01A9D">
        <w:rPr>
          <w:i/>
          <w:iCs/>
        </w:rPr>
        <w:t xml:space="preserve">PBAC </w:t>
      </w:r>
      <w:r w:rsidR="001D2A21" w:rsidRPr="71D01A9D">
        <w:rPr>
          <w:i/>
          <w:iCs/>
        </w:rPr>
        <w:t>commentary</w:t>
      </w:r>
      <w:r w:rsidR="0083057C" w:rsidRPr="71D01A9D">
        <w:rPr>
          <w:i/>
          <w:iCs/>
        </w:rPr>
        <w:t>,</w:t>
      </w:r>
      <w:r w:rsidR="0083057C">
        <w:t xml:space="preserve"> </w:t>
      </w:r>
      <w:r w:rsidR="0083057C" w:rsidRPr="71D01A9D">
        <w:rPr>
          <w:i/>
          <w:iCs/>
        </w:rPr>
        <w:t>6.04 incobotulinumtoxinA ratified</w:t>
      </w:r>
      <w:r w:rsidR="0083057C" w:rsidRPr="71D01A9D">
        <w:rPr>
          <w:rFonts w:eastAsia="Calibri"/>
          <w:i/>
          <w:iCs/>
        </w:rPr>
        <w:t xml:space="preserve"> minutes</w:t>
      </w:r>
      <w:r w:rsidR="00FA4693" w:rsidRPr="71D01A9D">
        <w:rPr>
          <w:i/>
          <w:iCs/>
        </w:rPr>
        <w:t xml:space="preserve"> and recalculated by the Department</w:t>
      </w:r>
    </w:p>
    <w:p w14:paraId="72E9735F" w14:textId="3C4871F9" w:rsidR="00C074BD" w:rsidRDefault="042D4A51" w:rsidP="00C074BD">
      <w:pPr>
        <w:pStyle w:val="TableFigureFooter"/>
        <w:keepNext/>
        <w:keepLines/>
        <w:spacing w:before="0" w:after="0"/>
      </w:pPr>
      <w:r>
        <w:t>The redacted values correspond to the following ranges</w:t>
      </w:r>
    </w:p>
    <w:p w14:paraId="440995A5" w14:textId="7F591A51" w:rsidR="19AFDF72" w:rsidRDefault="4CD4200C" w:rsidP="5B05C43F">
      <w:pPr>
        <w:pStyle w:val="TableFigureFooter"/>
        <w:keepNext/>
        <w:keepLines/>
        <w:spacing w:before="0" w:after="0"/>
      </w:pPr>
      <w:r>
        <w:t>1 500 to &lt;5,000</w:t>
      </w:r>
    </w:p>
    <w:p w14:paraId="174AB53C" w14:textId="4DB6414A" w:rsidR="79D26D6F" w:rsidRDefault="73D47192" w:rsidP="5B05C43F">
      <w:pPr>
        <w:pStyle w:val="TableFigureFooter"/>
        <w:keepNext/>
        <w:keepLines/>
        <w:spacing w:before="0" w:after="0"/>
      </w:pPr>
      <w:r>
        <w:t>2 5,000 to &lt; 10,000</w:t>
      </w:r>
    </w:p>
    <w:p w14:paraId="1DAD0AC7" w14:textId="6425722F" w:rsidR="678BD0FE" w:rsidRDefault="41F504FB" w:rsidP="6C95547C">
      <w:pPr>
        <w:pStyle w:val="TableFigureFooter"/>
        <w:keepNext/>
        <w:keepLines/>
        <w:spacing w:before="0" w:after="0"/>
      </w:pPr>
      <w:r>
        <w:t>3 10</w:t>
      </w:r>
      <w:r w:rsidR="7580AFBD">
        <w:t>,</w:t>
      </w:r>
      <w:r>
        <w:t>000 to &lt; 20,000</w:t>
      </w:r>
    </w:p>
    <w:p w14:paraId="00FBF3D5" w14:textId="55CA88FE" w:rsidR="00C074BD" w:rsidRDefault="61E16DD2" w:rsidP="00C074BD">
      <w:pPr>
        <w:pStyle w:val="TableFigureFooter"/>
        <w:keepNext/>
        <w:keepLines/>
        <w:spacing w:before="0" w:after="0"/>
      </w:pPr>
      <w:r>
        <w:t xml:space="preserve">4 </w:t>
      </w:r>
      <w:r w:rsidR="042D4A51">
        <w:t>0 to &lt; 500</w:t>
      </w:r>
    </w:p>
    <w:p w14:paraId="55C3BA4A" w14:textId="31495ABF" w:rsidR="00C074BD" w:rsidRDefault="00C074BD" w:rsidP="00C074BD">
      <w:pPr>
        <w:pStyle w:val="TableFigureFooter"/>
        <w:keepNext/>
        <w:keepLines/>
        <w:spacing w:before="0" w:after="0"/>
      </w:pPr>
      <w:r>
        <w:t>5 20,000 to &lt; 30,000</w:t>
      </w:r>
    </w:p>
    <w:p w14:paraId="50CE81E6" w14:textId="77777777" w:rsidR="00C074BD" w:rsidRDefault="00C074BD" w:rsidP="00C074BD">
      <w:pPr>
        <w:pStyle w:val="TableFigureFooter"/>
        <w:keepNext/>
        <w:keepLines/>
        <w:spacing w:before="0" w:after="0"/>
      </w:pPr>
      <w:r>
        <w:t>6 30,000 to &lt; 40,000</w:t>
      </w:r>
    </w:p>
    <w:p w14:paraId="5AC04645" w14:textId="1D5A264E" w:rsidR="00A10DE7" w:rsidRPr="00A50660" w:rsidRDefault="00C074BD" w:rsidP="00C074BD">
      <w:pPr>
        <w:pStyle w:val="TableFigureFooter"/>
        <w:spacing w:before="0" w:after="0"/>
        <w:rPr>
          <w:iCs/>
        </w:rPr>
      </w:pPr>
      <w:r>
        <w:t>7 40,000 to &lt; 50,000</w:t>
      </w:r>
    </w:p>
    <w:p w14:paraId="3297DF95" w14:textId="19B4EC91" w:rsidR="00711F64" w:rsidRPr="00EF7855" w:rsidRDefault="002A5987" w:rsidP="002A5987">
      <w:pPr>
        <w:spacing w:line="276" w:lineRule="auto"/>
      </w:pPr>
      <w:r w:rsidRPr="00EF7855">
        <w:lastRenderedPageBreak/>
        <w:t xml:space="preserve">The financial implications to the MBS from the ADAR and revised by the Department resulting are summarised in </w:t>
      </w:r>
      <w:r w:rsidRPr="00EF7855">
        <w:fldChar w:fldCharType="begin"/>
      </w:r>
      <w:r w:rsidRPr="00EF7855">
        <w:instrText xml:space="preserve"> REF _Ref189735228 \h  \* MERGEFORMAT </w:instrText>
      </w:r>
      <w:r w:rsidRPr="00EF7855">
        <w:fldChar w:fldCharType="separate"/>
      </w:r>
      <w:r w:rsidRPr="00EF7855">
        <w:t xml:space="preserve">Table </w:t>
      </w:r>
      <w:r w:rsidR="007758B8" w:rsidRPr="00EF7855">
        <w:t>9</w:t>
      </w:r>
      <w:r w:rsidRPr="00EF7855">
        <w:fldChar w:fldCharType="end"/>
      </w:r>
      <w:r w:rsidRPr="00EF7855">
        <w:t xml:space="preserve">. As shown, the net cost of listing </w:t>
      </w:r>
      <w:r w:rsidR="004C3AF6" w:rsidRPr="00EF7855">
        <w:t>incobotulinumtoxinA</w:t>
      </w:r>
      <w:r w:rsidRPr="00EF7855">
        <w:t xml:space="preserve"> to the MBS is expected to be </w:t>
      </w:r>
      <w:r w:rsidR="00A3759A">
        <w:t xml:space="preserve">$0 to &lt; $10 million </w:t>
      </w:r>
      <w:r w:rsidRPr="00EF7855">
        <w:t>in 2025-26, increasing to $</w:t>
      </w:r>
      <w:r w:rsidR="00A3759A">
        <w:t xml:space="preserve">0 to &lt; $10 million </w:t>
      </w:r>
      <w:r w:rsidRPr="00EF7855">
        <w:t>in 2030-31</w:t>
      </w:r>
      <w:r w:rsidR="009810E7" w:rsidRPr="00EF7855">
        <w:t xml:space="preserve"> </w:t>
      </w:r>
      <w:r w:rsidR="00341F3F" w:rsidRPr="00EF7855">
        <w:t xml:space="preserve">based on a 100% rebate </w:t>
      </w:r>
      <w:r w:rsidR="009810E7" w:rsidRPr="00EF7855">
        <w:t>when the costs are revised to use the utilisation estimates in the PBAC minutes, correct the number of specialist consultations</w:t>
      </w:r>
      <w:r w:rsidR="00341F3F" w:rsidRPr="00EF7855">
        <w:t xml:space="preserve"> and include anaesthesia costs for children</w:t>
      </w:r>
      <w:r w:rsidRPr="00EF7855">
        <w:t xml:space="preserve">. </w:t>
      </w:r>
    </w:p>
    <w:p w14:paraId="489E4A62" w14:textId="4F2F0D3E" w:rsidR="00D956D9" w:rsidRPr="006B01BE" w:rsidRDefault="002A5987" w:rsidP="006B01BE">
      <w:pPr>
        <w:spacing w:line="276" w:lineRule="auto"/>
      </w:pPr>
      <w:r w:rsidRPr="00EF7855">
        <w:t xml:space="preserve">The ADAR claimed that </w:t>
      </w:r>
      <w:r w:rsidR="00D23721" w:rsidRPr="00EF7855">
        <w:t>as</w:t>
      </w:r>
      <w:r w:rsidRPr="00EF7855">
        <w:t xml:space="preserve"> most patients have long term chronic conditions, the overall copayment figures are expected to be low, so Medicare rebates will likely cover close to 100% of the benefit from these utilised services. </w:t>
      </w:r>
      <w:r w:rsidR="003D7318" w:rsidRPr="00EF7855">
        <w:t xml:space="preserve">MBS costs have been presented with a 100% rebate as </w:t>
      </w:r>
      <w:r w:rsidR="00C015DB" w:rsidRPr="00EF7855">
        <w:t xml:space="preserve">some services </w:t>
      </w:r>
      <w:r w:rsidR="00D87A8D" w:rsidRPr="00EF7855">
        <w:t xml:space="preserve">may be classified as </w:t>
      </w:r>
      <w:r w:rsidR="00D347FB" w:rsidRPr="00EF7855">
        <w:t xml:space="preserve">a ‘hospital treatment’ if </w:t>
      </w:r>
      <w:r w:rsidR="00054C72" w:rsidRPr="00EF7855">
        <w:t>i</w:t>
      </w:r>
      <w:r w:rsidR="00F14AFC" w:rsidRPr="00EF7855">
        <w:t xml:space="preserve">ncobotulinumtoxinA </w:t>
      </w:r>
      <w:r w:rsidR="00D347FB" w:rsidRPr="00EF7855">
        <w:t xml:space="preserve">is administered at a hospital (or with the direct involvement of the hospital). </w:t>
      </w:r>
      <w:r w:rsidR="00D956D9">
        <w:br w:type="page"/>
      </w:r>
    </w:p>
    <w:p w14:paraId="2FF93D6E" w14:textId="2B6479B8" w:rsidR="006C114E" w:rsidRDefault="6897D73A" w:rsidP="006C114E">
      <w:pPr>
        <w:pStyle w:val="Caption"/>
      </w:pPr>
      <w:r>
        <w:lastRenderedPageBreak/>
        <w:t xml:space="preserve">Table </w:t>
      </w:r>
      <w:r w:rsidR="58283F33">
        <w:t>9</w:t>
      </w:r>
      <w:r>
        <w:t>. Net financial implications to the MBS</w:t>
      </w:r>
      <w:r w:rsidR="728E42E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106"/>
        <w:gridCol w:w="1170"/>
        <w:gridCol w:w="1265"/>
        <w:gridCol w:w="1265"/>
        <w:gridCol w:w="1361"/>
        <w:gridCol w:w="1361"/>
      </w:tblGrid>
      <w:tr w:rsidR="001D5C3B" w:rsidRPr="00802A97" w14:paraId="1C7E91AD" w14:textId="77777777" w:rsidTr="555620BB">
        <w:trPr>
          <w:tblHeader/>
        </w:trPr>
        <w:tc>
          <w:tcPr>
            <w:tcW w:w="1488" w:type="dxa"/>
            <w:shd w:val="clear" w:color="auto" w:fill="D0CECE" w:themeFill="background2" w:themeFillShade="E6"/>
            <w:tcMar>
              <w:top w:w="0" w:type="dxa"/>
              <w:left w:w="108" w:type="dxa"/>
              <w:bottom w:w="0" w:type="dxa"/>
              <w:right w:w="108" w:type="dxa"/>
            </w:tcMar>
          </w:tcPr>
          <w:p w14:paraId="07B66028" w14:textId="77777777" w:rsidR="006C114E" w:rsidRPr="004D286C" w:rsidRDefault="006C114E">
            <w:pPr>
              <w:pStyle w:val="TableText"/>
              <w:keepNext/>
              <w:rPr>
                <w:b/>
                <w:iCs/>
              </w:rPr>
            </w:pPr>
            <w:r w:rsidRPr="004D286C">
              <w:rPr>
                <w:b/>
                <w:iCs/>
              </w:rPr>
              <w:t xml:space="preserve">MBS Item Description </w:t>
            </w:r>
          </w:p>
        </w:tc>
        <w:tc>
          <w:tcPr>
            <w:tcW w:w="1106" w:type="dxa"/>
            <w:shd w:val="clear" w:color="auto" w:fill="D0CECE" w:themeFill="background2" w:themeFillShade="E6"/>
            <w:tcMar>
              <w:top w:w="0" w:type="dxa"/>
              <w:left w:w="108" w:type="dxa"/>
              <w:bottom w:w="0" w:type="dxa"/>
              <w:right w:w="108" w:type="dxa"/>
            </w:tcMar>
            <w:hideMark/>
          </w:tcPr>
          <w:p w14:paraId="7A93A509" w14:textId="77777777" w:rsidR="006C114E" w:rsidRPr="004D286C" w:rsidRDefault="006C114E">
            <w:pPr>
              <w:pStyle w:val="TableText"/>
              <w:keepNext/>
              <w:rPr>
                <w:b/>
                <w:iCs/>
              </w:rPr>
            </w:pPr>
            <w:r w:rsidRPr="004D286C">
              <w:rPr>
                <w:b/>
                <w:iCs/>
              </w:rPr>
              <w:t>FY 2025-26</w:t>
            </w:r>
          </w:p>
        </w:tc>
        <w:tc>
          <w:tcPr>
            <w:tcW w:w="1170" w:type="dxa"/>
            <w:shd w:val="clear" w:color="auto" w:fill="D0CECE" w:themeFill="background2" w:themeFillShade="E6"/>
            <w:tcMar>
              <w:top w:w="0" w:type="dxa"/>
              <w:left w:w="108" w:type="dxa"/>
              <w:bottom w:w="0" w:type="dxa"/>
              <w:right w:w="108" w:type="dxa"/>
            </w:tcMar>
            <w:hideMark/>
          </w:tcPr>
          <w:p w14:paraId="0D2F478E" w14:textId="77777777" w:rsidR="006C114E" w:rsidRPr="004D286C" w:rsidRDefault="006C114E">
            <w:pPr>
              <w:pStyle w:val="TableText"/>
              <w:keepNext/>
              <w:rPr>
                <w:b/>
                <w:iCs/>
              </w:rPr>
            </w:pPr>
            <w:r w:rsidRPr="004D286C">
              <w:rPr>
                <w:b/>
                <w:iCs/>
              </w:rPr>
              <w:t>FY 2026-27</w:t>
            </w:r>
          </w:p>
        </w:tc>
        <w:tc>
          <w:tcPr>
            <w:tcW w:w="1265" w:type="dxa"/>
            <w:shd w:val="clear" w:color="auto" w:fill="D0CECE" w:themeFill="background2" w:themeFillShade="E6"/>
            <w:tcMar>
              <w:top w:w="0" w:type="dxa"/>
              <w:left w:w="108" w:type="dxa"/>
              <w:bottom w:w="0" w:type="dxa"/>
              <w:right w:w="108" w:type="dxa"/>
            </w:tcMar>
            <w:hideMark/>
          </w:tcPr>
          <w:p w14:paraId="69D8BAAC" w14:textId="77777777" w:rsidR="006C114E" w:rsidRPr="004D286C" w:rsidRDefault="006C114E">
            <w:pPr>
              <w:pStyle w:val="TableText"/>
              <w:keepNext/>
              <w:rPr>
                <w:b/>
                <w:iCs/>
              </w:rPr>
            </w:pPr>
            <w:r w:rsidRPr="004D286C">
              <w:rPr>
                <w:b/>
                <w:iCs/>
              </w:rPr>
              <w:t>FY 2027-28</w:t>
            </w:r>
          </w:p>
        </w:tc>
        <w:tc>
          <w:tcPr>
            <w:tcW w:w="1265" w:type="dxa"/>
            <w:shd w:val="clear" w:color="auto" w:fill="D0CECE" w:themeFill="background2" w:themeFillShade="E6"/>
            <w:tcMar>
              <w:top w:w="0" w:type="dxa"/>
              <w:left w:w="108" w:type="dxa"/>
              <w:bottom w:w="0" w:type="dxa"/>
              <w:right w:w="108" w:type="dxa"/>
            </w:tcMar>
            <w:hideMark/>
          </w:tcPr>
          <w:p w14:paraId="3A7E3924" w14:textId="77777777" w:rsidR="006C114E" w:rsidRPr="004D286C" w:rsidRDefault="006C114E">
            <w:pPr>
              <w:pStyle w:val="TableText"/>
              <w:keepNext/>
              <w:rPr>
                <w:b/>
                <w:iCs/>
              </w:rPr>
            </w:pPr>
            <w:r w:rsidRPr="004D286C">
              <w:rPr>
                <w:b/>
                <w:iCs/>
              </w:rPr>
              <w:t>FY 2028-29</w:t>
            </w:r>
          </w:p>
        </w:tc>
        <w:tc>
          <w:tcPr>
            <w:tcW w:w="1361" w:type="dxa"/>
            <w:shd w:val="clear" w:color="auto" w:fill="D0CECE" w:themeFill="background2" w:themeFillShade="E6"/>
            <w:tcMar>
              <w:top w:w="0" w:type="dxa"/>
              <w:left w:w="108" w:type="dxa"/>
              <w:bottom w:w="0" w:type="dxa"/>
              <w:right w:w="108" w:type="dxa"/>
            </w:tcMar>
            <w:hideMark/>
          </w:tcPr>
          <w:p w14:paraId="1763000F" w14:textId="77777777" w:rsidR="006C114E" w:rsidRPr="004D286C" w:rsidRDefault="006C114E">
            <w:pPr>
              <w:pStyle w:val="TableText"/>
              <w:keepNext/>
              <w:rPr>
                <w:b/>
                <w:iCs/>
              </w:rPr>
            </w:pPr>
            <w:r w:rsidRPr="004D286C">
              <w:rPr>
                <w:b/>
                <w:iCs/>
              </w:rPr>
              <w:t>FY 2029-30</w:t>
            </w:r>
          </w:p>
        </w:tc>
        <w:tc>
          <w:tcPr>
            <w:tcW w:w="1361" w:type="dxa"/>
            <w:shd w:val="clear" w:color="auto" w:fill="D0CECE" w:themeFill="background2" w:themeFillShade="E6"/>
            <w:tcMar>
              <w:top w:w="0" w:type="dxa"/>
              <w:left w:w="108" w:type="dxa"/>
              <w:bottom w:w="0" w:type="dxa"/>
              <w:right w:w="108" w:type="dxa"/>
            </w:tcMar>
            <w:hideMark/>
          </w:tcPr>
          <w:p w14:paraId="4C05FB17" w14:textId="77777777" w:rsidR="006C114E" w:rsidRPr="004D286C" w:rsidRDefault="006C114E">
            <w:pPr>
              <w:pStyle w:val="TableText"/>
              <w:keepNext/>
              <w:rPr>
                <w:b/>
                <w:iCs/>
              </w:rPr>
            </w:pPr>
            <w:r w:rsidRPr="004D286C">
              <w:rPr>
                <w:b/>
                <w:iCs/>
              </w:rPr>
              <w:t>FY 2030-31</w:t>
            </w:r>
          </w:p>
        </w:tc>
      </w:tr>
      <w:tr w:rsidR="006C114E" w:rsidRPr="00802A97" w14:paraId="34E94855" w14:textId="77777777" w:rsidTr="555620BB">
        <w:tc>
          <w:tcPr>
            <w:tcW w:w="9016" w:type="dxa"/>
            <w:gridSpan w:val="7"/>
            <w:shd w:val="clear" w:color="auto" w:fill="E7E6E6" w:themeFill="background2"/>
            <w:tcMar>
              <w:top w:w="0" w:type="dxa"/>
              <w:left w:w="108" w:type="dxa"/>
              <w:bottom w:w="0" w:type="dxa"/>
              <w:right w:w="108" w:type="dxa"/>
            </w:tcMar>
          </w:tcPr>
          <w:p w14:paraId="3EA7580A" w14:textId="5B1B3A58" w:rsidR="006C114E" w:rsidRPr="004D286C" w:rsidRDefault="00504288">
            <w:pPr>
              <w:pStyle w:val="TableText"/>
              <w:keepNext/>
              <w:rPr>
                <w:b/>
                <w:iCs/>
              </w:rPr>
            </w:pPr>
            <w:r w:rsidRPr="00802A97">
              <w:rPr>
                <w:b/>
                <w:bCs/>
                <w:iCs/>
              </w:rPr>
              <w:t>Estimated net financial impact on MBS</w:t>
            </w:r>
          </w:p>
        </w:tc>
      </w:tr>
      <w:tr w:rsidR="009D3CB1" w:rsidRPr="00802A97" w14:paraId="37B6D918" w14:textId="77777777" w:rsidTr="555620BB">
        <w:tc>
          <w:tcPr>
            <w:tcW w:w="1488" w:type="dxa"/>
            <w:tcMar>
              <w:top w:w="0" w:type="dxa"/>
              <w:left w:w="108" w:type="dxa"/>
              <w:bottom w:w="0" w:type="dxa"/>
              <w:right w:w="108" w:type="dxa"/>
            </w:tcMar>
          </w:tcPr>
          <w:p w14:paraId="7488B067" w14:textId="1430187C" w:rsidR="009D3CB1" w:rsidRPr="004D286C" w:rsidRDefault="00421A7E" w:rsidP="009D3CB1">
            <w:pPr>
              <w:pStyle w:val="TableText"/>
              <w:keepNext/>
              <w:rPr>
                <w:iCs/>
              </w:rPr>
            </w:pPr>
            <w:r w:rsidRPr="00802A97">
              <w:rPr>
                <w:iCs/>
              </w:rPr>
              <w:t>Injection Administration</w:t>
            </w:r>
          </w:p>
        </w:tc>
        <w:tc>
          <w:tcPr>
            <w:tcW w:w="1106" w:type="dxa"/>
            <w:tcMar>
              <w:top w:w="0" w:type="dxa"/>
              <w:left w:w="108" w:type="dxa"/>
              <w:bottom w:w="0" w:type="dxa"/>
              <w:right w:w="108" w:type="dxa"/>
            </w:tcMar>
            <w:vAlign w:val="center"/>
          </w:tcPr>
          <w:p w14:paraId="3AE46338" w14:textId="70A1C821" w:rsidR="009D3CB1" w:rsidRPr="004D286C" w:rsidRDefault="00421A7E" w:rsidP="00815834">
            <w:pPr>
              <w:pStyle w:val="TableText"/>
              <w:keepNext/>
              <w:jc w:val="right"/>
              <w:rPr>
                <w:iCs/>
              </w:rPr>
            </w:pPr>
            <w:r w:rsidRPr="00802A97">
              <w:rPr>
                <w:iCs/>
              </w:rPr>
              <w:t>$</w:t>
            </w:r>
            <w:r w:rsidR="009026DB" w:rsidRPr="00BF3C33">
              <w:rPr>
                <w:rFonts w:eastAsia="Arial Narrow" w:cs="Arial Narrow"/>
                <w:szCs w:val="20"/>
              </w:rPr>
              <w:t>|</w:t>
            </w:r>
            <w:r w:rsidR="009026DB">
              <w:rPr>
                <w:rFonts w:eastAsia="Arial Narrow" w:cs="Arial Narrow"/>
                <w:szCs w:val="20"/>
              </w:rPr>
              <w:t xml:space="preserve"> </w:t>
            </w:r>
            <w:r w:rsidR="009026DB"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66BF224C" w14:textId="09879ACB" w:rsidR="009D3CB1" w:rsidRPr="004D286C" w:rsidRDefault="00421A7E" w:rsidP="00815834">
            <w:pPr>
              <w:pStyle w:val="TableText"/>
              <w:keepNext/>
              <w:jc w:val="right"/>
              <w:rPr>
                <w:iCs/>
              </w:rPr>
            </w:pPr>
            <w:r w:rsidRPr="00802A97">
              <w:rPr>
                <w:iCs/>
              </w:rPr>
              <w:t>$</w:t>
            </w:r>
            <w:r w:rsidR="009026DB" w:rsidRPr="00BF3C33">
              <w:rPr>
                <w:rFonts w:eastAsia="Arial Narrow" w:cs="Arial Narrow"/>
                <w:szCs w:val="20"/>
              </w:rPr>
              <w:t>|</w:t>
            </w:r>
            <w:r w:rsidR="009026DB">
              <w:rPr>
                <w:rFonts w:eastAsia="Arial Narrow" w:cs="Arial Narrow"/>
                <w:szCs w:val="20"/>
              </w:rPr>
              <w:t xml:space="preserve"> </w:t>
            </w:r>
            <w:r w:rsidR="009026DB"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4D93BE56" w14:textId="324A1A84" w:rsidR="009D3CB1" w:rsidRPr="004D286C" w:rsidRDefault="00421A7E" w:rsidP="00815834">
            <w:pPr>
              <w:pStyle w:val="TableText"/>
              <w:keepNext/>
              <w:jc w:val="right"/>
              <w:rPr>
                <w:iCs/>
              </w:rPr>
            </w:pPr>
            <w:r w:rsidRPr="00802A97">
              <w:rPr>
                <w:iCs/>
              </w:rPr>
              <w:t>$</w:t>
            </w:r>
            <w:r w:rsidR="009026DB" w:rsidRPr="00BF3C33">
              <w:rPr>
                <w:rFonts w:eastAsia="Arial Narrow" w:cs="Arial Narrow"/>
                <w:szCs w:val="20"/>
              </w:rPr>
              <w:t>|</w:t>
            </w:r>
            <w:r w:rsidR="009026DB">
              <w:rPr>
                <w:rFonts w:eastAsia="Arial Narrow" w:cs="Arial Narrow"/>
                <w:szCs w:val="20"/>
              </w:rPr>
              <w:t xml:space="preserve"> </w:t>
            </w:r>
            <w:r w:rsidR="009026DB"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37F9C554" w14:textId="5FE7F957" w:rsidR="009D3CB1"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04140A6D" w14:textId="61557211" w:rsidR="009D3CB1"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0FE0A216" w14:textId="2605F2DC" w:rsidR="009D3CB1"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FD254D" w:rsidRPr="00802A97" w14:paraId="686E4BE7" w14:textId="77777777" w:rsidTr="555620BB">
        <w:tc>
          <w:tcPr>
            <w:tcW w:w="1488" w:type="dxa"/>
            <w:tcMar>
              <w:top w:w="0" w:type="dxa"/>
              <w:left w:w="108" w:type="dxa"/>
              <w:bottom w:w="0" w:type="dxa"/>
              <w:right w:w="108" w:type="dxa"/>
            </w:tcMar>
          </w:tcPr>
          <w:p w14:paraId="7CB342E9" w14:textId="3F82F6D1" w:rsidR="00FD254D" w:rsidRPr="004D286C" w:rsidRDefault="00421A7E" w:rsidP="00FD254D">
            <w:pPr>
              <w:pStyle w:val="TableText"/>
              <w:keepNext/>
              <w:rPr>
                <w:iCs/>
              </w:rPr>
            </w:pPr>
            <w:r w:rsidRPr="00802A97">
              <w:rPr>
                <w:iCs/>
              </w:rPr>
              <w:t>Consultation</w:t>
            </w:r>
          </w:p>
        </w:tc>
        <w:tc>
          <w:tcPr>
            <w:tcW w:w="1106" w:type="dxa"/>
            <w:tcMar>
              <w:top w:w="0" w:type="dxa"/>
              <w:left w:w="108" w:type="dxa"/>
              <w:bottom w:w="0" w:type="dxa"/>
              <w:right w:w="108" w:type="dxa"/>
            </w:tcMar>
            <w:vAlign w:val="center"/>
          </w:tcPr>
          <w:p w14:paraId="041AD2A5" w14:textId="4D429EFD" w:rsidR="00FD254D"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140FA9EF" w14:textId="0FDA2B2D" w:rsidR="00FD254D"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37F6ECD3" w14:textId="3FB719F7" w:rsidR="00FD254D"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16E81A92" w14:textId="6E6BF08B" w:rsidR="00FD254D"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61500431" w14:textId="3DF80034" w:rsidR="00FD254D"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55BDABA2" w14:textId="6E2CA088" w:rsidR="00FD254D"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211C5F" w:rsidRPr="00802A97" w14:paraId="37CD7BDD" w14:textId="77777777" w:rsidTr="555620BB">
        <w:tc>
          <w:tcPr>
            <w:tcW w:w="1488" w:type="dxa"/>
            <w:tcMar>
              <w:top w:w="0" w:type="dxa"/>
              <w:left w:w="108" w:type="dxa"/>
              <w:bottom w:w="0" w:type="dxa"/>
              <w:right w:w="108" w:type="dxa"/>
            </w:tcMar>
          </w:tcPr>
          <w:p w14:paraId="6A62C5E4" w14:textId="286EEE35" w:rsidR="00211C5F" w:rsidRPr="004D286C" w:rsidRDefault="00421A7E" w:rsidP="00211C5F">
            <w:pPr>
              <w:pStyle w:val="TableText"/>
              <w:keepNext/>
              <w:rPr>
                <w:iCs/>
              </w:rPr>
            </w:pPr>
            <w:r w:rsidRPr="00802A97">
              <w:rPr>
                <w:iCs/>
              </w:rPr>
              <w:t>Ultrasound - Adult</w:t>
            </w:r>
          </w:p>
        </w:tc>
        <w:tc>
          <w:tcPr>
            <w:tcW w:w="1106" w:type="dxa"/>
            <w:tcMar>
              <w:top w:w="0" w:type="dxa"/>
              <w:left w:w="108" w:type="dxa"/>
              <w:bottom w:w="0" w:type="dxa"/>
              <w:right w:w="108" w:type="dxa"/>
            </w:tcMar>
            <w:vAlign w:val="center"/>
          </w:tcPr>
          <w:p w14:paraId="6A4EA806" w14:textId="411772D9" w:rsidR="00211C5F"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6690D31B" w14:textId="3B9DC8F9" w:rsidR="00211C5F"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5CFFA659" w14:textId="2F33BFA4" w:rsidR="00211C5F"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569D819E" w14:textId="6F4BBF7B" w:rsidR="00211C5F"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738269B4" w14:textId="47FDC7C5" w:rsidR="00211C5F"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6D1E2064" w14:textId="6DE5B498" w:rsidR="00211C5F"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2130EA" w:rsidRPr="00802A97" w14:paraId="328D4307" w14:textId="77777777" w:rsidTr="555620BB">
        <w:tc>
          <w:tcPr>
            <w:tcW w:w="1488" w:type="dxa"/>
            <w:tcMar>
              <w:top w:w="0" w:type="dxa"/>
              <w:left w:w="108" w:type="dxa"/>
              <w:bottom w:w="0" w:type="dxa"/>
              <w:right w:w="108" w:type="dxa"/>
            </w:tcMar>
          </w:tcPr>
          <w:p w14:paraId="6115978A" w14:textId="502A7296" w:rsidR="002130EA" w:rsidRPr="004D286C" w:rsidRDefault="00421A7E" w:rsidP="002130EA">
            <w:pPr>
              <w:pStyle w:val="TableText"/>
              <w:keepNext/>
              <w:rPr>
                <w:iCs/>
              </w:rPr>
            </w:pPr>
            <w:r w:rsidRPr="00802A97">
              <w:rPr>
                <w:iCs/>
              </w:rPr>
              <w:t>Ultrasound - Paediatric</w:t>
            </w:r>
          </w:p>
        </w:tc>
        <w:tc>
          <w:tcPr>
            <w:tcW w:w="1106" w:type="dxa"/>
            <w:tcMar>
              <w:top w:w="0" w:type="dxa"/>
              <w:left w:w="108" w:type="dxa"/>
              <w:bottom w:w="0" w:type="dxa"/>
              <w:right w:w="108" w:type="dxa"/>
            </w:tcMar>
            <w:vAlign w:val="center"/>
          </w:tcPr>
          <w:p w14:paraId="14636333" w14:textId="204E17DE" w:rsidR="002130EA"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43E15BBE" w14:textId="6EF661CF" w:rsidR="002130EA"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3789550D" w14:textId="7D132AF2" w:rsidR="002130EA"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2A90A313" w14:textId="636383B8" w:rsidR="002130EA"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09CCD118" w14:textId="7BC102C8" w:rsidR="002130EA"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117E3A3F" w14:textId="3694A3CD" w:rsidR="002130EA" w:rsidRPr="004D286C" w:rsidRDefault="00421A7E"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2130EA" w:rsidRPr="00802A97" w14:paraId="4FAD3E18" w14:textId="77777777" w:rsidTr="555620BB">
        <w:tc>
          <w:tcPr>
            <w:tcW w:w="1488" w:type="dxa"/>
            <w:tcMar>
              <w:top w:w="0" w:type="dxa"/>
              <w:left w:w="108" w:type="dxa"/>
              <w:bottom w:w="0" w:type="dxa"/>
              <w:right w:w="108" w:type="dxa"/>
            </w:tcMar>
          </w:tcPr>
          <w:p w14:paraId="5784ABC9" w14:textId="07E0D5C9" w:rsidR="002130EA" w:rsidRPr="004D286C" w:rsidRDefault="00421A7E" w:rsidP="002130EA">
            <w:pPr>
              <w:pStyle w:val="TableText"/>
              <w:keepNext/>
              <w:rPr>
                <w:iCs/>
              </w:rPr>
            </w:pPr>
            <w:r w:rsidRPr="00802A97">
              <w:rPr>
                <w:b/>
                <w:bCs/>
                <w:iCs/>
              </w:rPr>
              <w:t>Net cost to the MBS</w:t>
            </w:r>
          </w:p>
        </w:tc>
        <w:tc>
          <w:tcPr>
            <w:tcW w:w="1106" w:type="dxa"/>
            <w:tcMar>
              <w:top w:w="0" w:type="dxa"/>
              <w:left w:w="108" w:type="dxa"/>
              <w:bottom w:w="0" w:type="dxa"/>
              <w:right w:w="108" w:type="dxa"/>
            </w:tcMar>
            <w:vAlign w:val="center"/>
          </w:tcPr>
          <w:p w14:paraId="17BF280C" w14:textId="7F5CADBC" w:rsidR="002130EA" w:rsidRPr="004D286C" w:rsidRDefault="00421A7E" w:rsidP="00815834">
            <w:pPr>
              <w:pStyle w:val="TableText"/>
              <w:keepNext/>
              <w:jc w:val="right"/>
              <w:rPr>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1B7008A9" w14:textId="21820354" w:rsidR="002130EA" w:rsidRPr="004D286C" w:rsidRDefault="00421A7E" w:rsidP="00815834">
            <w:pPr>
              <w:pStyle w:val="TableText"/>
              <w:keepNext/>
              <w:jc w:val="right"/>
              <w:rPr>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34090CFE" w14:textId="13C67513" w:rsidR="002130EA" w:rsidRPr="004D286C" w:rsidRDefault="00421A7E" w:rsidP="00815834">
            <w:pPr>
              <w:pStyle w:val="TableText"/>
              <w:keepNext/>
              <w:jc w:val="right"/>
              <w:rPr>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5A443EB1" w14:textId="3F861F49" w:rsidR="002130EA" w:rsidRPr="004D286C" w:rsidRDefault="00421A7E" w:rsidP="00815834">
            <w:pPr>
              <w:pStyle w:val="TableText"/>
              <w:keepNext/>
              <w:jc w:val="right"/>
              <w:rPr>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07260504" w14:textId="176B1501" w:rsidR="002130EA" w:rsidRPr="004D286C" w:rsidRDefault="00421A7E" w:rsidP="00815834">
            <w:pPr>
              <w:pStyle w:val="TableText"/>
              <w:keepNext/>
              <w:jc w:val="right"/>
              <w:rPr>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589B0F77" w14:textId="021186E8" w:rsidR="002130EA" w:rsidRPr="004D286C" w:rsidRDefault="00421A7E" w:rsidP="00815834">
            <w:pPr>
              <w:pStyle w:val="TableText"/>
              <w:keepNext/>
              <w:jc w:val="right"/>
              <w:rPr>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026FCB" w:rsidRPr="00802A97" w14:paraId="2934F280" w14:textId="77777777" w:rsidTr="555620BB">
        <w:tc>
          <w:tcPr>
            <w:tcW w:w="1488" w:type="dxa"/>
            <w:tcMar>
              <w:top w:w="0" w:type="dxa"/>
              <w:left w:w="108" w:type="dxa"/>
              <w:bottom w:w="0" w:type="dxa"/>
              <w:right w:w="108" w:type="dxa"/>
            </w:tcMar>
          </w:tcPr>
          <w:p w14:paraId="16380A39" w14:textId="6221668E" w:rsidR="00026FCB" w:rsidRPr="00802A97" w:rsidRDefault="00026FCB" w:rsidP="00026FCB">
            <w:pPr>
              <w:pStyle w:val="TableText"/>
              <w:keepNext/>
              <w:rPr>
                <w:b/>
                <w:bCs/>
                <w:iCs/>
              </w:rPr>
            </w:pPr>
            <w:r w:rsidRPr="00802A97">
              <w:rPr>
                <w:b/>
                <w:bCs/>
                <w:iCs/>
              </w:rPr>
              <w:t>Net cost to the MBS (80% benefit)</w:t>
            </w:r>
          </w:p>
        </w:tc>
        <w:tc>
          <w:tcPr>
            <w:tcW w:w="1106" w:type="dxa"/>
            <w:tcMar>
              <w:top w:w="0" w:type="dxa"/>
              <w:left w:w="108" w:type="dxa"/>
              <w:bottom w:w="0" w:type="dxa"/>
              <w:right w:w="108" w:type="dxa"/>
            </w:tcMar>
            <w:vAlign w:val="center"/>
          </w:tcPr>
          <w:p w14:paraId="7EECF310" w14:textId="757126F4" w:rsidR="00026FCB" w:rsidRPr="00802A97" w:rsidRDefault="00026FCB" w:rsidP="00815834">
            <w:pPr>
              <w:pStyle w:val="TableText"/>
              <w:keepNext/>
              <w:jc w:val="right"/>
              <w:rPr>
                <w:b/>
                <w:bCs/>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63359C27" w14:textId="10F05316" w:rsidR="00026FCB" w:rsidRPr="00802A97" w:rsidRDefault="00026FCB" w:rsidP="00815834">
            <w:pPr>
              <w:pStyle w:val="TableText"/>
              <w:keepNext/>
              <w:jc w:val="right"/>
              <w:rPr>
                <w:b/>
                <w:bCs/>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1AB48160" w14:textId="6EB02185" w:rsidR="00026FCB" w:rsidRPr="00802A97" w:rsidRDefault="00026FCB" w:rsidP="00815834">
            <w:pPr>
              <w:pStyle w:val="TableText"/>
              <w:keepNext/>
              <w:jc w:val="right"/>
              <w:rPr>
                <w:b/>
                <w:bCs/>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19D4075C" w14:textId="7602E3CC" w:rsidR="00026FCB" w:rsidRPr="00802A97" w:rsidRDefault="00026FCB" w:rsidP="00815834">
            <w:pPr>
              <w:pStyle w:val="TableText"/>
              <w:keepNext/>
              <w:jc w:val="right"/>
              <w:rPr>
                <w:b/>
                <w:bCs/>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762B12D6" w14:textId="67EA0C4F" w:rsidR="00026FCB" w:rsidRPr="00802A97" w:rsidRDefault="00026FCB" w:rsidP="00815834">
            <w:pPr>
              <w:pStyle w:val="TableText"/>
              <w:keepNext/>
              <w:jc w:val="right"/>
              <w:rPr>
                <w:b/>
                <w:bCs/>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6D7E8158" w14:textId="18E70EA4" w:rsidR="00026FCB" w:rsidRPr="00802A97" w:rsidRDefault="00026FCB" w:rsidP="00815834">
            <w:pPr>
              <w:pStyle w:val="TableText"/>
              <w:keepNext/>
              <w:jc w:val="right"/>
              <w:rPr>
                <w:b/>
                <w:bCs/>
                <w:iCs/>
              </w:rPr>
            </w:pPr>
            <w:r w:rsidRPr="00802A97">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3B211B" w:rsidRPr="00802A97" w14:paraId="620AA456" w14:textId="77777777" w:rsidTr="555620BB">
        <w:tc>
          <w:tcPr>
            <w:tcW w:w="9016" w:type="dxa"/>
            <w:gridSpan w:val="7"/>
            <w:tcMar>
              <w:top w:w="0" w:type="dxa"/>
              <w:left w:w="108" w:type="dxa"/>
              <w:bottom w:w="0" w:type="dxa"/>
              <w:right w:w="108" w:type="dxa"/>
            </w:tcMar>
          </w:tcPr>
          <w:p w14:paraId="5E9700E8" w14:textId="504D87D5" w:rsidR="003B211B" w:rsidRPr="00802A97" w:rsidRDefault="003B211B" w:rsidP="00026FCB">
            <w:pPr>
              <w:pStyle w:val="TableText"/>
              <w:keepNext/>
              <w:rPr>
                <w:b/>
                <w:bCs/>
                <w:iCs/>
              </w:rPr>
            </w:pPr>
            <w:r w:rsidRPr="004D286C">
              <w:rPr>
                <w:b/>
                <w:bCs/>
                <w:iCs/>
              </w:rPr>
              <w:t>Revised Estimated net financial impact on MBS</w:t>
            </w:r>
            <w:r w:rsidR="00A67232" w:rsidRPr="004D286C">
              <w:rPr>
                <w:b/>
                <w:bCs/>
                <w:iCs/>
              </w:rPr>
              <w:t xml:space="preserve"> (</w:t>
            </w:r>
            <w:r w:rsidR="250C4764" w:rsidRPr="004D286C">
              <w:rPr>
                <w:b/>
                <w:bCs/>
                <w:iCs/>
              </w:rPr>
              <w:t>based on utilisation accepted by the</w:t>
            </w:r>
            <w:r w:rsidR="00A67232" w:rsidRPr="004D286C">
              <w:rPr>
                <w:b/>
                <w:bCs/>
                <w:iCs/>
              </w:rPr>
              <w:t xml:space="preserve"> </w:t>
            </w:r>
            <w:r w:rsidR="004E7C26" w:rsidRPr="004D286C">
              <w:rPr>
                <w:b/>
                <w:bCs/>
                <w:iCs/>
              </w:rPr>
              <w:t>PBAC)</w:t>
            </w:r>
          </w:p>
        </w:tc>
      </w:tr>
      <w:tr w:rsidR="007C7083" w:rsidRPr="00802A97" w14:paraId="3BFB909A" w14:textId="77777777" w:rsidTr="555620BB">
        <w:tc>
          <w:tcPr>
            <w:tcW w:w="1488" w:type="dxa"/>
            <w:tcMar>
              <w:top w:w="0" w:type="dxa"/>
              <w:left w:w="108" w:type="dxa"/>
              <w:bottom w:w="0" w:type="dxa"/>
              <w:right w:w="108" w:type="dxa"/>
            </w:tcMar>
            <w:hideMark/>
          </w:tcPr>
          <w:p w14:paraId="1553ED3D" w14:textId="133431A3" w:rsidR="007C7083" w:rsidRPr="004D286C" w:rsidRDefault="007C7083" w:rsidP="007C7083">
            <w:pPr>
              <w:pStyle w:val="TableText"/>
              <w:keepNext/>
              <w:rPr>
                <w:iCs/>
              </w:rPr>
            </w:pPr>
            <w:r w:rsidRPr="004D286C">
              <w:rPr>
                <w:iCs/>
              </w:rPr>
              <w:t>Injection administration</w:t>
            </w:r>
          </w:p>
        </w:tc>
        <w:tc>
          <w:tcPr>
            <w:tcW w:w="1106" w:type="dxa"/>
            <w:tcMar>
              <w:top w:w="0" w:type="dxa"/>
              <w:left w:w="108" w:type="dxa"/>
              <w:bottom w:w="0" w:type="dxa"/>
              <w:right w:w="108" w:type="dxa"/>
            </w:tcMar>
            <w:vAlign w:val="center"/>
          </w:tcPr>
          <w:p w14:paraId="4FC0E82B" w14:textId="7329582E" w:rsidR="007C7083" w:rsidRPr="004D286C" w:rsidRDefault="007C7083"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36979D80" w14:textId="1428DC2B" w:rsidR="007C7083" w:rsidRPr="004D286C" w:rsidRDefault="007C7083"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71821635" w14:textId="7E93100B" w:rsidR="007C7083" w:rsidRPr="004D286C" w:rsidRDefault="007C7083"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269ADFDF" w14:textId="6ADB7F90" w:rsidR="007C7083" w:rsidRPr="004D286C" w:rsidRDefault="007C7083"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1E8B4827" w14:textId="01B9A40A" w:rsidR="007C7083" w:rsidRPr="004D286C" w:rsidRDefault="007C7083"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605BC759" w14:textId="49D6B653" w:rsidR="007C7083" w:rsidRPr="004D286C" w:rsidRDefault="007C7083"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7C7083" w:rsidRPr="00802A97" w14:paraId="35351547" w14:textId="77777777" w:rsidTr="555620BB">
        <w:tc>
          <w:tcPr>
            <w:tcW w:w="1488" w:type="dxa"/>
            <w:tcMar>
              <w:top w:w="0" w:type="dxa"/>
              <w:left w:w="108" w:type="dxa"/>
              <w:bottom w:w="0" w:type="dxa"/>
              <w:right w:w="108" w:type="dxa"/>
            </w:tcMar>
            <w:hideMark/>
          </w:tcPr>
          <w:p w14:paraId="3CE733AB" w14:textId="712F95CC" w:rsidR="007C7083" w:rsidRPr="004D286C" w:rsidRDefault="007C7083" w:rsidP="007C7083">
            <w:pPr>
              <w:pStyle w:val="TableText"/>
              <w:keepNext/>
              <w:rPr>
                <w:iCs/>
              </w:rPr>
            </w:pPr>
            <w:r w:rsidRPr="004D286C">
              <w:rPr>
                <w:iCs/>
              </w:rPr>
              <w:t>Consultation</w:t>
            </w:r>
          </w:p>
        </w:tc>
        <w:tc>
          <w:tcPr>
            <w:tcW w:w="1106" w:type="dxa"/>
            <w:tcMar>
              <w:top w:w="0" w:type="dxa"/>
              <w:left w:w="108" w:type="dxa"/>
              <w:bottom w:w="0" w:type="dxa"/>
              <w:right w:w="108" w:type="dxa"/>
            </w:tcMar>
            <w:vAlign w:val="center"/>
          </w:tcPr>
          <w:p w14:paraId="0CB60B27" w14:textId="4D1D6BD1" w:rsidR="007C7083" w:rsidRPr="004D286C" w:rsidRDefault="00B740E8"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3ED69D73" w14:textId="7CBDFD59" w:rsidR="007C7083" w:rsidRPr="004D286C" w:rsidRDefault="00B740E8"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4A632D27" w14:textId="1FAD4A07" w:rsidR="007C7083" w:rsidRPr="004D286C" w:rsidRDefault="00B740E8"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59C80BFB" w14:textId="55FDAA69" w:rsidR="007C7083" w:rsidRPr="004D286C" w:rsidRDefault="00B740E8"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6A807BB7" w14:textId="7F7F5D00" w:rsidR="007C7083" w:rsidRPr="004D286C" w:rsidRDefault="00B740E8"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5E170C05" w14:textId="541FC78E" w:rsidR="007C7083" w:rsidRPr="004D286C" w:rsidRDefault="00B740E8" w:rsidP="00815834">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287F45" w:rsidRPr="00802A97" w14:paraId="4DA66AE3" w14:textId="77777777" w:rsidTr="555620BB">
        <w:tc>
          <w:tcPr>
            <w:tcW w:w="1488" w:type="dxa"/>
            <w:tcMar>
              <w:top w:w="0" w:type="dxa"/>
              <w:left w:w="108" w:type="dxa"/>
              <w:bottom w:w="0" w:type="dxa"/>
              <w:right w:w="108" w:type="dxa"/>
            </w:tcMar>
          </w:tcPr>
          <w:p w14:paraId="5F177FC1" w14:textId="1AD37E4F" w:rsidR="00287F45" w:rsidRPr="004D286C" w:rsidRDefault="00287F45" w:rsidP="00287F45">
            <w:pPr>
              <w:pStyle w:val="TableText"/>
              <w:keepNext/>
              <w:rPr>
                <w:iCs/>
              </w:rPr>
            </w:pPr>
            <w:r w:rsidRPr="004D286C">
              <w:rPr>
                <w:iCs/>
              </w:rPr>
              <w:t xml:space="preserve">Ultrasound (paediatric and adult) </w:t>
            </w:r>
          </w:p>
        </w:tc>
        <w:tc>
          <w:tcPr>
            <w:tcW w:w="1106" w:type="dxa"/>
            <w:tcMar>
              <w:top w:w="0" w:type="dxa"/>
              <w:left w:w="108" w:type="dxa"/>
              <w:bottom w:w="0" w:type="dxa"/>
              <w:right w:w="108" w:type="dxa"/>
            </w:tcMar>
          </w:tcPr>
          <w:p w14:paraId="238CF1F2" w14:textId="6237647B" w:rsidR="00287F45" w:rsidRPr="00802A97" w:rsidRDefault="00287F45" w:rsidP="00287F45">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tcPr>
          <w:p w14:paraId="712A9ACA" w14:textId="0216B0FB" w:rsidR="00287F45" w:rsidRPr="00802A97" w:rsidRDefault="00287F45" w:rsidP="00287F45">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tcPr>
          <w:p w14:paraId="0A813B56" w14:textId="3B904F0C" w:rsidR="00287F45" w:rsidRPr="00802A97" w:rsidRDefault="00287F45" w:rsidP="00287F45">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tcPr>
          <w:p w14:paraId="1ACE00C6" w14:textId="2A354C3D" w:rsidR="00287F45" w:rsidRPr="00802A97" w:rsidRDefault="00287F45" w:rsidP="00287F45">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tcPr>
          <w:p w14:paraId="6C007E0C" w14:textId="59BA9893" w:rsidR="00287F45" w:rsidRPr="00802A97" w:rsidRDefault="00287F45" w:rsidP="00287F45">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tcPr>
          <w:p w14:paraId="69F0958E" w14:textId="667C2621" w:rsidR="00287F45" w:rsidRPr="00802A97" w:rsidRDefault="00287F45" w:rsidP="00287F45">
            <w:pPr>
              <w:pStyle w:val="TableText"/>
              <w:keepNext/>
              <w:jc w:val="right"/>
              <w:rPr>
                <w:iCs/>
              </w:rPr>
            </w:pPr>
            <w:r w:rsidRPr="00802A97">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1E5257" w:rsidRPr="00802A97" w14:paraId="33BDB2D9" w14:textId="77777777" w:rsidTr="555620BB">
        <w:tc>
          <w:tcPr>
            <w:tcW w:w="1488" w:type="dxa"/>
            <w:tcMar>
              <w:top w:w="0" w:type="dxa"/>
              <w:left w:w="108" w:type="dxa"/>
              <w:bottom w:w="0" w:type="dxa"/>
              <w:right w:w="108" w:type="dxa"/>
            </w:tcMar>
            <w:vAlign w:val="center"/>
          </w:tcPr>
          <w:p w14:paraId="765848D8" w14:textId="78954173" w:rsidR="001E5257" w:rsidRPr="004D286C" w:rsidRDefault="001E5257" w:rsidP="003C6729">
            <w:pPr>
              <w:pStyle w:val="TableText"/>
              <w:keepNext/>
              <w:rPr>
                <w:iCs/>
              </w:rPr>
            </w:pPr>
            <w:r w:rsidRPr="004D286C">
              <w:rPr>
                <w:iCs/>
              </w:rPr>
              <w:t>Anaesthesia (paediatric)</w:t>
            </w:r>
          </w:p>
        </w:tc>
        <w:tc>
          <w:tcPr>
            <w:tcW w:w="1106" w:type="dxa"/>
            <w:tcMar>
              <w:top w:w="0" w:type="dxa"/>
              <w:left w:w="108" w:type="dxa"/>
              <w:bottom w:w="0" w:type="dxa"/>
              <w:right w:w="108" w:type="dxa"/>
            </w:tcMar>
            <w:vAlign w:val="center"/>
          </w:tcPr>
          <w:p w14:paraId="33EF85B3" w14:textId="43CF9AF4" w:rsidR="001E5257" w:rsidRPr="004D286C" w:rsidRDefault="001E5257"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06E8E7FE" w14:textId="0E7849C0" w:rsidR="001E5257" w:rsidRPr="004D286C" w:rsidRDefault="001E5257"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3018A516" w14:textId="37B20CB0" w:rsidR="001E5257" w:rsidRPr="004D286C" w:rsidRDefault="001E5257"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3C81FE1B" w14:textId="449D8FC8" w:rsidR="001E5257" w:rsidRPr="004D286C" w:rsidRDefault="001E5257"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61FE25BA" w14:textId="6BA1CF4F" w:rsidR="001E5257" w:rsidRPr="004D286C" w:rsidRDefault="001E5257" w:rsidP="00815834">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6DFA3B31" w14:textId="399AF9DE" w:rsidR="001E5257" w:rsidRPr="004D286C" w:rsidRDefault="5D0CF979" w:rsidP="555620BB">
            <w:pPr>
              <w:pStyle w:val="TableText"/>
              <w:keepNext/>
              <w:jc w:val="right"/>
              <w:rPr>
                <w:iCs/>
              </w:rPr>
            </w:pPr>
            <w:r w:rsidRPr="004D286C">
              <w:rPr>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r>
      <w:tr w:rsidR="001A2DD5" w:rsidRPr="00802A97" w14:paraId="375F554A" w14:textId="77777777" w:rsidTr="555620BB">
        <w:tc>
          <w:tcPr>
            <w:tcW w:w="1488" w:type="dxa"/>
            <w:tcMar>
              <w:top w:w="0" w:type="dxa"/>
              <w:left w:w="108" w:type="dxa"/>
              <w:bottom w:w="0" w:type="dxa"/>
              <w:right w:w="108" w:type="dxa"/>
            </w:tcMar>
            <w:vAlign w:val="center"/>
          </w:tcPr>
          <w:p w14:paraId="73312428" w14:textId="493BB0AB" w:rsidR="001A2DD5" w:rsidRPr="004D286C" w:rsidRDefault="001A2DD5" w:rsidP="001A2DD5">
            <w:pPr>
              <w:pStyle w:val="TableText"/>
              <w:keepNext/>
              <w:rPr>
                <w:b/>
                <w:iCs/>
              </w:rPr>
            </w:pPr>
            <w:r w:rsidRPr="004D286C">
              <w:rPr>
                <w:b/>
                <w:iCs/>
              </w:rPr>
              <w:t>Net cost to the MBS (without anaesthesia) 100%</w:t>
            </w:r>
          </w:p>
        </w:tc>
        <w:tc>
          <w:tcPr>
            <w:tcW w:w="1106" w:type="dxa"/>
            <w:tcMar>
              <w:top w:w="0" w:type="dxa"/>
              <w:left w:w="108" w:type="dxa"/>
              <w:bottom w:w="0" w:type="dxa"/>
              <w:right w:w="108" w:type="dxa"/>
            </w:tcMar>
            <w:vAlign w:val="center"/>
          </w:tcPr>
          <w:p w14:paraId="3F450C5D" w14:textId="09709058" w:rsidR="001A2DD5" w:rsidRPr="004D286C" w:rsidRDefault="001A2DD5"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56F8331C" w14:textId="3E5E3984" w:rsidR="001A2DD5" w:rsidRPr="004D286C" w:rsidRDefault="001A2DD5"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0ACDA586" w14:textId="3FD1439C" w:rsidR="001A2DD5" w:rsidRPr="004D286C" w:rsidRDefault="001A2DD5"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0E53ABD2" w14:textId="5A1B9C86" w:rsidR="001A2DD5" w:rsidRPr="004D286C" w:rsidRDefault="001A2DD5"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3AF35C39" w14:textId="7050AD40" w:rsidR="001A2DD5" w:rsidRPr="004D286C" w:rsidRDefault="001A2DD5"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Pr>
                <w:rFonts w:eastAsia="MS Gothic" w:cs="Times New Roman"/>
                <w:vertAlign w:val="superscript"/>
              </w:rPr>
              <w:t>2</w:t>
            </w:r>
          </w:p>
        </w:tc>
        <w:tc>
          <w:tcPr>
            <w:tcW w:w="1361" w:type="dxa"/>
            <w:tcMar>
              <w:top w:w="0" w:type="dxa"/>
              <w:left w:w="108" w:type="dxa"/>
              <w:bottom w:w="0" w:type="dxa"/>
              <w:right w:w="108" w:type="dxa"/>
            </w:tcMar>
            <w:vAlign w:val="center"/>
          </w:tcPr>
          <w:p w14:paraId="2525D4BE" w14:textId="621351A8" w:rsidR="001A2DD5" w:rsidRPr="004D286C" w:rsidRDefault="001A2DD5"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Pr>
                <w:rFonts w:eastAsia="MS Gothic" w:cs="Times New Roman"/>
                <w:vertAlign w:val="superscript"/>
              </w:rPr>
              <w:t>2</w:t>
            </w:r>
          </w:p>
        </w:tc>
      </w:tr>
      <w:tr w:rsidR="00EA2844" w:rsidRPr="00802A97" w14:paraId="05CF04C1" w14:textId="77777777" w:rsidTr="555620BB">
        <w:tc>
          <w:tcPr>
            <w:tcW w:w="1488" w:type="dxa"/>
            <w:tcMar>
              <w:top w:w="0" w:type="dxa"/>
              <w:left w:w="108" w:type="dxa"/>
              <w:bottom w:w="0" w:type="dxa"/>
              <w:right w:w="108" w:type="dxa"/>
            </w:tcMar>
          </w:tcPr>
          <w:p w14:paraId="6FD48DE1" w14:textId="34597FA0" w:rsidR="00EA2844" w:rsidRPr="004D286C" w:rsidRDefault="00EA2844" w:rsidP="00EA2844">
            <w:pPr>
              <w:pStyle w:val="TableText"/>
              <w:keepNext/>
              <w:rPr>
                <w:b/>
                <w:iCs/>
              </w:rPr>
            </w:pPr>
            <w:r w:rsidRPr="004D286C">
              <w:rPr>
                <w:b/>
                <w:iCs/>
              </w:rPr>
              <w:t>Net cost to the MBS (with anaesthesia) 100%</w:t>
            </w:r>
          </w:p>
        </w:tc>
        <w:tc>
          <w:tcPr>
            <w:tcW w:w="1106" w:type="dxa"/>
            <w:tcMar>
              <w:top w:w="0" w:type="dxa"/>
              <w:left w:w="108" w:type="dxa"/>
              <w:bottom w:w="0" w:type="dxa"/>
              <w:right w:w="108" w:type="dxa"/>
            </w:tcMar>
            <w:vAlign w:val="center"/>
          </w:tcPr>
          <w:p w14:paraId="4853E3D4" w14:textId="1A3078F8" w:rsidR="00EA2844" w:rsidRPr="004D286C" w:rsidRDefault="00EA2844"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555815DB" w14:textId="509D7AE4" w:rsidR="00EA2844" w:rsidRPr="004D286C" w:rsidRDefault="00EA2844"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2F4B443B" w14:textId="44804A87" w:rsidR="00EA2844" w:rsidRPr="004D286C" w:rsidRDefault="00EA2844"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758564D2" w14:textId="08B804BF" w:rsidR="00EA2844" w:rsidRPr="004D286C" w:rsidRDefault="00EA2844"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1979C0E1" w14:textId="169AD5DA" w:rsidR="00EA2844" w:rsidRPr="004D286C" w:rsidRDefault="00EA2844"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Pr>
                <w:rFonts w:eastAsia="MS Gothic" w:cs="Times New Roman"/>
                <w:vertAlign w:val="superscript"/>
              </w:rPr>
              <w:t>2</w:t>
            </w:r>
          </w:p>
        </w:tc>
        <w:tc>
          <w:tcPr>
            <w:tcW w:w="1361" w:type="dxa"/>
            <w:tcMar>
              <w:top w:w="0" w:type="dxa"/>
              <w:left w:w="108" w:type="dxa"/>
              <w:bottom w:w="0" w:type="dxa"/>
              <w:right w:w="108" w:type="dxa"/>
            </w:tcMar>
            <w:vAlign w:val="center"/>
          </w:tcPr>
          <w:p w14:paraId="6EE9437D" w14:textId="4D0AC417" w:rsidR="00EA2844" w:rsidRPr="004D286C" w:rsidRDefault="00EA2844" w:rsidP="00815834">
            <w:pPr>
              <w:pStyle w:val="TableText"/>
              <w:keepNext/>
              <w:jc w:val="right"/>
              <w:rPr>
                <w:b/>
                <w:iCs/>
              </w:rPr>
            </w:pPr>
            <w:r w:rsidRPr="004D286C">
              <w:rPr>
                <w:b/>
                <w:iCs/>
              </w:rPr>
              <w:t>$</w:t>
            </w:r>
            <w:r w:rsidR="002C0F87" w:rsidRPr="00BF3C33">
              <w:rPr>
                <w:rFonts w:eastAsia="Arial Narrow" w:cs="Arial Narrow"/>
                <w:szCs w:val="20"/>
              </w:rPr>
              <w:t>|</w:t>
            </w:r>
            <w:r w:rsidR="002C0F87">
              <w:rPr>
                <w:rFonts w:eastAsia="Arial Narrow" w:cs="Arial Narrow"/>
                <w:szCs w:val="20"/>
              </w:rPr>
              <w:t xml:space="preserve"> </w:t>
            </w:r>
            <w:r w:rsidR="002C0F87">
              <w:rPr>
                <w:rFonts w:eastAsia="MS Gothic" w:cs="Times New Roman"/>
                <w:vertAlign w:val="superscript"/>
              </w:rPr>
              <w:t>2</w:t>
            </w:r>
          </w:p>
        </w:tc>
      </w:tr>
      <w:tr w:rsidR="00EA2844" w:rsidRPr="00802A97" w14:paraId="50D98516" w14:textId="77777777" w:rsidTr="555620BB">
        <w:tc>
          <w:tcPr>
            <w:tcW w:w="1488" w:type="dxa"/>
            <w:tcMar>
              <w:top w:w="0" w:type="dxa"/>
              <w:left w:w="108" w:type="dxa"/>
              <w:bottom w:w="0" w:type="dxa"/>
              <w:right w:w="108" w:type="dxa"/>
            </w:tcMar>
          </w:tcPr>
          <w:p w14:paraId="22951C41" w14:textId="42004FB6" w:rsidR="00EA2844" w:rsidRPr="004D286C" w:rsidRDefault="00EA2844" w:rsidP="00EA2844">
            <w:pPr>
              <w:pStyle w:val="TableText"/>
              <w:keepNext/>
              <w:rPr>
                <w:b/>
                <w:iCs/>
              </w:rPr>
            </w:pPr>
            <w:r w:rsidRPr="004D286C">
              <w:rPr>
                <w:b/>
                <w:iCs/>
              </w:rPr>
              <w:t>Net cost to the MBS (with anaesthesia</w:t>
            </w:r>
            <w:r w:rsidR="00AE077A" w:rsidRPr="004D286C">
              <w:rPr>
                <w:b/>
                <w:bCs/>
                <w:iCs/>
              </w:rPr>
              <w:t>, no ultrasound) 100</w:t>
            </w:r>
            <w:r w:rsidRPr="004D286C">
              <w:rPr>
                <w:b/>
                <w:iCs/>
              </w:rPr>
              <w:t>%</w:t>
            </w:r>
          </w:p>
        </w:tc>
        <w:tc>
          <w:tcPr>
            <w:tcW w:w="1106" w:type="dxa"/>
            <w:tcMar>
              <w:top w:w="0" w:type="dxa"/>
              <w:left w:w="108" w:type="dxa"/>
              <w:bottom w:w="0" w:type="dxa"/>
              <w:right w:w="108" w:type="dxa"/>
            </w:tcMar>
            <w:vAlign w:val="center"/>
          </w:tcPr>
          <w:p w14:paraId="4D69B717" w14:textId="31119387" w:rsidR="00EA2844" w:rsidRPr="004D286C" w:rsidRDefault="00AE077A" w:rsidP="00815834">
            <w:pPr>
              <w:pStyle w:val="TableText"/>
              <w:keepNext/>
              <w:jc w:val="right"/>
              <w:rPr>
                <w:b/>
                <w:iCs/>
              </w:rPr>
            </w:pPr>
            <w:r w:rsidRPr="004D286C">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170" w:type="dxa"/>
            <w:tcMar>
              <w:top w:w="0" w:type="dxa"/>
              <w:left w:w="108" w:type="dxa"/>
              <w:bottom w:w="0" w:type="dxa"/>
              <w:right w:w="108" w:type="dxa"/>
            </w:tcMar>
            <w:vAlign w:val="center"/>
          </w:tcPr>
          <w:p w14:paraId="6BA1C026" w14:textId="0A556E79" w:rsidR="00EA2844" w:rsidRPr="004D286C" w:rsidRDefault="00AE077A" w:rsidP="00815834">
            <w:pPr>
              <w:pStyle w:val="TableText"/>
              <w:keepNext/>
              <w:jc w:val="right"/>
              <w:rPr>
                <w:b/>
                <w:iCs/>
              </w:rPr>
            </w:pPr>
            <w:r w:rsidRPr="004D286C">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375566FE" w14:textId="0A7BD5ED" w:rsidR="00EA2844" w:rsidRPr="004D286C" w:rsidRDefault="00AE077A" w:rsidP="00815834">
            <w:pPr>
              <w:pStyle w:val="TableText"/>
              <w:keepNext/>
              <w:jc w:val="right"/>
              <w:rPr>
                <w:b/>
                <w:iCs/>
              </w:rPr>
            </w:pPr>
            <w:r w:rsidRPr="004D286C">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265" w:type="dxa"/>
            <w:tcMar>
              <w:top w:w="0" w:type="dxa"/>
              <w:left w:w="108" w:type="dxa"/>
              <w:bottom w:w="0" w:type="dxa"/>
              <w:right w:w="108" w:type="dxa"/>
            </w:tcMar>
            <w:vAlign w:val="center"/>
          </w:tcPr>
          <w:p w14:paraId="625CFB68" w14:textId="4BCAA0E4" w:rsidR="00EA2844" w:rsidRPr="004D286C" w:rsidRDefault="00AE077A" w:rsidP="00815834">
            <w:pPr>
              <w:pStyle w:val="TableText"/>
              <w:keepNext/>
              <w:jc w:val="right"/>
              <w:rPr>
                <w:b/>
                <w:iCs/>
              </w:rPr>
            </w:pPr>
            <w:r w:rsidRPr="004D286C">
              <w:rPr>
                <w:b/>
                <w:bCs/>
                <w:iCs/>
              </w:rPr>
              <w:t>$</w:t>
            </w:r>
            <w:r w:rsidR="002C0F87" w:rsidRPr="00BF3C33">
              <w:rPr>
                <w:rFonts w:eastAsia="Arial Narrow" w:cs="Arial Narrow"/>
                <w:szCs w:val="20"/>
              </w:rPr>
              <w:t>|</w:t>
            </w:r>
            <w:r w:rsidR="002C0F87">
              <w:rPr>
                <w:rFonts w:eastAsia="Arial Narrow" w:cs="Arial Narrow"/>
                <w:szCs w:val="20"/>
              </w:rPr>
              <w:t xml:space="preserve"> </w:t>
            </w:r>
            <w:r w:rsidR="002C0F87" w:rsidRPr="00C14768">
              <w:rPr>
                <w:rFonts w:eastAsia="MS Gothic" w:cs="Times New Roman"/>
                <w:vertAlign w:val="superscript"/>
              </w:rPr>
              <w:t>1</w:t>
            </w:r>
          </w:p>
        </w:tc>
        <w:tc>
          <w:tcPr>
            <w:tcW w:w="1361" w:type="dxa"/>
            <w:tcMar>
              <w:top w:w="0" w:type="dxa"/>
              <w:left w:w="108" w:type="dxa"/>
              <w:bottom w:w="0" w:type="dxa"/>
              <w:right w:w="108" w:type="dxa"/>
            </w:tcMar>
            <w:vAlign w:val="center"/>
          </w:tcPr>
          <w:p w14:paraId="2425BC85" w14:textId="378B22B8" w:rsidR="00EA2844" w:rsidRPr="004D286C" w:rsidRDefault="00AE077A" w:rsidP="00815834">
            <w:pPr>
              <w:pStyle w:val="TableText"/>
              <w:keepNext/>
              <w:jc w:val="right"/>
              <w:rPr>
                <w:b/>
                <w:iCs/>
              </w:rPr>
            </w:pPr>
            <w:r w:rsidRPr="004D286C">
              <w:rPr>
                <w:b/>
                <w:bCs/>
                <w:iCs/>
              </w:rPr>
              <w:t>$</w:t>
            </w:r>
            <w:r w:rsidR="002C0F87" w:rsidRPr="00BF3C33">
              <w:rPr>
                <w:rFonts w:eastAsia="Arial Narrow" w:cs="Arial Narrow"/>
                <w:szCs w:val="20"/>
              </w:rPr>
              <w:t>|</w:t>
            </w:r>
            <w:r w:rsidR="002C0F87">
              <w:rPr>
                <w:rFonts w:eastAsia="Arial Narrow" w:cs="Arial Narrow"/>
                <w:szCs w:val="20"/>
              </w:rPr>
              <w:t xml:space="preserve"> </w:t>
            </w:r>
            <w:r w:rsidR="002C0F87">
              <w:rPr>
                <w:rFonts w:eastAsia="MS Gothic" w:cs="Times New Roman"/>
                <w:vertAlign w:val="superscript"/>
              </w:rPr>
              <w:t>2</w:t>
            </w:r>
          </w:p>
        </w:tc>
        <w:tc>
          <w:tcPr>
            <w:tcW w:w="1361" w:type="dxa"/>
            <w:tcMar>
              <w:top w:w="0" w:type="dxa"/>
              <w:left w:w="108" w:type="dxa"/>
              <w:bottom w:w="0" w:type="dxa"/>
              <w:right w:w="108" w:type="dxa"/>
            </w:tcMar>
            <w:vAlign w:val="center"/>
          </w:tcPr>
          <w:p w14:paraId="56BDF7D5" w14:textId="6FBFC927" w:rsidR="00EA2844" w:rsidRPr="004D286C" w:rsidRDefault="00AE077A" w:rsidP="00815834">
            <w:pPr>
              <w:pStyle w:val="TableText"/>
              <w:keepNext/>
              <w:jc w:val="right"/>
              <w:rPr>
                <w:b/>
                <w:iCs/>
              </w:rPr>
            </w:pPr>
            <w:r w:rsidRPr="004D286C">
              <w:rPr>
                <w:b/>
                <w:bCs/>
                <w:iCs/>
              </w:rPr>
              <w:t>$</w:t>
            </w:r>
            <w:r w:rsidR="002C0F87" w:rsidRPr="00BF3C33">
              <w:rPr>
                <w:rFonts w:eastAsia="Arial Narrow" w:cs="Arial Narrow"/>
                <w:szCs w:val="20"/>
              </w:rPr>
              <w:t>|</w:t>
            </w:r>
            <w:r w:rsidR="002C0F87">
              <w:rPr>
                <w:rFonts w:eastAsia="Arial Narrow" w:cs="Arial Narrow"/>
                <w:szCs w:val="20"/>
              </w:rPr>
              <w:t xml:space="preserve"> </w:t>
            </w:r>
            <w:r w:rsidR="002C0F87">
              <w:rPr>
                <w:rFonts w:eastAsia="MS Gothic" w:cs="Times New Roman"/>
                <w:vertAlign w:val="superscript"/>
              </w:rPr>
              <w:t>2</w:t>
            </w:r>
          </w:p>
        </w:tc>
      </w:tr>
    </w:tbl>
    <w:p w14:paraId="7168D12D" w14:textId="247CAB03" w:rsidR="006C114E" w:rsidRDefault="00287F45" w:rsidP="00A50660">
      <w:pPr>
        <w:pStyle w:val="TableFigureFooter"/>
        <w:spacing w:before="0" w:after="0"/>
      </w:pPr>
      <w:r w:rsidRPr="5516155F">
        <w:t xml:space="preserve">Source: </w:t>
      </w:r>
      <w:r w:rsidR="00DE636E" w:rsidRPr="5516155F">
        <w:t xml:space="preserve">Table 18, p17 of </w:t>
      </w:r>
      <w:r w:rsidR="000300C7" w:rsidRPr="5516155F">
        <w:t xml:space="preserve">the </w:t>
      </w:r>
      <w:r w:rsidR="00DE636E" w:rsidRPr="5516155F">
        <w:t xml:space="preserve">ADAR </w:t>
      </w:r>
      <w:r w:rsidR="00760911" w:rsidRPr="5516155F">
        <w:t xml:space="preserve">and </w:t>
      </w:r>
      <w:r w:rsidR="00760911" w:rsidRPr="004B51D7">
        <w:t>recalculated by the Department</w:t>
      </w:r>
    </w:p>
    <w:p w14:paraId="68D23F95" w14:textId="77777777" w:rsidR="00D956D9" w:rsidRDefault="00D956D9" w:rsidP="00A50660">
      <w:pPr>
        <w:pStyle w:val="TableFigureFooter"/>
        <w:spacing w:before="0" w:after="0"/>
      </w:pPr>
      <w:r>
        <w:t>The redacted values correspond to the following ranges</w:t>
      </w:r>
    </w:p>
    <w:p w14:paraId="64DE195C" w14:textId="77777777" w:rsidR="00D956D9" w:rsidRDefault="00D956D9" w:rsidP="00A50660">
      <w:pPr>
        <w:pStyle w:val="TableFigureFooter"/>
        <w:spacing w:before="0" w:after="0"/>
      </w:pPr>
      <w:r>
        <w:t>1 $0 to &lt; $10 million</w:t>
      </w:r>
    </w:p>
    <w:p w14:paraId="35625C05" w14:textId="13DBE7DA" w:rsidR="00D956D9" w:rsidRDefault="00D956D9" w:rsidP="00907CC6">
      <w:pPr>
        <w:pStyle w:val="TableFigureFooter"/>
        <w:spacing w:before="0" w:after="0"/>
      </w:pPr>
      <w:r>
        <w:t>2 $10 million to &lt; $20 million</w:t>
      </w:r>
    </w:p>
    <w:p w14:paraId="7290E9A4" w14:textId="24CE9A29" w:rsidR="0049290B" w:rsidRPr="00DF67FE" w:rsidRDefault="00770C16" w:rsidP="00BF6EC2">
      <w:pPr>
        <w:spacing w:line="276" w:lineRule="auto"/>
      </w:pPr>
      <w:bookmarkStart w:id="33" w:name="_Toc69491427"/>
      <w:r w:rsidRPr="004D286C">
        <w:t>The</w:t>
      </w:r>
      <w:r w:rsidR="00592EC1" w:rsidRPr="004D286C">
        <w:t xml:space="preserve"> applicant noted in their pre-MSAC response that </w:t>
      </w:r>
      <w:r w:rsidR="002C4273" w:rsidRPr="004D286C">
        <w:t>the pivotal paediatric sialorrhea trial, SIPEXI</w:t>
      </w:r>
      <w:r w:rsidR="001C7E9B" w:rsidRPr="004D286C">
        <w:t>, 42/283 (≈15%) of patients required concomitant GA without reasons reported.</w:t>
      </w:r>
      <w:r w:rsidR="00BF6EC2" w:rsidRPr="004D286C">
        <w:t xml:space="preserve"> The applicant believed it would not be appropriate to consider 100% of children aged 2-17 will require general anaesthesia to receive </w:t>
      </w:r>
      <w:r w:rsidR="00A33FDE" w:rsidRPr="004D286C">
        <w:t>incobotulinumtoxinA</w:t>
      </w:r>
      <w:r w:rsidR="00BF6EC2" w:rsidRPr="004D286C">
        <w:t xml:space="preserve"> injections for sialorrhea alone. A large proportion would receive sedation and/or local analgesia instead to receive injections for sialorrhea, or receive other injection treatments (such as for spasticity) as well while anaesthetised.</w:t>
      </w:r>
      <w:r w:rsidR="00D03D31" w:rsidRPr="004D286C">
        <w:t xml:space="preserve"> The applicant also noted the </w:t>
      </w:r>
      <w:r w:rsidR="00F34FAA">
        <w:t>D</w:t>
      </w:r>
      <w:r w:rsidR="00D03D31">
        <w:t>epartment</w:t>
      </w:r>
      <w:r w:rsidR="00FB5670">
        <w:t xml:space="preserve">’s revised utilisation estimates based on </w:t>
      </w:r>
      <w:r w:rsidR="00644C28">
        <w:t xml:space="preserve">the </w:t>
      </w:r>
      <w:r w:rsidR="00070A57">
        <w:t>PBAC</w:t>
      </w:r>
      <w:r w:rsidR="00644C28">
        <w:t xml:space="preserve"> minutes</w:t>
      </w:r>
      <w:r w:rsidR="00070A57">
        <w:t xml:space="preserve">. They </w:t>
      </w:r>
      <w:r w:rsidR="0010017E">
        <w:t xml:space="preserve">noted that 12% of stroke and TBI patients will have at least one chronic health condition lasting for at least 6 months, so it </w:t>
      </w:r>
      <w:r w:rsidR="00DF4968">
        <w:t>would be</w:t>
      </w:r>
      <w:r w:rsidR="0010017E">
        <w:t xml:space="preserve"> extreme to consider that all of these patients will </w:t>
      </w:r>
      <w:r w:rsidR="0010017E">
        <w:lastRenderedPageBreak/>
        <w:t>have sialorrhea.</w:t>
      </w:r>
      <w:r w:rsidR="00DF4968">
        <w:t xml:space="preserve"> The provided</w:t>
      </w:r>
      <w:r w:rsidR="00D00F85">
        <w:t xml:space="preserve"> Table 10 </w:t>
      </w:r>
      <w:r w:rsidR="00104072">
        <w:t>with original utilisation that PBAC considered on balance were reasonable</w:t>
      </w:r>
      <w:r w:rsidR="00866E06">
        <w:t xml:space="preserve"> (6.04 incobotulinumtoxinA, ratified minutes, Nov 2024, paragraph 7.10)</w:t>
      </w:r>
      <w:r w:rsidR="00C46B27">
        <w:t xml:space="preserve"> along with</w:t>
      </w:r>
      <w:r w:rsidR="00BF6EC2">
        <w:t xml:space="preserve"> net cost to the MBS showing </w:t>
      </w:r>
      <w:r w:rsidR="00450F36">
        <w:t xml:space="preserve">what they considered </w:t>
      </w:r>
      <w:r w:rsidR="00BF6EC2">
        <w:t xml:space="preserve">a more likely 25% and 50% of paediatric patients utilising anaesthesia.  </w:t>
      </w:r>
      <w:r w:rsidR="00B232A7">
        <w:t xml:space="preserve"> </w:t>
      </w:r>
    </w:p>
    <w:p w14:paraId="40F5E76F" w14:textId="301FB371" w:rsidR="00852450" w:rsidRPr="004D286C" w:rsidRDefault="00852450" w:rsidP="01CC3F84">
      <w:pPr>
        <w:pStyle w:val="Caption"/>
        <w:rPr>
          <w:rFonts w:cs="Calibri"/>
          <w:b w:val="0"/>
          <w:bCs w:val="0"/>
        </w:rPr>
      </w:pPr>
      <w:bookmarkStart w:id="34" w:name="_Ref193808366"/>
      <w:r w:rsidRPr="004D286C">
        <w:rPr>
          <w:rFonts w:cs="Calibri"/>
        </w:rPr>
        <w:t xml:space="preserve">Table </w:t>
      </w:r>
      <w:r w:rsidRPr="004D286C">
        <w:rPr>
          <w:rFonts w:cs="Calibri"/>
          <w:b w:val="0"/>
          <w:bCs w:val="0"/>
        </w:rPr>
        <w:fldChar w:fldCharType="begin"/>
      </w:r>
      <w:r w:rsidRPr="004D286C">
        <w:rPr>
          <w:rFonts w:cs="Calibri"/>
        </w:rPr>
        <w:instrText xml:space="preserve"> SEQ Table \* ARABIC </w:instrText>
      </w:r>
      <w:r w:rsidRPr="004D286C">
        <w:rPr>
          <w:rFonts w:cs="Calibri"/>
          <w:b w:val="0"/>
          <w:bCs w:val="0"/>
        </w:rPr>
        <w:fldChar w:fldCharType="separate"/>
      </w:r>
      <w:r w:rsidRPr="004D286C">
        <w:rPr>
          <w:rFonts w:cs="Calibri"/>
          <w:noProof/>
        </w:rPr>
        <w:t>1</w:t>
      </w:r>
      <w:r w:rsidR="5810B334" w:rsidRPr="004D286C">
        <w:rPr>
          <w:rFonts w:cs="Calibri"/>
          <w:noProof/>
        </w:rPr>
        <w:t>0</w:t>
      </w:r>
      <w:r w:rsidRPr="004D286C">
        <w:rPr>
          <w:rFonts w:cs="Calibri"/>
          <w:b w:val="0"/>
          <w:bCs w:val="0"/>
        </w:rPr>
        <w:fldChar w:fldCharType="end"/>
      </w:r>
      <w:bookmarkEnd w:id="34"/>
      <w:r w:rsidRPr="004D286C">
        <w:rPr>
          <w:rFonts w:cs="Calibri"/>
        </w:rPr>
        <w:t>. Revised financial estimates</w:t>
      </w:r>
      <w:r w:rsidR="00995F35" w:rsidRPr="004D286C">
        <w:rPr>
          <w:rFonts w:cs="Calibri"/>
        </w:rPr>
        <w:t xml:space="preserve"> provided </w:t>
      </w:r>
      <w:r w:rsidR="001F77C4" w:rsidRPr="004D286C">
        <w:rPr>
          <w:rFonts w:cs="Calibri"/>
        </w:rPr>
        <w:t>in Pre-MSAC response</w:t>
      </w:r>
    </w:p>
    <w:tbl>
      <w:tblPr>
        <w:tblStyle w:val="TableGrid"/>
        <w:tblW w:w="9736" w:type="dxa"/>
        <w:tblLayout w:type="fixed"/>
        <w:tblLook w:val="04A0" w:firstRow="1" w:lastRow="0" w:firstColumn="1" w:lastColumn="0" w:noHBand="0" w:noVBand="1"/>
      </w:tblPr>
      <w:tblGrid>
        <w:gridCol w:w="2405"/>
        <w:gridCol w:w="980"/>
        <w:gridCol w:w="1270"/>
        <w:gridCol w:w="1270"/>
        <w:gridCol w:w="1270"/>
        <w:gridCol w:w="1270"/>
        <w:gridCol w:w="1271"/>
      </w:tblGrid>
      <w:tr w:rsidR="00450F36" w:rsidRPr="00802A97" w14:paraId="669D293D" w14:textId="77777777" w:rsidTr="555620BB">
        <w:trPr>
          <w:trHeight w:val="300"/>
        </w:trPr>
        <w:tc>
          <w:tcPr>
            <w:tcW w:w="2405" w:type="dxa"/>
            <w:shd w:val="clear" w:color="auto" w:fill="E7E6E6" w:themeFill="background2"/>
            <w:noWrap/>
            <w:hideMark/>
          </w:tcPr>
          <w:p w14:paraId="34BC6478" w14:textId="77777777" w:rsidR="00852450" w:rsidRPr="00A50660" w:rsidRDefault="00852450">
            <w:pPr>
              <w:rPr>
                <w:rFonts w:ascii="Arial Narrow" w:hAnsi="Arial Narrow" w:cs="Calibri"/>
                <w:b/>
                <w:bCs/>
                <w:color w:val="000000"/>
                <w:sz w:val="20"/>
                <w:szCs w:val="20"/>
                <w:u w:val="single"/>
              </w:rPr>
            </w:pPr>
          </w:p>
        </w:tc>
        <w:tc>
          <w:tcPr>
            <w:tcW w:w="980" w:type="dxa"/>
            <w:shd w:val="clear" w:color="auto" w:fill="E7E6E6" w:themeFill="background2"/>
            <w:noWrap/>
            <w:hideMark/>
          </w:tcPr>
          <w:p w14:paraId="3A670C96" w14:textId="77777777" w:rsidR="00852450" w:rsidRPr="00A50660" w:rsidRDefault="00852450">
            <w:pPr>
              <w:jc w:val="center"/>
              <w:rPr>
                <w:rFonts w:ascii="Arial Narrow" w:hAnsi="Arial Narrow" w:cs="Calibri"/>
                <w:b/>
                <w:bCs/>
                <w:color w:val="000000"/>
                <w:sz w:val="20"/>
                <w:szCs w:val="20"/>
              </w:rPr>
            </w:pPr>
            <w:r w:rsidRPr="00A50660">
              <w:rPr>
                <w:rFonts w:ascii="Arial Narrow" w:hAnsi="Arial Narrow" w:cs="Calibri"/>
                <w:b/>
                <w:bCs/>
                <w:color w:val="000000"/>
                <w:sz w:val="20"/>
                <w:szCs w:val="20"/>
              </w:rPr>
              <w:t>FY 2025-26</w:t>
            </w:r>
          </w:p>
        </w:tc>
        <w:tc>
          <w:tcPr>
            <w:tcW w:w="1270" w:type="dxa"/>
            <w:shd w:val="clear" w:color="auto" w:fill="E7E6E6" w:themeFill="background2"/>
            <w:noWrap/>
            <w:hideMark/>
          </w:tcPr>
          <w:p w14:paraId="1E5AAACA" w14:textId="77777777" w:rsidR="00852450" w:rsidRPr="00A50660" w:rsidRDefault="00852450">
            <w:pPr>
              <w:jc w:val="center"/>
              <w:rPr>
                <w:rFonts w:ascii="Arial Narrow" w:hAnsi="Arial Narrow" w:cs="Calibri"/>
                <w:b/>
                <w:bCs/>
                <w:color w:val="000000"/>
                <w:sz w:val="20"/>
                <w:szCs w:val="20"/>
              </w:rPr>
            </w:pPr>
            <w:r w:rsidRPr="00A50660">
              <w:rPr>
                <w:rFonts w:ascii="Arial Narrow" w:hAnsi="Arial Narrow" w:cs="Calibri"/>
                <w:b/>
                <w:bCs/>
                <w:color w:val="000000"/>
                <w:sz w:val="20"/>
                <w:szCs w:val="20"/>
              </w:rPr>
              <w:t>FY 2026-27</w:t>
            </w:r>
          </w:p>
        </w:tc>
        <w:tc>
          <w:tcPr>
            <w:tcW w:w="1270" w:type="dxa"/>
            <w:shd w:val="clear" w:color="auto" w:fill="E7E6E6" w:themeFill="background2"/>
            <w:noWrap/>
            <w:hideMark/>
          </w:tcPr>
          <w:p w14:paraId="1756C820" w14:textId="77777777" w:rsidR="00852450" w:rsidRPr="00A50660" w:rsidRDefault="00852450">
            <w:pPr>
              <w:jc w:val="center"/>
              <w:rPr>
                <w:rFonts w:ascii="Arial Narrow" w:hAnsi="Arial Narrow" w:cs="Calibri"/>
                <w:b/>
                <w:bCs/>
                <w:color w:val="000000"/>
                <w:sz w:val="20"/>
                <w:szCs w:val="20"/>
              </w:rPr>
            </w:pPr>
            <w:r w:rsidRPr="00A50660">
              <w:rPr>
                <w:rFonts w:ascii="Arial Narrow" w:hAnsi="Arial Narrow" w:cs="Calibri"/>
                <w:b/>
                <w:bCs/>
                <w:color w:val="000000"/>
                <w:sz w:val="20"/>
                <w:szCs w:val="20"/>
              </w:rPr>
              <w:t>FY 2027-28</w:t>
            </w:r>
          </w:p>
        </w:tc>
        <w:tc>
          <w:tcPr>
            <w:tcW w:w="1270" w:type="dxa"/>
            <w:shd w:val="clear" w:color="auto" w:fill="E7E6E6" w:themeFill="background2"/>
            <w:noWrap/>
            <w:hideMark/>
          </w:tcPr>
          <w:p w14:paraId="774824B3" w14:textId="77777777" w:rsidR="00852450" w:rsidRPr="00A50660" w:rsidRDefault="00852450">
            <w:pPr>
              <w:jc w:val="center"/>
              <w:rPr>
                <w:rFonts w:ascii="Arial Narrow" w:hAnsi="Arial Narrow" w:cs="Calibri"/>
                <w:b/>
                <w:bCs/>
                <w:color w:val="000000"/>
                <w:sz w:val="20"/>
                <w:szCs w:val="20"/>
              </w:rPr>
            </w:pPr>
            <w:r w:rsidRPr="00A50660">
              <w:rPr>
                <w:rFonts w:ascii="Arial Narrow" w:hAnsi="Arial Narrow" w:cs="Calibri"/>
                <w:b/>
                <w:bCs/>
                <w:color w:val="000000"/>
                <w:sz w:val="20"/>
                <w:szCs w:val="20"/>
              </w:rPr>
              <w:t>FY 2028-29</w:t>
            </w:r>
          </w:p>
        </w:tc>
        <w:tc>
          <w:tcPr>
            <w:tcW w:w="1270" w:type="dxa"/>
            <w:shd w:val="clear" w:color="auto" w:fill="E7E6E6" w:themeFill="background2"/>
            <w:noWrap/>
            <w:hideMark/>
          </w:tcPr>
          <w:p w14:paraId="25B4E642" w14:textId="77777777" w:rsidR="00852450" w:rsidRPr="00A50660" w:rsidRDefault="00852450">
            <w:pPr>
              <w:jc w:val="center"/>
              <w:rPr>
                <w:rFonts w:ascii="Arial Narrow" w:hAnsi="Arial Narrow" w:cs="Calibri"/>
                <w:b/>
                <w:bCs/>
                <w:color w:val="000000"/>
                <w:sz w:val="20"/>
                <w:szCs w:val="20"/>
              </w:rPr>
            </w:pPr>
            <w:r w:rsidRPr="00A50660">
              <w:rPr>
                <w:rFonts w:ascii="Arial Narrow" w:hAnsi="Arial Narrow" w:cs="Calibri"/>
                <w:b/>
                <w:bCs/>
                <w:color w:val="000000"/>
                <w:sz w:val="20"/>
                <w:szCs w:val="20"/>
              </w:rPr>
              <w:t>FY 2029-30</w:t>
            </w:r>
          </w:p>
        </w:tc>
        <w:tc>
          <w:tcPr>
            <w:tcW w:w="1271" w:type="dxa"/>
            <w:shd w:val="clear" w:color="auto" w:fill="E7E6E6" w:themeFill="background2"/>
            <w:noWrap/>
            <w:hideMark/>
          </w:tcPr>
          <w:p w14:paraId="27F235F0" w14:textId="77777777" w:rsidR="00852450" w:rsidRPr="00A50660" w:rsidRDefault="00852450">
            <w:pPr>
              <w:jc w:val="center"/>
              <w:rPr>
                <w:rFonts w:ascii="Arial Narrow" w:hAnsi="Arial Narrow" w:cs="Calibri"/>
                <w:b/>
                <w:bCs/>
                <w:color w:val="000000"/>
                <w:sz w:val="20"/>
                <w:szCs w:val="20"/>
              </w:rPr>
            </w:pPr>
            <w:r w:rsidRPr="00A50660">
              <w:rPr>
                <w:rFonts w:ascii="Arial Narrow" w:hAnsi="Arial Narrow" w:cs="Calibri"/>
                <w:b/>
                <w:bCs/>
                <w:color w:val="000000"/>
                <w:sz w:val="20"/>
                <w:szCs w:val="20"/>
              </w:rPr>
              <w:t>FY 2030-31</w:t>
            </w:r>
          </w:p>
        </w:tc>
      </w:tr>
      <w:tr w:rsidR="00450F36" w:rsidRPr="00802A97" w14:paraId="588280A2" w14:textId="77777777" w:rsidTr="555620BB">
        <w:trPr>
          <w:trHeight w:val="300"/>
        </w:trPr>
        <w:tc>
          <w:tcPr>
            <w:tcW w:w="2405" w:type="dxa"/>
            <w:noWrap/>
            <w:hideMark/>
          </w:tcPr>
          <w:p w14:paraId="72A998E5"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Injection administration</w:t>
            </w:r>
          </w:p>
        </w:tc>
        <w:tc>
          <w:tcPr>
            <w:tcW w:w="980" w:type="dxa"/>
            <w:noWrap/>
            <w:hideMark/>
          </w:tcPr>
          <w:p w14:paraId="6F5B8379" w14:textId="728AE2B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24CFA395" w14:textId="5528A135"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4CC350E3" w14:textId="12BD4B8B"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7C02F26C" w14:textId="0307CC72"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181B10E6" w14:textId="5D3AE6B0"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6163FE2D" w14:textId="37B0CD6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61E291A4" w14:textId="77777777" w:rsidTr="555620BB">
        <w:trPr>
          <w:trHeight w:val="300"/>
        </w:trPr>
        <w:tc>
          <w:tcPr>
            <w:tcW w:w="2405" w:type="dxa"/>
            <w:noWrap/>
            <w:hideMark/>
          </w:tcPr>
          <w:p w14:paraId="282EED91"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Consultation</w:t>
            </w:r>
          </w:p>
        </w:tc>
        <w:tc>
          <w:tcPr>
            <w:tcW w:w="980" w:type="dxa"/>
            <w:noWrap/>
            <w:hideMark/>
          </w:tcPr>
          <w:p w14:paraId="2B5C8B46" w14:textId="14C49C45"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1857CDBB" w14:textId="55ABD137"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7B7C357A" w14:textId="3B861621"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671C9283" w14:textId="220BC017"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4E2D9BE8" w14:textId="37D4EC80"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46C2F7D6" w14:textId="7E81C28A"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597F9846" w14:textId="77777777" w:rsidTr="555620BB">
        <w:trPr>
          <w:trHeight w:val="300"/>
        </w:trPr>
        <w:tc>
          <w:tcPr>
            <w:tcW w:w="2405" w:type="dxa"/>
            <w:noWrap/>
            <w:hideMark/>
          </w:tcPr>
          <w:p w14:paraId="6C66C393"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Ultrasound (adult)</w:t>
            </w:r>
          </w:p>
        </w:tc>
        <w:tc>
          <w:tcPr>
            <w:tcW w:w="980" w:type="dxa"/>
            <w:noWrap/>
            <w:hideMark/>
          </w:tcPr>
          <w:p w14:paraId="3D69E234" w14:textId="53111261"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2217ABDA" w14:textId="50FB02F5"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01287E33" w14:textId="48AD442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097E2041" w14:textId="3A1D3DA7"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46A81A28" w14:textId="0ED2F834"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3A004CE2" w14:textId="4E888FC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7263C7D5" w14:textId="77777777" w:rsidTr="555620BB">
        <w:trPr>
          <w:trHeight w:val="300"/>
        </w:trPr>
        <w:tc>
          <w:tcPr>
            <w:tcW w:w="2405" w:type="dxa"/>
            <w:noWrap/>
            <w:hideMark/>
          </w:tcPr>
          <w:p w14:paraId="5D105FBC"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Ultrasound (paediatric)</w:t>
            </w:r>
          </w:p>
        </w:tc>
        <w:tc>
          <w:tcPr>
            <w:tcW w:w="980" w:type="dxa"/>
            <w:noWrap/>
            <w:hideMark/>
          </w:tcPr>
          <w:p w14:paraId="58359B31" w14:textId="68007133"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1B8F9639" w14:textId="74039C4C"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6E82C000" w14:textId="4990099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290CC227" w14:textId="35CCDAF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69811946" w14:textId="0EF93244"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18B37ABC" w14:textId="090A09D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024523CA" w14:textId="77777777" w:rsidTr="555620BB">
        <w:trPr>
          <w:trHeight w:val="300"/>
        </w:trPr>
        <w:tc>
          <w:tcPr>
            <w:tcW w:w="2405" w:type="dxa"/>
            <w:noWrap/>
            <w:hideMark/>
          </w:tcPr>
          <w:p w14:paraId="753454F2"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Anaesthesia 16-30mins</w:t>
            </w:r>
          </w:p>
        </w:tc>
        <w:tc>
          <w:tcPr>
            <w:tcW w:w="980" w:type="dxa"/>
            <w:noWrap/>
            <w:hideMark/>
          </w:tcPr>
          <w:p w14:paraId="73ABB814" w14:textId="612813E2"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1DC1D453" w14:textId="598FA755"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2FFB2DC6" w14:textId="771346BC"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5217D28E" w14:textId="398D98DA"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76F57251" w14:textId="082DB51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412F7A5F" w14:textId="5C8921A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0E7002BD" w14:textId="77777777" w:rsidTr="555620BB">
        <w:trPr>
          <w:trHeight w:val="300"/>
        </w:trPr>
        <w:tc>
          <w:tcPr>
            <w:tcW w:w="2405" w:type="dxa"/>
            <w:noWrap/>
            <w:hideMark/>
          </w:tcPr>
          <w:p w14:paraId="3B2F0F20"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Pre-anaesthesia consult &lt;15min</w:t>
            </w:r>
          </w:p>
        </w:tc>
        <w:tc>
          <w:tcPr>
            <w:tcW w:w="980" w:type="dxa"/>
            <w:noWrap/>
            <w:hideMark/>
          </w:tcPr>
          <w:p w14:paraId="1764176B" w14:textId="13DCC58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75E320B6" w14:textId="1792BF49"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256AD2D7" w14:textId="73C114EE"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0E274B2A" w14:textId="514CDE41"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147B418F" w14:textId="0CF73DC1"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578EC05F" w14:textId="0408DC4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0E61F467" w14:textId="77777777" w:rsidTr="555620BB">
        <w:trPr>
          <w:trHeight w:val="300"/>
        </w:trPr>
        <w:tc>
          <w:tcPr>
            <w:tcW w:w="2405" w:type="dxa"/>
            <w:noWrap/>
            <w:hideMark/>
          </w:tcPr>
          <w:p w14:paraId="5EF84A9D"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Initiate anaesthesia management</w:t>
            </w:r>
          </w:p>
        </w:tc>
        <w:tc>
          <w:tcPr>
            <w:tcW w:w="980" w:type="dxa"/>
            <w:noWrap/>
            <w:hideMark/>
          </w:tcPr>
          <w:p w14:paraId="765340FF" w14:textId="62F81883"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72F18047" w14:textId="62D14FA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35D3178F" w14:textId="12EA83E1"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7E3B94D9" w14:textId="49D21505"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4ECA491C" w14:textId="1B7D4932"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41638FD0" w14:textId="306DB79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385FEEF1" w14:textId="77777777" w:rsidTr="555620BB">
        <w:trPr>
          <w:trHeight w:val="300"/>
        </w:trPr>
        <w:tc>
          <w:tcPr>
            <w:tcW w:w="2405" w:type="dxa"/>
            <w:noWrap/>
          </w:tcPr>
          <w:p w14:paraId="0AE700FB" w14:textId="77777777" w:rsidR="00852450" w:rsidRPr="00A50660" w:rsidRDefault="00852450">
            <w:pPr>
              <w:rPr>
                <w:rFonts w:ascii="Arial Narrow" w:hAnsi="Arial Narrow" w:cs="Calibri"/>
                <w:b/>
                <w:bCs/>
                <w:color w:val="000000"/>
                <w:sz w:val="20"/>
                <w:szCs w:val="20"/>
              </w:rPr>
            </w:pPr>
            <w:r w:rsidRPr="00A50660">
              <w:rPr>
                <w:rFonts w:ascii="Arial Narrow" w:hAnsi="Arial Narrow" w:cs="Calibri"/>
                <w:color w:val="000000"/>
                <w:sz w:val="20"/>
                <w:szCs w:val="20"/>
              </w:rPr>
              <w:t>Total Anaesthesia</w:t>
            </w:r>
          </w:p>
        </w:tc>
        <w:tc>
          <w:tcPr>
            <w:tcW w:w="980" w:type="dxa"/>
            <w:noWrap/>
          </w:tcPr>
          <w:p w14:paraId="5B1D656A" w14:textId="7C29E191"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11C8713F" w14:textId="6DBF6837"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51AD3A47" w14:textId="630DFF9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7DA19F10" w14:textId="2B131634"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3C6030E2" w14:textId="16479445"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tcPr>
          <w:p w14:paraId="5140228C" w14:textId="530FEA91" w:rsidR="00852450" w:rsidRPr="00A50660" w:rsidRDefault="00852450" w:rsidP="555620BB">
            <w:pPr>
              <w:jc w:val="right"/>
              <w:rPr>
                <w:rFonts w:ascii="Arial Narrow" w:hAnsi="Arial Narrow" w:cs="Calibri"/>
                <w:color w:val="000000"/>
                <w:sz w:val="20"/>
                <w:szCs w:val="20"/>
              </w:rPr>
            </w:pPr>
            <w:r w:rsidRPr="00A50660">
              <w:rPr>
                <w:rFonts w:ascii="Arial Narrow" w:hAnsi="Arial Narrow" w:cs="Calibri"/>
                <w:color w:val="000000" w:themeColor="text1"/>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1A054EF5" w14:textId="77777777" w:rsidTr="555620BB">
        <w:trPr>
          <w:trHeight w:val="300"/>
        </w:trPr>
        <w:tc>
          <w:tcPr>
            <w:tcW w:w="2405" w:type="dxa"/>
            <w:noWrap/>
          </w:tcPr>
          <w:p w14:paraId="7CB20DF7" w14:textId="77777777" w:rsidR="00852450" w:rsidRPr="00A50660" w:rsidRDefault="00852450">
            <w:pPr>
              <w:rPr>
                <w:rFonts w:ascii="Arial Narrow" w:hAnsi="Arial Narrow" w:cs="Calibri"/>
                <w:b/>
                <w:bCs/>
                <w:color w:val="000000"/>
                <w:sz w:val="20"/>
                <w:szCs w:val="20"/>
              </w:rPr>
            </w:pPr>
            <w:r w:rsidRPr="00A50660">
              <w:rPr>
                <w:rFonts w:ascii="Arial Narrow" w:hAnsi="Arial Narrow" w:cs="Calibri"/>
                <w:color w:val="000000"/>
                <w:sz w:val="20"/>
                <w:szCs w:val="20"/>
              </w:rPr>
              <w:t>Total Ultrasound</w:t>
            </w:r>
          </w:p>
        </w:tc>
        <w:tc>
          <w:tcPr>
            <w:tcW w:w="980" w:type="dxa"/>
            <w:noWrap/>
          </w:tcPr>
          <w:p w14:paraId="55CEBCB5" w14:textId="24A68BC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772A4EE2" w14:textId="244E0A1F"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2D2119DB" w14:textId="60E7082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69E9B3CF" w14:textId="1A307F2F"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tcPr>
          <w:p w14:paraId="45A3F074" w14:textId="518BFEB2"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tcPr>
          <w:p w14:paraId="3D4C6D54" w14:textId="02B6DD97"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07083481" w14:textId="77777777" w:rsidTr="555620BB">
        <w:trPr>
          <w:trHeight w:val="300"/>
        </w:trPr>
        <w:tc>
          <w:tcPr>
            <w:tcW w:w="2405" w:type="dxa"/>
            <w:noWrap/>
            <w:hideMark/>
          </w:tcPr>
          <w:p w14:paraId="1AC615FC" w14:textId="77777777" w:rsidR="00852450" w:rsidRPr="00A50660" w:rsidRDefault="00852450">
            <w:pPr>
              <w:rPr>
                <w:rFonts w:ascii="Arial Narrow" w:hAnsi="Arial Narrow" w:cs="Calibri"/>
                <w:b/>
                <w:bCs/>
                <w:color w:val="000000"/>
                <w:sz w:val="20"/>
                <w:szCs w:val="20"/>
              </w:rPr>
            </w:pPr>
            <w:r w:rsidRPr="00A50660">
              <w:rPr>
                <w:rFonts w:ascii="Arial Narrow" w:hAnsi="Arial Narrow" w:cs="Calibri"/>
                <w:b/>
                <w:bCs/>
                <w:color w:val="000000"/>
                <w:sz w:val="20"/>
                <w:szCs w:val="20"/>
              </w:rPr>
              <w:t>Net cost to the MBS (without anaesthesia) 100%</w:t>
            </w:r>
          </w:p>
        </w:tc>
        <w:tc>
          <w:tcPr>
            <w:tcW w:w="980" w:type="dxa"/>
            <w:noWrap/>
            <w:hideMark/>
          </w:tcPr>
          <w:p w14:paraId="3C461327" w14:textId="3C5FA50D"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67599841" w14:textId="3C4BAA3C"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7332F4B0" w14:textId="3DCE875B"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04E2068B" w14:textId="372B7371"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6E21A6AF" w14:textId="18F89789"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1C047D84" w14:textId="13DA2250"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314F4C7E" w14:textId="77777777" w:rsidTr="555620BB">
        <w:trPr>
          <w:trHeight w:val="300"/>
        </w:trPr>
        <w:tc>
          <w:tcPr>
            <w:tcW w:w="2405" w:type="dxa"/>
            <w:noWrap/>
            <w:hideMark/>
          </w:tcPr>
          <w:p w14:paraId="5A7127D7"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Net cost to the MBS (without anaesthesia) 85%</w:t>
            </w:r>
          </w:p>
        </w:tc>
        <w:tc>
          <w:tcPr>
            <w:tcW w:w="980" w:type="dxa"/>
            <w:noWrap/>
            <w:hideMark/>
          </w:tcPr>
          <w:p w14:paraId="421242A4" w14:textId="32630BB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519357C2" w14:textId="1CC61FB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1C9A8093" w14:textId="77BC5379"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6E434BBC" w14:textId="0EDB438B"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26BD5E50" w14:textId="0CBAE545"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1" w:type="dxa"/>
            <w:noWrap/>
            <w:hideMark/>
          </w:tcPr>
          <w:p w14:paraId="49D7F602" w14:textId="78FA3D43"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r>
      <w:tr w:rsidR="00450F36" w:rsidRPr="00802A97" w14:paraId="07DEA535" w14:textId="77777777" w:rsidTr="555620BB">
        <w:trPr>
          <w:trHeight w:val="300"/>
        </w:trPr>
        <w:tc>
          <w:tcPr>
            <w:tcW w:w="2405" w:type="dxa"/>
            <w:noWrap/>
            <w:hideMark/>
          </w:tcPr>
          <w:p w14:paraId="582B9B4E" w14:textId="77777777" w:rsidR="00852450" w:rsidRPr="00A50660" w:rsidRDefault="00852450">
            <w:pPr>
              <w:rPr>
                <w:rFonts w:ascii="Arial Narrow" w:hAnsi="Arial Narrow" w:cs="Calibri"/>
                <w:b/>
                <w:bCs/>
                <w:color w:val="000000"/>
                <w:sz w:val="20"/>
                <w:szCs w:val="20"/>
              </w:rPr>
            </w:pPr>
            <w:r w:rsidRPr="00A50660">
              <w:rPr>
                <w:rFonts w:ascii="Arial Narrow" w:hAnsi="Arial Narrow" w:cs="Calibri"/>
                <w:b/>
                <w:bCs/>
                <w:color w:val="000000"/>
                <w:sz w:val="20"/>
                <w:szCs w:val="20"/>
              </w:rPr>
              <w:t>Net cost to the MBS (with 100% of patients receiving anaesthesia) 100%</w:t>
            </w:r>
          </w:p>
        </w:tc>
        <w:tc>
          <w:tcPr>
            <w:tcW w:w="980" w:type="dxa"/>
            <w:noWrap/>
            <w:hideMark/>
          </w:tcPr>
          <w:p w14:paraId="1BF1D189" w14:textId="330D3232"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27003236" w14:textId="1C4B6F93"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202776" w:rsidRPr="00A50660">
              <w:rPr>
                <w:rFonts w:ascii="Arial Narrow" w:eastAsia="Arial Narrow" w:hAnsi="Arial Narrow" w:cs="Arial Narrow"/>
                <w:sz w:val="20"/>
                <w:szCs w:val="20"/>
              </w:rPr>
              <w:t>|</w:t>
            </w:r>
            <w:r w:rsidR="00202776" w:rsidRPr="00907CC6">
              <w:rPr>
                <w:rFonts w:eastAsia="Arial Narrow" w:cs="Arial Narrow"/>
                <w:sz w:val="20"/>
                <w:szCs w:val="20"/>
              </w:rPr>
              <w:t xml:space="preserve"> </w:t>
            </w:r>
            <w:r w:rsidR="00202776" w:rsidRPr="00A50660">
              <w:rPr>
                <w:rFonts w:ascii="Arial Narrow" w:eastAsia="MS Gothic" w:hAnsi="Arial Narrow" w:cs="Times New Roman"/>
                <w:sz w:val="20"/>
                <w:szCs w:val="20"/>
                <w:vertAlign w:val="superscript"/>
              </w:rPr>
              <w:t>1</w:t>
            </w:r>
          </w:p>
        </w:tc>
        <w:tc>
          <w:tcPr>
            <w:tcW w:w="1270" w:type="dxa"/>
            <w:noWrap/>
            <w:hideMark/>
          </w:tcPr>
          <w:p w14:paraId="4D93195C" w14:textId="150411DA"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1F40ACCD" w14:textId="582D9B8E"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0F31E7CD" w14:textId="68B57BBD"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1" w:type="dxa"/>
            <w:noWrap/>
            <w:hideMark/>
          </w:tcPr>
          <w:p w14:paraId="08966736" w14:textId="1558E3BF"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r>
      <w:tr w:rsidR="00450F36" w:rsidRPr="00802A97" w14:paraId="3AC1C0E5" w14:textId="77777777" w:rsidTr="555620BB">
        <w:trPr>
          <w:trHeight w:val="300"/>
        </w:trPr>
        <w:tc>
          <w:tcPr>
            <w:tcW w:w="2405" w:type="dxa"/>
            <w:noWrap/>
            <w:hideMark/>
          </w:tcPr>
          <w:p w14:paraId="2A0CFAF1"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Net cost to the MBS (with anaesthesia) 85%</w:t>
            </w:r>
          </w:p>
        </w:tc>
        <w:tc>
          <w:tcPr>
            <w:tcW w:w="980" w:type="dxa"/>
            <w:noWrap/>
            <w:hideMark/>
          </w:tcPr>
          <w:p w14:paraId="4F03C259" w14:textId="0E25C0F3"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5E439F28" w14:textId="5967E45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633D9EAA" w14:textId="01AFFB69"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4DFCD77E" w14:textId="574C8CC9"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77E3E0A6" w14:textId="2EC1EA3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1" w:type="dxa"/>
            <w:noWrap/>
            <w:hideMark/>
          </w:tcPr>
          <w:p w14:paraId="7C2E4560" w14:textId="60431FB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r>
      <w:tr w:rsidR="00450F36" w:rsidRPr="00802A97" w14:paraId="06E525C0" w14:textId="77777777" w:rsidTr="555620BB">
        <w:trPr>
          <w:trHeight w:val="300"/>
        </w:trPr>
        <w:tc>
          <w:tcPr>
            <w:tcW w:w="2405" w:type="dxa"/>
            <w:noWrap/>
            <w:hideMark/>
          </w:tcPr>
          <w:p w14:paraId="26A40FEA"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Net cost to the MBS (with anaesthesia, no ultrasound) 100%</w:t>
            </w:r>
          </w:p>
        </w:tc>
        <w:tc>
          <w:tcPr>
            <w:tcW w:w="980" w:type="dxa"/>
            <w:noWrap/>
            <w:hideMark/>
          </w:tcPr>
          <w:p w14:paraId="7F034B30" w14:textId="0A2574BF"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3C685FB5" w14:textId="59FC8A1E"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0B2C728E" w14:textId="484B8CB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43337638" w14:textId="1562574C"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hideMark/>
          </w:tcPr>
          <w:p w14:paraId="284B2ADF" w14:textId="78BBBA0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1" w:type="dxa"/>
            <w:noWrap/>
            <w:hideMark/>
          </w:tcPr>
          <w:p w14:paraId="66B86F65" w14:textId="54DC79F4"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r>
      <w:tr w:rsidR="00450F36" w:rsidRPr="00802A97" w14:paraId="2CD0E367" w14:textId="77777777" w:rsidTr="555620BB">
        <w:trPr>
          <w:trHeight w:val="288"/>
        </w:trPr>
        <w:tc>
          <w:tcPr>
            <w:tcW w:w="2405" w:type="dxa"/>
            <w:noWrap/>
          </w:tcPr>
          <w:p w14:paraId="42D3E843" w14:textId="77777777" w:rsidR="00852450" w:rsidRPr="00A50660" w:rsidRDefault="00852450">
            <w:pPr>
              <w:rPr>
                <w:rFonts w:ascii="Arial Narrow" w:hAnsi="Arial Narrow" w:cs="Calibri"/>
                <w:b/>
                <w:color w:val="000000"/>
                <w:sz w:val="20"/>
                <w:szCs w:val="20"/>
              </w:rPr>
            </w:pPr>
            <w:r w:rsidRPr="00A50660">
              <w:rPr>
                <w:rFonts w:ascii="Arial Narrow" w:hAnsi="Arial Narrow" w:cs="Calibri"/>
                <w:b/>
                <w:bCs/>
                <w:color w:val="000000"/>
                <w:sz w:val="20"/>
                <w:szCs w:val="20"/>
              </w:rPr>
              <w:t>Net cost to the MBS (with 25% of patients receiving anaesthesia) 100%</w:t>
            </w:r>
          </w:p>
        </w:tc>
        <w:tc>
          <w:tcPr>
            <w:tcW w:w="980" w:type="dxa"/>
            <w:noWrap/>
          </w:tcPr>
          <w:p w14:paraId="56821E64" w14:textId="293F768F"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58D4CA2D" w14:textId="02B41B87"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765D171B" w14:textId="5290B9C6"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6C4C6330" w14:textId="1533AF76"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4986165B" w14:textId="7ADEF3C4"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1" w:type="dxa"/>
            <w:noWrap/>
          </w:tcPr>
          <w:p w14:paraId="38148CE2" w14:textId="563AA55B"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r>
      <w:tr w:rsidR="00450F36" w:rsidRPr="00802A97" w14:paraId="16AD389B" w14:textId="77777777" w:rsidTr="555620BB">
        <w:trPr>
          <w:trHeight w:val="288"/>
        </w:trPr>
        <w:tc>
          <w:tcPr>
            <w:tcW w:w="2405" w:type="dxa"/>
            <w:noWrap/>
          </w:tcPr>
          <w:p w14:paraId="0E421F39"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Net cost to the MBS (with 25% of patients receiving anaesthesia) 85%</w:t>
            </w:r>
          </w:p>
        </w:tc>
        <w:tc>
          <w:tcPr>
            <w:tcW w:w="980" w:type="dxa"/>
            <w:noWrap/>
          </w:tcPr>
          <w:p w14:paraId="19B482C2" w14:textId="22E67757"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3D091708" w14:textId="7E7D11EE"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20C55D7B" w14:textId="1F25C2B0"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4EA00DC7" w14:textId="06AA8AB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6D3D59D1" w14:textId="579871D6"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1" w:type="dxa"/>
            <w:noWrap/>
          </w:tcPr>
          <w:p w14:paraId="65AB8E8D" w14:textId="0E53F30A"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r>
      <w:tr w:rsidR="00450F36" w:rsidRPr="00802A97" w14:paraId="6137A06D" w14:textId="77777777" w:rsidTr="555620BB">
        <w:trPr>
          <w:trHeight w:val="288"/>
        </w:trPr>
        <w:tc>
          <w:tcPr>
            <w:tcW w:w="2405" w:type="dxa"/>
            <w:noWrap/>
          </w:tcPr>
          <w:p w14:paraId="70685684" w14:textId="77777777" w:rsidR="00852450" w:rsidRPr="00A50660" w:rsidRDefault="00852450">
            <w:pPr>
              <w:rPr>
                <w:rFonts w:ascii="Arial Narrow" w:hAnsi="Arial Narrow" w:cs="Calibri"/>
                <w:b/>
                <w:color w:val="000000"/>
                <w:sz w:val="20"/>
                <w:szCs w:val="20"/>
              </w:rPr>
            </w:pPr>
            <w:r w:rsidRPr="00A50660">
              <w:rPr>
                <w:rFonts w:ascii="Arial Narrow" w:hAnsi="Arial Narrow" w:cs="Calibri"/>
                <w:b/>
                <w:bCs/>
                <w:color w:val="000000"/>
                <w:sz w:val="20"/>
                <w:szCs w:val="20"/>
              </w:rPr>
              <w:t>Net cost to the MBS (with 50% of patients receiving anaesthesia) 100%</w:t>
            </w:r>
          </w:p>
        </w:tc>
        <w:tc>
          <w:tcPr>
            <w:tcW w:w="980" w:type="dxa"/>
            <w:noWrap/>
          </w:tcPr>
          <w:p w14:paraId="6DCBEEA0" w14:textId="459F875F"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438E726D" w14:textId="14191EF5"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4AC894A4" w14:textId="22C54F82"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0BFB37A4" w14:textId="0687F20A"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3F923CCF" w14:textId="285D2BDF"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1" w:type="dxa"/>
            <w:noWrap/>
          </w:tcPr>
          <w:p w14:paraId="6833ADCF" w14:textId="1968D35F" w:rsidR="00852450" w:rsidRPr="00A50660" w:rsidRDefault="00852450">
            <w:pPr>
              <w:jc w:val="right"/>
              <w:rPr>
                <w:rFonts w:ascii="Arial Narrow" w:hAnsi="Arial Narrow" w:cs="Calibri"/>
                <w:b/>
                <w:color w:val="000000"/>
                <w:sz w:val="20"/>
                <w:szCs w:val="20"/>
              </w:rPr>
            </w:pPr>
            <w:r w:rsidRPr="00A50660">
              <w:rPr>
                <w:rFonts w:ascii="Arial Narrow" w:hAnsi="Arial Narrow" w:cs="Calibri"/>
                <w:b/>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r>
      <w:tr w:rsidR="00450F36" w:rsidRPr="00802A97" w14:paraId="38A0ED62" w14:textId="77777777" w:rsidTr="555620BB">
        <w:trPr>
          <w:trHeight w:val="288"/>
        </w:trPr>
        <w:tc>
          <w:tcPr>
            <w:tcW w:w="2405" w:type="dxa"/>
            <w:noWrap/>
          </w:tcPr>
          <w:p w14:paraId="0A4F87AF" w14:textId="77777777" w:rsidR="00852450" w:rsidRPr="00A50660" w:rsidRDefault="00852450">
            <w:pPr>
              <w:rPr>
                <w:rFonts w:ascii="Arial Narrow" w:hAnsi="Arial Narrow" w:cs="Calibri"/>
                <w:color w:val="000000"/>
                <w:sz w:val="20"/>
                <w:szCs w:val="20"/>
              </w:rPr>
            </w:pPr>
            <w:r w:rsidRPr="00A50660">
              <w:rPr>
                <w:rFonts w:ascii="Arial Narrow" w:hAnsi="Arial Narrow" w:cs="Calibri"/>
                <w:color w:val="000000"/>
                <w:sz w:val="20"/>
                <w:szCs w:val="20"/>
              </w:rPr>
              <w:t>Net cost to the MBS (with 50% of patients receiving anaesthesia) 85%</w:t>
            </w:r>
          </w:p>
        </w:tc>
        <w:tc>
          <w:tcPr>
            <w:tcW w:w="980" w:type="dxa"/>
            <w:noWrap/>
          </w:tcPr>
          <w:p w14:paraId="2814FA4D" w14:textId="65819051"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47D31884" w14:textId="368A6518"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086050CE" w14:textId="7655123F"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7208A1EF" w14:textId="38A9F47F"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0" w:type="dxa"/>
            <w:noWrap/>
          </w:tcPr>
          <w:p w14:paraId="50394961" w14:textId="6B157E7B"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c>
          <w:tcPr>
            <w:tcW w:w="1271" w:type="dxa"/>
            <w:noWrap/>
          </w:tcPr>
          <w:p w14:paraId="40C0FC4F" w14:textId="32A2266D" w:rsidR="00852450" w:rsidRPr="00A50660" w:rsidRDefault="00852450">
            <w:pPr>
              <w:jc w:val="right"/>
              <w:rPr>
                <w:rFonts w:ascii="Arial Narrow" w:hAnsi="Arial Narrow" w:cs="Calibri"/>
                <w:color w:val="000000"/>
                <w:sz w:val="20"/>
                <w:szCs w:val="20"/>
              </w:rPr>
            </w:pPr>
            <w:r w:rsidRPr="00A50660">
              <w:rPr>
                <w:rFonts w:ascii="Arial Narrow" w:hAnsi="Arial Narrow" w:cs="Calibri"/>
                <w:color w:val="000000"/>
                <w:sz w:val="20"/>
                <w:szCs w:val="20"/>
              </w:rPr>
              <w:t>$</w:t>
            </w:r>
            <w:r w:rsidR="00541B26" w:rsidRPr="00A50660">
              <w:rPr>
                <w:rFonts w:ascii="Arial Narrow" w:eastAsia="Arial Narrow" w:hAnsi="Arial Narrow" w:cs="Arial Narrow"/>
                <w:sz w:val="20"/>
                <w:szCs w:val="20"/>
              </w:rPr>
              <w:t>|</w:t>
            </w:r>
            <w:r w:rsidR="00541B26" w:rsidRPr="00907CC6">
              <w:rPr>
                <w:rFonts w:eastAsia="Arial Narrow" w:cs="Arial Narrow"/>
                <w:sz w:val="20"/>
                <w:szCs w:val="20"/>
              </w:rPr>
              <w:t xml:space="preserve"> </w:t>
            </w:r>
            <w:r w:rsidR="00541B26" w:rsidRPr="00A50660">
              <w:rPr>
                <w:rFonts w:ascii="Arial Narrow" w:eastAsia="MS Gothic" w:hAnsi="Arial Narrow" w:cs="Times New Roman"/>
                <w:sz w:val="20"/>
                <w:szCs w:val="20"/>
                <w:vertAlign w:val="superscript"/>
              </w:rPr>
              <w:t>1</w:t>
            </w:r>
          </w:p>
        </w:tc>
      </w:tr>
    </w:tbl>
    <w:p w14:paraId="09109DE5" w14:textId="5B27C23F" w:rsidR="00C46B27" w:rsidRDefault="00450F36" w:rsidP="00A50660">
      <w:pPr>
        <w:pStyle w:val="TableFigureFooter"/>
        <w:spacing w:before="0" w:after="0"/>
      </w:pPr>
      <w:r w:rsidRPr="5516155F">
        <w:t xml:space="preserve">Source: Table 1, p2 of </w:t>
      </w:r>
      <w:r w:rsidR="005938C4" w:rsidRPr="5516155F">
        <w:t xml:space="preserve">pre-MAC response </w:t>
      </w:r>
      <w:r w:rsidRPr="004B51D7">
        <w:t xml:space="preserve">by the </w:t>
      </w:r>
      <w:r w:rsidR="005938C4" w:rsidRPr="004B51D7">
        <w:t>applicant</w:t>
      </w:r>
    </w:p>
    <w:p w14:paraId="1F267AB7" w14:textId="77777777" w:rsidR="007B21A2" w:rsidRDefault="007B21A2" w:rsidP="007B21A2">
      <w:pPr>
        <w:pStyle w:val="TableFigureFooter"/>
        <w:spacing w:before="0" w:after="0"/>
      </w:pPr>
      <w:r>
        <w:t>The redacted values correspond to the following ranges</w:t>
      </w:r>
    </w:p>
    <w:p w14:paraId="04A2F2E0" w14:textId="3C4B42A5" w:rsidR="007B21A2" w:rsidRPr="004B51D7" w:rsidRDefault="007B21A2" w:rsidP="00AF136D">
      <w:pPr>
        <w:pStyle w:val="TableFigureFooter"/>
        <w:spacing w:before="0" w:after="0"/>
      </w:pPr>
      <w:r>
        <w:t>1 $0 to &lt; $10 million</w:t>
      </w:r>
    </w:p>
    <w:p w14:paraId="7838A9FF" w14:textId="0E687B67" w:rsidR="00772829" w:rsidRPr="00CE28E3" w:rsidRDefault="00772829" w:rsidP="00DF67FE">
      <w:pPr>
        <w:pStyle w:val="Heading2"/>
        <w:numPr>
          <w:ilvl w:val="0"/>
          <w:numId w:val="28"/>
        </w:numPr>
        <w:ind w:left="0" w:firstLine="0"/>
      </w:pPr>
      <w:r w:rsidRPr="00CE28E3">
        <w:lastRenderedPageBreak/>
        <w:t xml:space="preserve">Other relevant </w:t>
      </w:r>
      <w:bookmarkEnd w:id="33"/>
      <w:r w:rsidR="00FA5766">
        <w:t>information</w:t>
      </w:r>
    </w:p>
    <w:p w14:paraId="30DE9625" w14:textId="50981F2E" w:rsidR="00772829" w:rsidRDefault="006E27E0" w:rsidP="00F87E43">
      <w:pPr>
        <w:pStyle w:val="Instructionaltext"/>
        <w:rPr>
          <w:color w:val="000000" w:themeColor="text1"/>
        </w:rPr>
      </w:pPr>
      <w:r>
        <w:rPr>
          <w:color w:val="000000" w:themeColor="text1"/>
        </w:rPr>
        <w:t>The applicant advised they will</w:t>
      </w:r>
      <w:r w:rsidRPr="006E27E0">
        <w:rPr>
          <w:color w:val="000000" w:themeColor="text1"/>
        </w:rPr>
        <w:t xml:space="preserve"> provide training workshops throughout the year in injections and ultrasound use with the aid of a sonographer. Workshops are provided for a range of existing indications which incobotulinumtoxinA treats and will be provided for use in the chronic sialorrhea population also.</w:t>
      </w:r>
    </w:p>
    <w:p w14:paraId="22E9AAF2" w14:textId="77777777" w:rsidR="00A770A8" w:rsidRPr="00A737D1" w:rsidRDefault="00A770A8" w:rsidP="00DF67FE">
      <w:pPr>
        <w:pStyle w:val="Heading2"/>
        <w:numPr>
          <w:ilvl w:val="0"/>
          <w:numId w:val="28"/>
        </w:numPr>
        <w:tabs>
          <w:tab w:val="num" w:pos="360"/>
        </w:tabs>
        <w:ind w:left="0" w:firstLine="0"/>
      </w:pPr>
      <w:bookmarkStart w:id="35" w:name="_Hlk193984667"/>
      <w:r w:rsidRPr="003A793E">
        <w:t>Applicant comments on MSAC’s Public Summary Document</w:t>
      </w:r>
    </w:p>
    <w:p w14:paraId="794FC2C1" w14:textId="20EF9479" w:rsidR="00A770A8" w:rsidRPr="00A9004C" w:rsidRDefault="00542008" w:rsidP="00DF67FE">
      <w:pPr>
        <w:spacing w:after="240"/>
      </w:pPr>
      <w:r w:rsidRPr="00A9004C">
        <w:t>The applicant had no comment.</w:t>
      </w:r>
    </w:p>
    <w:p w14:paraId="03EF5E57" w14:textId="77777777" w:rsidR="00A770A8" w:rsidRPr="00A737D1" w:rsidRDefault="00A770A8" w:rsidP="00DF67FE">
      <w:pPr>
        <w:pStyle w:val="Heading2"/>
        <w:numPr>
          <w:ilvl w:val="0"/>
          <w:numId w:val="28"/>
        </w:numPr>
        <w:tabs>
          <w:tab w:val="num" w:pos="360"/>
        </w:tabs>
        <w:ind w:left="0" w:firstLine="0"/>
      </w:pPr>
      <w:r w:rsidRPr="003A793E">
        <w:t>Further information on MSAC</w:t>
      </w:r>
    </w:p>
    <w:p w14:paraId="705E6408" w14:textId="4C5FDF95" w:rsidR="00772829" w:rsidRPr="00A770A8" w:rsidRDefault="00A770A8" w:rsidP="00DF67FE">
      <w:pPr>
        <w:pStyle w:val="BodyText"/>
        <w:rPr>
          <w:rFonts w:ascii="Franklin Gothic Book" w:hAnsi="Franklin Gothic Book"/>
          <w:sz w:val="22"/>
        </w:rPr>
      </w:pPr>
      <w:r w:rsidRPr="00A770A8">
        <w:rPr>
          <w:rFonts w:ascii="Franklin Gothic Book" w:hAnsi="Franklin Gothic Book"/>
          <w:bCs/>
          <w:iCs/>
          <w:sz w:val="22"/>
        </w:rPr>
        <w:t xml:space="preserve">MSAC Terms of Reference and other information are available on the MSAC Website: </w:t>
      </w:r>
      <w:hyperlink r:id="rId27" w:tooltip="Link to the MSAC website" w:history="1">
        <w:r w:rsidRPr="00A770A8">
          <w:rPr>
            <w:rStyle w:val="Hyperlink"/>
            <w:rFonts w:ascii="Franklin Gothic Book" w:hAnsi="Franklin Gothic Book"/>
            <w:iCs/>
            <w:color w:val="007BB8"/>
            <w:sz w:val="22"/>
          </w:rPr>
          <w:t>visit the MSAC website</w:t>
        </w:r>
      </w:hyperlink>
      <w:bookmarkEnd w:id="35"/>
    </w:p>
    <w:sectPr w:rsidR="00772829" w:rsidRPr="00A770A8" w:rsidSect="005E30AE">
      <w:headerReference w:type="even" r:id="rId28"/>
      <w:headerReference w:type="default" r:id="rId29"/>
      <w:footerReference w:type="even" r:id="rId30"/>
      <w:footerReference w:type="default" r:id="rId31"/>
      <w:headerReference w:type="first" r:id="rId32"/>
      <w:footerReference w:type="first" r:id="rId33"/>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FE153" w14:textId="77777777" w:rsidR="00112AF4" w:rsidRDefault="00112AF4" w:rsidP="00B62DF2">
      <w:pPr>
        <w:spacing w:after="0" w:line="240" w:lineRule="auto"/>
      </w:pPr>
      <w:r>
        <w:separator/>
      </w:r>
    </w:p>
  </w:endnote>
  <w:endnote w:type="continuationSeparator" w:id="0">
    <w:p w14:paraId="3A566800" w14:textId="77777777" w:rsidR="00112AF4" w:rsidRDefault="00112AF4" w:rsidP="00B62DF2">
      <w:pPr>
        <w:spacing w:after="0" w:line="240" w:lineRule="auto"/>
      </w:pPr>
      <w:r>
        <w:continuationSeparator/>
      </w:r>
    </w:p>
  </w:endnote>
  <w:endnote w:type="continuationNotice" w:id="1">
    <w:p w14:paraId="077F88DA" w14:textId="77777777" w:rsidR="00112AF4" w:rsidRDefault="00112A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Klee On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0EA0" w14:textId="77777777" w:rsidR="00EE6DA2" w:rsidRDefault="00EE6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233868"/>
      <w:docPartObj>
        <w:docPartGallery w:val="Page Numbers (Bottom of Page)"/>
        <w:docPartUnique/>
      </w:docPartObj>
    </w:sdtPr>
    <w:sdtEndPr>
      <w:rPr>
        <w:noProof/>
      </w:rPr>
    </w:sdtEndPr>
    <w:sdtContent>
      <w:p w14:paraId="158793EA" w14:textId="0F718BB4" w:rsidR="003169D5" w:rsidRDefault="003169D5" w:rsidP="00A770A8">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9414" w14:textId="77777777" w:rsidR="00EE6DA2" w:rsidRDefault="00EE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89EB9" w14:textId="77777777" w:rsidR="00112AF4" w:rsidRDefault="00112AF4" w:rsidP="00B62DF2">
      <w:pPr>
        <w:spacing w:after="0" w:line="240" w:lineRule="auto"/>
      </w:pPr>
      <w:r>
        <w:separator/>
      </w:r>
    </w:p>
  </w:footnote>
  <w:footnote w:type="continuationSeparator" w:id="0">
    <w:p w14:paraId="0C4B2EF8" w14:textId="77777777" w:rsidR="00112AF4" w:rsidRDefault="00112AF4" w:rsidP="00B62DF2">
      <w:pPr>
        <w:spacing w:after="0" w:line="240" w:lineRule="auto"/>
      </w:pPr>
      <w:r>
        <w:continuationSeparator/>
      </w:r>
    </w:p>
  </w:footnote>
  <w:footnote w:type="continuationNotice" w:id="1">
    <w:p w14:paraId="5E24CD09" w14:textId="77777777" w:rsidR="00112AF4" w:rsidRDefault="00112AF4">
      <w:pPr>
        <w:spacing w:before="0" w:after="0" w:line="240" w:lineRule="auto"/>
      </w:pPr>
    </w:p>
  </w:footnote>
  <w:footnote w:id="2">
    <w:p w14:paraId="25785A45" w14:textId="77777777" w:rsidR="009E0555" w:rsidRDefault="009E0555" w:rsidP="009E0555">
      <w:pPr>
        <w:pStyle w:val="FootnoteText"/>
      </w:pPr>
      <w:r w:rsidRPr="00907CC6">
        <w:rPr>
          <w:rStyle w:val="FootnoteReference"/>
          <w:rFonts w:ascii="Calibri" w:eastAsia="Calibri" w:hAnsi="Calibri" w:cs="Calibri"/>
          <w:szCs w:val="18"/>
        </w:rPr>
        <w:footnoteRef/>
      </w:r>
      <w:r w:rsidRPr="00907CC6">
        <w:rPr>
          <w:rFonts w:ascii="Calibri" w:eastAsia="Calibri" w:hAnsi="Calibri" w:cs="Calibri"/>
          <w:szCs w:val="18"/>
        </w:rPr>
        <w:t xml:space="preserve"> Hockstein, N.G., et al., Sialorrhea: a management challenge. Am Fam Physician, 2004. 69(11): p. 2628-34.; Kalf, J.G., et al., Impact of drooling in Parkinson's disease. J Neurol, 2007. 254(9): p. 1227-32.; Rodrigues, B., et al., Silent saliva aspiration in Parkinson's disease. Mov Disord, 2011. 26(1): p. 138-41.; Scully, C., et al., Drooling. Journal of Oral Pathology &amp; Medicine, 2009. 38(4): p. 321-327.; Akbar, U., et al., Incidence and mortality trends of aspiration pneumonia in Parkinson's disease in the United States, 1979-2010. Parkinsonism Relat Disord, 2015. 21(9): p. 1082-6.</w:t>
      </w:r>
    </w:p>
  </w:footnote>
  <w:footnote w:id="3">
    <w:p w14:paraId="309849CA" w14:textId="77777777" w:rsidR="00354659" w:rsidRDefault="00354659" w:rsidP="00354659">
      <w:pPr>
        <w:pStyle w:val="FootnoteText"/>
      </w:pPr>
      <w:r>
        <w:rPr>
          <w:rStyle w:val="FootnoteReference"/>
        </w:rPr>
        <w:footnoteRef/>
      </w:r>
      <w:r>
        <w:t xml:space="preserve"> Jost, W.H., et al., SIAXI: Placebo-controlled, randomized, double-blind study of incobotulinumtoxinA for sialorrhea. Neurology, 2019. 92(17): p. e1982-e1991.</w:t>
      </w:r>
    </w:p>
  </w:footnote>
  <w:footnote w:id="4">
    <w:p w14:paraId="5D539FCD" w14:textId="77777777" w:rsidR="00354659" w:rsidRDefault="00354659" w:rsidP="00354659">
      <w:pPr>
        <w:pStyle w:val="FootnoteText"/>
        <w:spacing w:before="0"/>
      </w:pPr>
      <w:r>
        <w:rPr>
          <w:rStyle w:val="FootnoteReference"/>
        </w:rPr>
        <w:footnoteRef/>
      </w:r>
      <w:r>
        <w:t xml:space="preserve"> Berweck, S., et al., Placebo-controlled clinical trial of incobotulinumtoxinA for sialorrhea in children: SIPEXI. Neurology, 2021. 97(14): p. e1425-e1436.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F27F" w14:textId="77777777" w:rsidR="00EE6DA2" w:rsidRDefault="00EE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10A8" w14:textId="6A4060BE" w:rsidR="00842257" w:rsidRDefault="00842257" w:rsidP="00F44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42C" w14:textId="77777777" w:rsidR="00EE6DA2" w:rsidRDefault="00EE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EC66906"/>
    <w:lvl w:ilvl="0">
      <w:start w:val="1"/>
      <w:numFmt w:val="decimal"/>
      <w:pStyle w:val="ListNumber"/>
      <w:lvlText w:val="%1."/>
      <w:lvlJc w:val="left"/>
      <w:pPr>
        <w:tabs>
          <w:tab w:val="num" w:pos="568"/>
        </w:tabs>
        <w:ind w:left="568" w:hanging="360"/>
      </w:pPr>
    </w:lvl>
  </w:abstractNum>
  <w:abstractNum w:abstractNumId="1" w15:restartNumberingAfterBreak="0">
    <w:nsid w:val="FFFFFF89"/>
    <w:multiLevelType w:val="singleLevel"/>
    <w:tmpl w:val="3D8687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C0510"/>
    <w:multiLevelType w:val="hybridMultilevel"/>
    <w:tmpl w:val="C64A822E"/>
    <w:lvl w:ilvl="0" w:tplc="A3DE2B22">
      <w:start w:val="1"/>
      <w:numFmt w:val="bullet"/>
      <w:pStyle w:val="Box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56C11FE"/>
    <w:multiLevelType w:val="multilevel"/>
    <w:tmpl w:val="F4284B90"/>
    <w:styleLink w:val="Tabletextleftbulleted1"/>
    <w:lvl w:ilvl="0">
      <w:start w:val="1"/>
      <w:numFmt w:val="bullet"/>
      <w:lvlText w:val=""/>
      <w:lvlJc w:val="left"/>
      <w:pPr>
        <w:tabs>
          <w:tab w:val="num" w:pos="170"/>
        </w:tabs>
        <w:ind w:left="170" w:hanging="170"/>
      </w:pPr>
      <w:rPr>
        <w:rFonts w:ascii="Symbol" w:hAnsi="Symbol"/>
      </w:rPr>
    </w:lvl>
    <w:lvl w:ilvl="1">
      <w:start w:val="1"/>
      <w:numFmt w:val="bullet"/>
      <w:lvlText w:val=""/>
      <w:lvlJc w:val="left"/>
      <w:pPr>
        <w:tabs>
          <w:tab w:val="num" w:pos="1250"/>
        </w:tabs>
        <w:ind w:left="1307" w:hanging="22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C0EE4"/>
    <w:multiLevelType w:val="hybridMultilevel"/>
    <w:tmpl w:val="830E11B6"/>
    <w:styleLink w:val="ESSectionheading-numbered"/>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373B68"/>
    <w:multiLevelType w:val="hybridMultilevel"/>
    <w:tmpl w:val="9C12C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2F4A0B"/>
    <w:multiLevelType w:val="hybridMultilevel"/>
    <w:tmpl w:val="8230ED46"/>
    <w:lvl w:ilvl="0" w:tplc="37762F46">
      <w:start w:val="1"/>
      <w:numFmt w:val="bullet"/>
      <w:pStyle w:val="TableBullet0"/>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20" w15:restartNumberingAfterBreak="0">
    <w:nsid w:val="5B436509"/>
    <w:multiLevelType w:val="hybridMultilevel"/>
    <w:tmpl w:val="8AEAD076"/>
    <w:lvl w:ilvl="0" w:tplc="020A74BC">
      <w:start w:val="1"/>
      <w:numFmt w:val="bullet"/>
      <w:pStyle w:val="DashLa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1F1487"/>
    <w:multiLevelType w:val="hybridMultilevel"/>
    <w:tmpl w:val="51989F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hint="default"/>
        <w:color w:val="auto"/>
        <w:sz w:val="16"/>
        <w:szCs w:val="16"/>
      </w:rPr>
    </w:lvl>
    <w:lvl w:ilvl="1" w:tplc="8CC01B9E" w:tentative="1">
      <w:start w:val="1"/>
      <w:numFmt w:val="bullet"/>
      <w:lvlText w:val="o"/>
      <w:lvlJc w:val="left"/>
      <w:pPr>
        <w:tabs>
          <w:tab w:val="num" w:pos="2007"/>
        </w:tabs>
        <w:ind w:left="2007" w:hanging="360"/>
      </w:pPr>
      <w:rPr>
        <w:rFonts w:ascii="Courier New" w:hAnsi="Courier New" w:cs="Courier New" w:hint="default"/>
      </w:rPr>
    </w:lvl>
    <w:lvl w:ilvl="2" w:tplc="EB84AD5C" w:tentative="1">
      <w:start w:val="1"/>
      <w:numFmt w:val="bullet"/>
      <w:lvlText w:val=""/>
      <w:lvlJc w:val="left"/>
      <w:pPr>
        <w:tabs>
          <w:tab w:val="num" w:pos="2727"/>
        </w:tabs>
        <w:ind w:left="2727" w:hanging="360"/>
      </w:pPr>
      <w:rPr>
        <w:rFonts w:ascii="Wingdings" w:hAnsi="Wingdings" w:hint="default"/>
      </w:rPr>
    </w:lvl>
    <w:lvl w:ilvl="3" w:tplc="2E40CA9A" w:tentative="1">
      <w:start w:val="1"/>
      <w:numFmt w:val="bullet"/>
      <w:lvlText w:val=""/>
      <w:lvlJc w:val="left"/>
      <w:pPr>
        <w:tabs>
          <w:tab w:val="num" w:pos="3447"/>
        </w:tabs>
        <w:ind w:left="3447" w:hanging="360"/>
      </w:pPr>
      <w:rPr>
        <w:rFonts w:ascii="Symbol" w:hAnsi="Symbol" w:hint="default"/>
      </w:rPr>
    </w:lvl>
    <w:lvl w:ilvl="4" w:tplc="F21CDEFE" w:tentative="1">
      <w:start w:val="1"/>
      <w:numFmt w:val="bullet"/>
      <w:lvlText w:val="o"/>
      <w:lvlJc w:val="left"/>
      <w:pPr>
        <w:tabs>
          <w:tab w:val="num" w:pos="4167"/>
        </w:tabs>
        <w:ind w:left="4167" w:hanging="360"/>
      </w:pPr>
      <w:rPr>
        <w:rFonts w:ascii="Courier New" w:hAnsi="Courier New" w:cs="Courier New" w:hint="default"/>
      </w:rPr>
    </w:lvl>
    <w:lvl w:ilvl="5" w:tplc="706C4674" w:tentative="1">
      <w:start w:val="1"/>
      <w:numFmt w:val="bullet"/>
      <w:lvlText w:val=""/>
      <w:lvlJc w:val="left"/>
      <w:pPr>
        <w:tabs>
          <w:tab w:val="num" w:pos="4887"/>
        </w:tabs>
        <w:ind w:left="4887" w:hanging="360"/>
      </w:pPr>
      <w:rPr>
        <w:rFonts w:ascii="Wingdings" w:hAnsi="Wingdings" w:hint="default"/>
      </w:rPr>
    </w:lvl>
    <w:lvl w:ilvl="6" w:tplc="65028BEE" w:tentative="1">
      <w:start w:val="1"/>
      <w:numFmt w:val="bullet"/>
      <w:lvlText w:val=""/>
      <w:lvlJc w:val="left"/>
      <w:pPr>
        <w:tabs>
          <w:tab w:val="num" w:pos="5607"/>
        </w:tabs>
        <w:ind w:left="5607" w:hanging="360"/>
      </w:pPr>
      <w:rPr>
        <w:rFonts w:ascii="Symbol" w:hAnsi="Symbol" w:hint="default"/>
      </w:rPr>
    </w:lvl>
    <w:lvl w:ilvl="7" w:tplc="A71E9600" w:tentative="1">
      <w:start w:val="1"/>
      <w:numFmt w:val="bullet"/>
      <w:lvlText w:val="o"/>
      <w:lvlJc w:val="left"/>
      <w:pPr>
        <w:tabs>
          <w:tab w:val="num" w:pos="6327"/>
        </w:tabs>
        <w:ind w:left="6327" w:hanging="360"/>
      </w:pPr>
      <w:rPr>
        <w:rFonts w:ascii="Courier New" w:hAnsi="Courier New" w:cs="Courier New" w:hint="default"/>
      </w:rPr>
    </w:lvl>
    <w:lvl w:ilvl="8" w:tplc="1E1ECCBC"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46E195B"/>
    <w:multiLevelType w:val="hybridMultilevel"/>
    <w:tmpl w:val="66FA0E62"/>
    <w:lvl w:ilvl="0" w:tplc="4ACCC8F0">
      <w:start w:val="1"/>
      <w:numFmt w:val="lowerRoman"/>
      <w:pStyle w:val="bullet0"/>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81FDC"/>
    <w:multiLevelType w:val="hybridMultilevel"/>
    <w:tmpl w:val="D5C698E8"/>
    <w:lvl w:ilvl="0" w:tplc="A79EC4F8">
      <w:start w:val="1"/>
      <w:numFmt w:val="bullet"/>
      <w:pStyle w:val="BulletBeforeDash0"/>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42700"/>
    <w:multiLevelType w:val="hybridMultilevel"/>
    <w:tmpl w:val="8982E212"/>
    <w:lvl w:ilvl="0" w:tplc="06C64488">
      <w:start w:val="1"/>
      <w:numFmt w:val="bullet"/>
      <w:pStyle w:val="BoxTickbox"/>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15"/>
  </w:num>
  <w:num w:numId="2" w16cid:durableId="1270162788">
    <w:abstractNumId w:val="29"/>
  </w:num>
  <w:num w:numId="3" w16cid:durableId="1754930659">
    <w:abstractNumId w:val="3"/>
  </w:num>
  <w:num w:numId="4" w16cid:durableId="410388863">
    <w:abstractNumId w:val="9"/>
  </w:num>
  <w:num w:numId="5" w16cid:durableId="1821774551">
    <w:abstractNumId w:val="26"/>
  </w:num>
  <w:num w:numId="6" w16cid:durableId="758334604">
    <w:abstractNumId w:val="10"/>
  </w:num>
  <w:num w:numId="7" w16cid:durableId="640697312">
    <w:abstractNumId w:val="8"/>
  </w:num>
  <w:num w:numId="8" w16cid:durableId="1414619933">
    <w:abstractNumId w:val="11"/>
  </w:num>
  <w:num w:numId="9" w16cid:durableId="747844684">
    <w:abstractNumId w:val="13"/>
  </w:num>
  <w:num w:numId="10" w16cid:durableId="1180662619">
    <w:abstractNumId w:val="18"/>
  </w:num>
  <w:num w:numId="11" w16cid:durableId="509565726">
    <w:abstractNumId w:val="1"/>
  </w:num>
  <w:num w:numId="12" w16cid:durableId="1747919117">
    <w:abstractNumId w:val="14"/>
  </w:num>
  <w:num w:numId="13" w16cid:durableId="1922909774">
    <w:abstractNumId w:val="21"/>
  </w:num>
  <w:num w:numId="14" w16cid:durableId="1017777379">
    <w:abstractNumId w:val="7"/>
  </w:num>
  <w:num w:numId="15" w16cid:durableId="1264993682">
    <w:abstractNumId w:val="22"/>
  </w:num>
  <w:num w:numId="16" w16cid:durableId="825585008">
    <w:abstractNumId w:val="12"/>
  </w:num>
  <w:num w:numId="17" w16cid:durableId="1209300749">
    <w:abstractNumId w:val="20"/>
  </w:num>
  <w:num w:numId="18" w16cid:durableId="1104152298">
    <w:abstractNumId w:val="5"/>
  </w:num>
  <w:num w:numId="19" w16cid:durableId="791174489">
    <w:abstractNumId w:val="28"/>
  </w:num>
  <w:num w:numId="20" w16cid:durableId="948895748">
    <w:abstractNumId w:val="2"/>
  </w:num>
  <w:num w:numId="21" w16cid:durableId="1399553783">
    <w:abstractNumId w:val="4"/>
  </w:num>
  <w:num w:numId="22" w16cid:durableId="576211630">
    <w:abstractNumId w:val="0"/>
  </w:num>
  <w:num w:numId="23" w16cid:durableId="1787504582">
    <w:abstractNumId w:val="17"/>
  </w:num>
  <w:num w:numId="24" w16cid:durableId="1931815343">
    <w:abstractNumId w:val="6"/>
  </w:num>
  <w:num w:numId="25" w16cid:durableId="1699812398">
    <w:abstractNumId w:val="19"/>
  </w:num>
  <w:num w:numId="26" w16cid:durableId="804617441">
    <w:abstractNumId w:val="24"/>
  </w:num>
  <w:num w:numId="27" w16cid:durableId="220360847">
    <w:abstractNumId w:val="25"/>
  </w:num>
  <w:num w:numId="28" w16cid:durableId="308679519">
    <w:abstractNumId w:val="23"/>
  </w:num>
  <w:num w:numId="29" w16cid:durableId="814759832">
    <w:abstractNumId w:val="27"/>
  </w:num>
  <w:num w:numId="30" w16cid:durableId="200935754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157F1"/>
    <w:rsid w:val="0000005E"/>
    <w:rsid w:val="00000C1E"/>
    <w:rsid w:val="0000109A"/>
    <w:rsid w:val="000015F0"/>
    <w:rsid w:val="00001AE6"/>
    <w:rsid w:val="00001B6A"/>
    <w:rsid w:val="00001D55"/>
    <w:rsid w:val="00004D69"/>
    <w:rsid w:val="00004F08"/>
    <w:rsid w:val="00004F7F"/>
    <w:rsid w:val="00005096"/>
    <w:rsid w:val="000054C9"/>
    <w:rsid w:val="0000663F"/>
    <w:rsid w:val="00006A56"/>
    <w:rsid w:val="000074E6"/>
    <w:rsid w:val="000075A6"/>
    <w:rsid w:val="000077BB"/>
    <w:rsid w:val="00007F2C"/>
    <w:rsid w:val="00007FC1"/>
    <w:rsid w:val="00011455"/>
    <w:rsid w:val="00011568"/>
    <w:rsid w:val="00011B59"/>
    <w:rsid w:val="00012979"/>
    <w:rsid w:val="00013460"/>
    <w:rsid w:val="00013676"/>
    <w:rsid w:val="00014449"/>
    <w:rsid w:val="00014859"/>
    <w:rsid w:val="0001494D"/>
    <w:rsid w:val="00014974"/>
    <w:rsid w:val="0001528F"/>
    <w:rsid w:val="000157C7"/>
    <w:rsid w:val="00015BF6"/>
    <w:rsid w:val="00015C44"/>
    <w:rsid w:val="000161E4"/>
    <w:rsid w:val="0001702E"/>
    <w:rsid w:val="00017F5F"/>
    <w:rsid w:val="00020F6A"/>
    <w:rsid w:val="00021066"/>
    <w:rsid w:val="000219D5"/>
    <w:rsid w:val="00021CB9"/>
    <w:rsid w:val="000228B8"/>
    <w:rsid w:val="00022F3A"/>
    <w:rsid w:val="0002381B"/>
    <w:rsid w:val="00023C73"/>
    <w:rsid w:val="00023F60"/>
    <w:rsid w:val="00024127"/>
    <w:rsid w:val="00024EA5"/>
    <w:rsid w:val="00025166"/>
    <w:rsid w:val="000251A4"/>
    <w:rsid w:val="000257EA"/>
    <w:rsid w:val="000267D8"/>
    <w:rsid w:val="00026FCB"/>
    <w:rsid w:val="0002755F"/>
    <w:rsid w:val="000300C7"/>
    <w:rsid w:val="00030F9A"/>
    <w:rsid w:val="00031193"/>
    <w:rsid w:val="0003124A"/>
    <w:rsid w:val="000313CA"/>
    <w:rsid w:val="00031D00"/>
    <w:rsid w:val="0003423A"/>
    <w:rsid w:val="000345DD"/>
    <w:rsid w:val="00034642"/>
    <w:rsid w:val="0003477F"/>
    <w:rsid w:val="00034AA0"/>
    <w:rsid w:val="00035ED6"/>
    <w:rsid w:val="00036933"/>
    <w:rsid w:val="00036AD8"/>
    <w:rsid w:val="00036CCC"/>
    <w:rsid w:val="00037037"/>
    <w:rsid w:val="00037302"/>
    <w:rsid w:val="0003743A"/>
    <w:rsid w:val="0004005D"/>
    <w:rsid w:val="0004074A"/>
    <w:rsid w:val="00040ADF"/>
    <w:rsid w:val="00040F7E"/>
    <w:rsid w:val="00040FB4"/>
    <w:rsid w:val="0004178C"/>
    <w:rsid w:val="00041EA1"/>
    <w:rsid w:val="00041F5D"/>
    <w:rsid w:val="00042787"/>
    <w:rsid w:val="00042CA8"/>
    <w:rsid w:val="00042EC1"/>
    <w:rsid w:val="000432BF"/>
    <w:rsid w:val="0004414F"/>
    <w:rsid w:val="000443A6"/>
    <w:rsid w:val="000449D1"/>
    <w:rsid w:val="00045A96"/>
    <w:rsid w:val="00045B8D"/>
    <w:rsid w:val="00045CC5"/>
    <w:rsid w:val="00045D49"/>
    <w:rsid w:val="00046B6A"/>
    <w:rsid w:val="00046CE7"/>
    <w:rsid w:val="00046E9D"/>
    <w:rsid w:val="000472D4"/>
    <w:rsid w:val="00047808"/>
    <w:rsid w:val="00047AEA"/>
    <w:rsid w:val="00047DC8"/>
    <w:rsid w:val="00050F4B"/>
    <w:rsid w:val="00052DB7"/>
    <w:rsid w:val="00052DD3"/>
    <w:rsid w:val="0005326D"/>
    <w:rsid w:val="00053D25"/>
    <w:rsid w:val="00053F6C"/>
    <w:rsid w:val="00054C72"/>
    <w:rsid w:val="00055A31"/>
    <w:rsid w:val="00055A87"/>
    <w:rsid w:val="0005647F"/>
    <w:rsid w:val="00056B58"/>
    <w:rsid w:val="0005736C"/>
    <w:rsid w:val="00057A0B"/>
    <w:rsid w:val="00057D61"/>
    <w:rsid w:val="000607C4"/>
    <w:rsid w:val="00060C8F"/>
    <w:rsid w:val="00061286"/>
    <w:rsid w:val="00061864"/>
    <w:rsid w:val="000622DD"/>
    <w:rsid w:val="000631E0"/>
    <w:rsid w:val="0006339C"/>
    <w:rsid w:val="000634E8"/>
    <w:rsid w:val="00063F45"/>
    <w:rsid w:val="00064783"/>
    <w:rsid w:val="000647C2"/>
    <w:rsid w:val="00065403"/>
    <w:rsid w:val="00067B87"/>
    <w:rsid w:val="00067FDD"/>
    <w:rsid w:val="00070137"/>
    <w:rsid w:val="0007021F"/>
    <w:rsid w:val="000709A0"/>
    <w:rsid w:val="00070A57"/>
    <w:rsid w:val="00070B21"/>
    <w:rsid w:val="00071694"/>
    <w:rsid w:val="00071BE7"/>
    <w:rsid w:val="000720A3"/>
    <w:rsid w:val="000720BD"/>
    <w:rsid w:val="00074199"/>
    <w:rsid w:val="00074FB6"/>
    <w:rsid w:val="00075491"/>
    <w:rsid w:val="00075B9C"/>
    <w:rsid w:val="000760C7"/>
    <w:rsid w:val="00076CBB"/>
    <w:rsid w:val="00080241"/>
    <w:rsid w:val="00080FB3"/>
    <w:rsid w:val="00081323"/>
    <w:rsid w:val="00081778"/>
    <w:rsid w:val="00081C5D"/>
    <w:rsid w:val="00082038"/>
    <w:rsid w:val="000822A7"/>
    <w:rsid w:val="000832F2"/>
    <w:rsid w:val="00083DD6"/>
    <w:rsid w:val="00083F26"/>
    <w:rsid w:val="000864A5"/>
    <w:rsid w:val="000870B6"/>
    <w:rsid w:val="00087B5F"/>
    <w:rsid w:val="00090613"/>
    <w:rsid w:val="00090BD1"/>
    <w:rsid w:val="00090E36"/>
    <w:rsid w:val="000915D2"/>
    <w:rsid w:val="00091857"/>
    <w:rsid w:val="00091A65"/>
    <w:rsid w:val="00091C59"/>
    <w:rsid w:val="0009260E"/>
    <w:rsid w:val="00092A21"/>
    <w:rsid w:val="00093D9A"/>
    <w:rsid w:val="00093EDC"/>
    <w:rsid w:val="000945D5"/>
    <w:rsid w:val="00094656"/>
    <w:rsid w:val="00096B52"/>
    <w:rsid w:val="0009771A"/>
    <w:rsid w:val="00097A66"/>
    <w:rsid w:val="000A09A5"/>
    <w:rsid w:val="000A0F11"/>
    <w:rsid w:val="000A10BF"/>
    <w:rsid w:val="000A144E"/>
    <w:rsid w:val="000A196B"/>
    <w:rsid w:val="000A2385"/>
    <w:rsid w:val="000A2ACD"/>
    <w:rsid w:val="000A2B65"/>
    <w:rsid w:val="000A2DA8"/>
    <w:rsid w:val="000A31A7"/>
    <w:rsid w:val="000A3911"/>
    <w:rsid w:val="000A3E9F"/>
    <w:rsid w:val="000A40FE"/>
    <w:rsid w:val="000A521C"/>
    <w:rsid w:val="000A58EA"/>
    <w:rsid w:val="000A5C47"/>
    <w:rsid w:val="000A5F3A"/>
    <w:rsid w:val="000A629E"/>
    <w:rsid w:val="000A64AE"/>
    <w:rsid w:val="000A6B30"/>
    <w:rsid w:val="000B177C"/>
    <w:rsid w:val="000B2977"/>
    <w:rsid w:val="000B2E43"/>
    <w:rsid w:val="000B3330"/>
    <w:rsid w:val="000B3AC2"/>
    <w:rsid w:val="000B4815"/>
    <w:rsid w:val="000B4951"/>
    <w:rsid w:val="000B4BC2"/>
    <w:rsid w:val="000B5129"/>
    <w:rsid w:val="000B5431"/>
    <w:rsid w:val="000B5D07"/>
    <w:rsid w:val="000B5D2C"/>
    <w:rsid w:val="000B6013"/>
    <w:rsid w:val="000B6CF0"/>
    <w:rsid w:val="000B6ECD"/>
    <w:rsid w:val="000B6F46"/>
    <w:rsid w:val="000B7178"/>
    <w:rsid w:val="000B720C"/>
    <w:rsid w:val="000B7625"/>
    <w:rsid w:val="000B7665"/>
    <w:rsid w:val="000C014A"/>
    <w:rsid w:val="000C0887"/>
    <w:rsid w:val="000C0FA2"/>
    <w:rsid w:val="000C3769"/>
    <w:rsid w:val="000C3D96"/>
    <w:rsid w:val="000C402D"/>
    <w:rsid w:val="000C4421"/>
    <w:rsid w:val="000C5B4D"/>
    <w:rsid w:val="000C5BA2"/>
    <w:rsid w:val="000C670E"/>
    <w:rsid w:val="000C7C46"/>
    <w:rsid w:val="000D0746"/>
    <w:rsid w:val="000D07A8"/>
    <w:rsid w:val="000D0E10"/>
    <w:rsid w:val="000D19CE"/>
    <w:rsid w:val="000D1B52"/>
    <w:rsid w:val="000D1DA3"/>
    <w:rsid w:val="000D2178"/>
    <w:rsid w:val="000D2FFD"/>
    <w:rsid w:val="000D321B"/>
    <w:rsid w:val="000D41BC"/>
    <w:rsid w:val="000D4C1B"/>
    <w:rsid w:val="000D5523"/>
    <w:rsid w:val="000D5FED"/>
    <w:rsid w:val="000D61EF"/>
    <w:rsid w:val="000D625B"/>
    <w:rsid w:val="000D63E4"/>
    <w:rsid w:val="000D741B"/>
    <w:rsid w:val="000D76BD"/>
    <w:rsid w:val="000E03DC"/>
    <w:rsid w:val="000E0633"/>
    <w:rsid w:val="000E1124"/>
    <w:rsid w:val="000E1902"/>
    <w:rsid w:val="000E21F4"/>
    <w:rsid w:val="000E2BC8"/>
    <w:rsid w:val="000E2D3E"/>
    <w:rsid w:val="000E4227"/>
    <w:rsid w:val="000E475A"/>
    <w:rsid w:val="000E5531"/>
    <w:rsid w:val="000E6410"/>
    <w:rsid w:val="000E66C3"/>
    <w:rsid w:val="000E678B"/>
    <w:rsid w:val="000F1F58"/>
    <w:rsid w:val="000F2130"/>
    <w:rsid w:val="000F2E01"/>
    <w:rsid w:val="000F38C4"/>
    <w:rsid w:val="000F5344"/>
    <w:rsid w:val="000F58C5"/>
    <w:rsid w:val="000F5A54"/>
    <w:rsid w:val="000F5BB3"/>
    <w:rsid w:val="000F5BE9"/>
    <w:rsid w:val="000F5DF5"/>
    <w:rsid w:val="000F6303"/>
    <w:rsid w:val="000F6B50"/>
    <w:rsid w:val="000F6EF4"/>
    <w:rsid w:val="000F7987"/>
    <w:rsid w:val="0010017E"/>
    <w:rsid w:val="0010051C"/>
    <w:rsid w:val="00100A62"/>
    <w:rsid w:val="001010B4"/>
    <w:rsid w:val="00101B77"/>
    <w:rsid w:val="00101CFD"/>
    <w:rsid w:val="001021AA"/>
    <w:rsid w:val="00102A57"/>
    <w:rsid w:val="00102B12"/>
    <w:rsid w:val="00102D67"/>
    <w:rsid w:val="00102D7B"/>
    <w:rsid w:val="00103330"/>
    <w:rsid w:val="00103336"/>
    <w:rsid w:val="001037C7"/>
    <w:rsid w:val="00104072"/>
    <w:rsid w:val="0010448B"/>
    <w:rsid w:val="00104FF5"/>
    <w:rsid w:val="0010521F"/>
    <w:rsid w:val="0010625A"/>
    <w:rsid w:val="00106755"/>
    <w:rsid w:val="00106EC0"/>
    <w:rsid w:val="00106F8E"/>
    <w:rsid w:val="00107257"/>
    <w:rsid w:val="00107524"/>
    <w:rsid w:val="00107DCD"/>
    <w:rsid w:val="00107EF0"/>
    <w:rsid w:val="001104AA"/>
    <w:rsid w:val="00111417"/>
    <w:rsid w:val="00111907"/>
    <w:rsid w:val="00111A57"/>
    <w:rsid w:val="00111E1A"/>
    <w:rsid w:val="001120D1"/>
    <w:rsid w:val="001129A2"/>
    <w:rsid w:val="00112AF4"/>
    <w:rsid w:val="00113C60"/>
    <w:rsid w:val="00114C3B"/>
    <w:rsid w:val="00114D65"/>
    <w:rsid w:val="00115691"/>
    <w:rsid w:val="00115D53"/>
    <w:rsid w:val="00116C35"/>
    <w:rsid w:val="00117039"/>
    <w:rsid w:val="00117893"/>
    <w:rsid w:val="00117F04"/>
    <w:rsid w:val="00120BD3"/>
    <w:rsid w:val="00122042"/>
    <w:rsid w:val="00122AE3"/>
    <w:rsid w:val="00122EE1"/>
    <w:rsid w:val="00123658"/>
    <w:rsid w:val="001237AF"/>
    <w:rsid w:val="00123C1C"/>
    <w:rsid w:val="00123F63"/>
    <w:rsid w:val="001247EB"/>
    <w:rsid w:val="00124F3C"/>
    <w:rsid w:val="00125A36"/>
    <w:rsid w:val="00125B61"/>
    <w:rsid w:val="00125E53"/>
    <w:rsid w:val="00126122"/>
    <w:rsid w:val="0012687E"/>
    <w:rsid w:val="0012702D"/>
    <w:rsid w:val="00127043"/>
    <w:rsid w:val="00127E0D"/>
    <w:rsid w:val="00127E85"/>
    <w:rsid w:val="00130108"/>
    <w:rsid w:val="001312D3"/>
    <w:rsid w:val="00131D45"/>
    <w:rsid w:val="001320F0"/>
    <w:rsid w:val="0013242B"/>
    <w:rsid w:val="00132446"/>
    <w:rsid w:val="00132551"/>
    <w:rsid w:val="00132755"/>
    <w:rsid w:val="001336E0"/>
    <w:rsid w:val="00133F34"/>
    <w:rsid w:val="00134B1E"/>
    <w:rsid w:val="00135273"/>
    <w:rsid w:val="00135503"/>
    <w:rsid w:val="00135A26"/>
    <w:rsid w:val="00135FC9"/>
    <w:rsid w:val="00136A3D"/>
    <w:rsid w:val="00137606"/>
    <w:rsid w:val="00137F8F"/>
    <w:rsid w:val="001404F4"/>
    <w:rsid w:val="0014061B"/>
    <w:rsid w:val="00141345"/>
    <w:rsid w:val="0014232C"/>
    <w:rsid w:val="00143478"/>
    <w:rsid w:val="00143F2F"/>
    <w:rsid w:val="00144AF7"/>
    <w:rsid w:val="00144E07"/>
    <w:rsid w:val="00146204"/>
    <w:rsid w:val="00146624"/>
    <w:rsid w:val="001470BB"/>
    <w:rsid w:val="0014796D"/>
    <w:rsid w:val="00150376"/>
    <w:rsid w:val="00151784"/>
    <w:rsid w:val="00151DBD"/>
    <w:rsid w:val="001531D6"/>
    <w:rsid w:val="001536FC"/>
    <w:rsid w:val="0015411A"/>
    <w:rsid w:val="00155434"/>
    <w:rsid w:val="0015564B"/>
    <w:rsid w:val="00155BDA"/>
    <w:rsid w:val="00156FA7"/>
    <w:rsid w:val="0016023A"/>
    <w:rsid w:val="00160817"/>
    <w:rsid w:val="00160FA3"/>
    <w:rsid w:val="00161469"/>
    <w:rsid w:val="00161678"/>
    <w:rsid w:val="001617AB"/>
    <w:rsid w:val="00161B89"/>
    <w:rsid w:val="001625CB"/>
    <w:rsid w:val="00162DBF"/>
    <w:rsid w:val="00163254"/>
    <w:rsid w:val="001643BE"/>
    <w:rsid w:val="00164CF8"/>
    <w:rsid w:val="001653AE"/>
    <w:rsid w:val="001658D5"/>
    <w:rsid w:val="00165FBB"/>
    <w:rsid w:val="001661FC"/>
    <w:rsid w:val="00166D67"/>
    <w:rsid w:val="00167824"/>
    <w:rsid w:val="00167EA1"/>
    <w:rsid w:val="001704FE"/>
    <w:rsid w:val="00170D5B"/>
    <w:rsid w:val="0017121B"/>
    <w:rsid w:val="00171A34"/>
    <w:rsid w:val="00171D0F"/>
    <w:rsid w:val="00172140"/>
    <w:rsid w:val="00172441"/>
    <w:rsid w:val="00172B8F"/>
    <w:rsid w:val="001736F8"/>
    <w:rsid w:val="00173D85"/>
    <w:rsid w:val="00174FD4"/>
    <w:rsid w:val="00175C2A"/>
    <w:rsid w:val="00175C66"/>
    <w:rsid w:val="00175CEE"/>
    <w:rsid w:val="00176D0E"/>
    <w:rsid w:val="0017708F"/>
    <w:rsid w:val="00177B31"/>
    <w:rsid w:val="00177E97"/>
    <w:rsid w:val="00180CAF"/>
    <w:rsid w:val="00180E71"/>
    <w:rsid w:val="00180F18"/>
    <w:rsid w:val="00181475"/>
    <w:rsid w:val="00181F39"/>
    <w:rsid w:val="00182E09"/>
    <w:rsid w:val="001830AD"/>
    <w:rsid w:val="00183525"/>
    <w:rsid w:val="00183711"/>
    <w:rsid w:val="001837E8"/>
    <w:rsid w:val="001839F4"/>
    <w:rsid w:val="00183DA7"/>
    <w:rsid w:val="001843DD"/>
    <w:rsid w:val="00184BAE"/>
    <w:rsid w:val="00185998"/>
    <w:rsid w:val="00186D87"/>
    <w:rsid w:val="00190BFF"/>
    <w:rsid w:val="00191BCD"/>
    <w:rsid w:val="00191D7F"/>
    <w:rsid w:val="001923C2"/>
    <w:rsid w:val="001934BD"/>
    <w:rsid w:val="0019362A"/>
    <w:rsid w:val="00193DF0"/>
    <w:rsid w:val="001942A9"/>
    <w:rsid w:val="0019474E"/>
    <w:rsid w:val="00194A64"/>
    <w:rsid w:val="00195155"/>
    <w:rsid w:val="00195728"/>
    <w:rsid w:val="00196289"/>
    <w:rsid w:val="00196E39"/>
    <w:rsid w:val="00197052"/>
    <w:rsid w:val="001970C0"/>
    <w:rsid w:val="00197763"/>
    <w:rsid w:val="001A0984"/>
    <w:rsid w:val="001A0997"/>
    <w:rsid w:val="001A1CB7"/>
    <w:rsid w:val="001A2DD5"/>
    <w:rsid w:val="001A2E15"/>
    <w:rsid w:val="001A3A22"/>
    <w:rsid w:val="001A3A6B"/>
    <w:rsid w:val="001A3B4F"/>
    <w:rsid w:val="001A420B"/>
    <w:rsid w:val="001A4B97"/>
    <w:rsid w:val="001A4CC2"/>
    <w:rsid w:val="001A4F7D"/>
    <w:rsid w:val="001A502C"/>
    <w:rsid w:val="001A5D7C"/>
    <w:rsid w:val="001A5EF9"/>
    <w:rsid w:val="001A6C29"/>
    <w:rsid w:val="001A705C"/>
    <w:rsid w:val="001A7B42"/>
    <w:rsid w:val="001A7D8F"/>
    <w:rsid w:val="001A7E46"/>
    <w:rsid w:val="001B03A9"/>
    <w:rsid w:val="001B09E6"/>
    <w:rsid w:val="001B15D2"/>
    <w:rsid w:val="001B2749"/>
    <w:rsid w:val="001B2A97"/>
    <w:rsid w:val="001B2CD4"/>
    <w:rsid w:val="001B31D5"/>
    <w:rsid w:val="001B4304"/>
    <w:rsid w:val="001B4630"/>
    <w:rsid w:val="001B6D4E"/>
    <w:rsid w:val="001B6D54"/>
    <w:rsid w:val="001B7329"/>
    <w:rsid w:val="001C09DB"/>
    <w:rsid w:val="001C09DD"/>
    <w:rsid w:val="001C174A"/>
    <w:rsid w:val="001C1D05"/>
    <w:rsid w:val="001C272A"/>
    <w:rsid w:val="001C2A48"/>
    <w:rsid w:val="001C2D7F"/>
    <w:rsid w:val="001C4408"/>
    <w:rsid w:val="001C4BCA"/>
    <w:rsid w:val="001C502B"/>
    <w:rsid w:val="001C69E3"/>
    <w:rsid w:val="001C6DFD"/>
    <w:rsid w:val="001C7227"/>
    <w:rsid w:val="001C746A"/>
    <w:rsid w:val="001C76DE"/>
    <w:rsid w:val="001C7E9B"/>
    <w:rsid w:val="001D1722"/>
    <w:rsid w:val="001D1B47"/>
    <w:rsid w:val="001D295E"/>
    <w:rsid w:val="001D2A21"/>
    <w:rsid w:val="001D32C0"/>
    <w:rsid w:val="001D33A0"/>
    <w:rsid w:val="001D3A64"/>
    <w:rsid w:val="001D43AE"/>
    <w:rsid w:val="001D461D"/>
    <w:rsid w:val="001D4BE8"/>
    <w:rsid w:val="001D5793"/>
    <w:rsid w:val="001D5C3B"/>
    <w:rsid w:val="001D64A2"/>
    <w:rsid w:val="001D6C97"/>
    <w:rsid w:val="001D6D36"/>
    <w:rsid w:val="001D6E96"/>
    <w:rsid w:val="001D7047"/>
    <w:rsid w:val="001D74A7"/>
    <w:rsid w:val="001D7631"/>
    <w:rsid w:val="001D7D7B"/>
    <w:rsid w:val="001E026E"/>
    <w:rsid w:val="001E0C7E"/>
    <w:rsid w:val="001E15F2"/>
    <w:rsid w:val="001E202E"/>
    <w:rsid w:val="001E2127"/>
    <w:rsid w:val="001E22F7"/>
    <w:rsid w:val="001E3278"/>
    <w:rsid w:val="001E3DA0"/>
    <w:rsid w:val="001E3E4C"/>
    <w:rsid w:val="001E465F"/>
    <w:rsid w:val="001E4AAE"/>
    <w:rsid w:val="001E5257"/>
    <w:rsid w:val="001E5572"/>
    <w:rsid w:val="001E5FEB"/>
    <w:rsid w:val="001E6693"/>
    <w:rsid w:val="001E6A37"/>
    <w:rsid w:val="001E6B7E"/>
    <w:rsid w:val="001E775D"/>
    <w:rsid w:val="001E7CA1"/>
    <w:rsid w:val="001F009C"/>
    <w:rsid w:val="001F06A8"/>
    <w:rsid w:val="001F189C"/>
    <w:rsid w:val="001F2544"/>
    <w:rsid w:val="001F2597"/>
    <w:rsid w:val="001F2902"/>
    <w:rsid w:val="001F2C10"/>
    <w:rsid w:val="001F3BDE"/>
    <w:rsid w:val="001F3D7C"/>
    <w:rsid w:val="001F3F36"/>
    <w:rsid w:val="001F616E"/>
    <w:rsid w:val="001F658C"/>
    <w:rsid w:val="001F675C"/>
    <w:rsid w:val="001F6F44"/>
    <w:rsid w:val="001F7563"/>
    <w:rsid w:val="001F75F0"/>
    <w:rsid w:val="001F7684"/>
    <w:rsid w:val="001F77C4"/>
    <w:rsid w:val="001F7802"/>
    <w:rsid w:val="00201CCE"/>
    <w:rsid w:val="002020B5"/>
    <w:rsid w:val="00202382"/>
    <w:rsid w:val="00202776"/>
    <w:rsid w:val="0020333E"/>
    <w:rsid w:val="00203B59"/>
    <w:rsid w:val="0020417D"/>
    <w:rsid w:val="00204E88"/>
    <w:rsid w:val="00205716"/>
    <w:rsid w:val="0020644A"/>
    <w:rsid w:val="00206A0B"/>
    <w:rsid w:val="00206C29"/>
    <w:rsid w:val="00206E8C"/>
    <w:rsid w:val="0020763F"/>
    <w:rsid w:val="00207DAB"/>
    <w:rsid w:val="00207E3F"/>
    <w:rsid w:val="00207F59"/>
    <w:rsid w:val="0021011F"/>
    <w:rsid w:val="0021056B"/>
    <w:rsid w:val="0021151B"/>
    <w:rsid w:val="00211C5F"/>
    <w:rsid w:val="00211DC3"/>
    <w:rsid w:val="00212A10"/>
    <w:rsid w:val="00212BF7"/>
    <w:rsid w:val="002130EA"/>
    <w:rsid w:val="002135A5"/>
    <w:rsid w:val="00214AE5"/>
    <w:rsid w:val="00214C51"/>
    <w:rsid w:val="0021522C"/>
    <w:rsid w:val="002155B6"/>
    <w:rsid w:val="002157E4"/>
    <w:rsid w:val="00215AFB"/>
    <w:rsid w:val="00215DEA"/>
    <w:rsid w:val="00216A6A"/>
    <w:rsid w:val="002172E9"/>
    <w:rsid w:val="002200D8"/>
    <w:rsid w:val="002207EC"/>
    <w:rsid w:val="0022113C"/>
    <w:rsid w:val="00221464"/>
    <w:rsid w:val="002215F6"/>
    <w:rsid w:val="00221AA9"/>
    <w:rsid w:val="00222073"/>
    <w:rsid w:val="002227E2"/>
    <w:rsid w:val="00223664"/>
    <w:rsid w:val="00223A56"/>
    <w:rsid w:val="00224643"/>
    <w:rsid w:val="00225629"/>
    <w:rsid w:val="00225833"/>
    <w:rsid w:val="00225AED"/>
    <w:rsid w:val="00225C51"/>
    <w:rsid w:val="00226095"/>
    <w:rsid w:val="0022646B"/>
    <w:rsid w:val="002279C8"/>
    <w:rsid w:val="00227A5E"/>
    <w:rsid w:val="00227B89"/>
    <w:rsid w:val="00227F43"/>
    <w:rsid w:val="00230231"/>
    <w:rsid w:val="002317AE"/>
    <w:rsid w:val="00232223"/>
    <w:rsid w:val="0023268F"/>
    <w:rsid w:val="00232C53"/>
    <w:rsid w:val="00234640"/>
    <w:rsid w:val="00234D1D"/>
    <w:rsid w:val="00236B50"/>
    <w:rsid w:val="00236EEA"/>
    <w:rsid w:val="0023703E"/>
    <w:rsid w:val="0023791C"/>
    <w:rsid w:val="002379EF"/>
    <w:rsid w:val="00240106"/>
    <w:rsid w:val="00240BAB"/>
    <w:rsid w:val="00240CFE"/>
    <w:rsid w:val="002411C7"/>
    <w:rsid w:val="00242A9C"/>
    <w:rsid w:val="00242F4E"/>
    <w:rsid w:val="00243BE4"/>
    <w:rsid w:val="00243C66"/>
    <w:rsid w:val="00243E72"/>
    <w:rsid w:val="002452A0"/>
    <w:rsid w:val="00245E94"/>
    <w:rsid w:val="00245F1D"/>
    <w:rsid w:val="002463A6"/>
    <w:rsid w:val="00246579"/>
    <w:rsid w:val="00246ADB"/>
    <w:rsid w:val="002517A5"/>
    <w:rsid w:val="00251A0B"/>
    <w:rsid w:val="00251BD5"/>
    <w:rsid w:val="00251F6C"/>
    <w:rsid w:val="0025249C"/>
    <w:rsid w:val="002539ED"/>
    <w:rsid w:val="00253EEE"/>
    <w:rsid w:val="0025440D"/>
    <w:rsid w:val="0025450E"/>
    <w:rsid w:val="00255152"/>
    <w:rsid w:val="0025554E"/>
    <w:rsid w:val="00255A0F"/>
    <w:rsid w:val="00255A95"/>
    <w:rsid w:val="00255D32"/>
    <w:rsid w:val="00255E63"/>
    <w:rsid w:val="0025718B"/>
    <w:rsid w:val="002573D4"/>
    <w:rsid w:val="00257B75"/>
    <w:rsid w:val="00260070"/>
    <w:rsid w:val="002600B9"/>
    <w:rsid w:val="002603AE"/>
    <w:rsid w:val="00260F4A"/>
    <w:rsid w:val="00261027"/>
    <w:rsid w:val="00261A28"/>
    <w:rsid w:val="00261AAB"/>
    <w:rsid w:val="00261F3D"/>
    <w:rsid w:val="00262412"/>
    <w:rsid w:val="00262AE8"/>
    <w:rsid w:val="002632F5"/>
    <w:rsid w:val="002638F4"/>
    <w:rsid w:val="00263E01"/>
    <w:rsid w:val="0026431B"/>
    <w:rsid w:val="00264355"/>
    <w:rsid w:val="00264582"/>
    <w:rsid w:val="0026614E"/>
    <w:rsid w:val="00266399"/>
    <w:rsid w:val="0026712A"/>
    <w:rsid w:val="002679A0"/>
    <w:rsid w:val="00267F9F"/>
    <w:rsid w:val="002705A5"/>
    <w:rsid w:val="00270E06"/>
    <w:rsid w:val="0027160C"/>
    <w:rsid w:val="00271E5C"/>
    <w:rsid w:val="00271E60"/>
    <w:rsid w:val="0027205A"/>
    <w:rsid w:val="00272B41"/>
    <w:rsid w:val="00274266"/>
    <w:rsid w:val="00274866"/>
    <w:rsid w:val="002751D1"/>
    <w:rsid w:val="00275209"/>
    <w:rsid w:val="002752BB"/>
    <w:rsid w:val="002764A0"/>
    <w:rsid w:val="00276B6C"/>
    <w:rsid w:val="00276B9C"/>
    <w:rsid w:val="00276BE9"/>
    <w:rsid w:val="00276ED3"/>
    <w:rsid w:val="002802D3"/>
    <w:rsid w:val="002802D9"/>
    <w:rsid w:val="00280947"/>
    <w:rsid w:val="002814E1"/>
    <w:rsid w:val="002817FC"/>
    <w:rsid w:val="00281BF3"/>
    <w:rsid w:val="002822A2"/>
    <w:rsid w:val="00282AEA"/>
    <w:rsid w:val="00282FD1"/>
    <w:rsid w:val="00283FD8"/>
    <w:rsid w:val="00284211"/>
    <w:rsid w:val="00284340"/>
    <w:rsid w:val="00284405"/>
    <w:rsid w:val="00284A36"/>
    <w:rsid w:val="00284EDE"/>
    <w:rsid w:val="00285D50"/>
    <w:rsid w:val="00287C44"/>
    <w:rsid w:val="00287D3C"/>
    <w:rsid w:val="00287E78"/>
    <w:rsid w:val="00287F45"/>
    <w:rsid w:val="00290676"/>
    <w:rsid w:val="00291462"/>
    <w:rsid w:val="00291572"/>
    <w:rsid w:val="0029244C"/>
    <w:rsid w:val="00293BE9"/>
    <w:rsid w:val="00296060"/>
    <w:rsid w:val="0029658A"/>
    <w:rsid w:val="002A012A"/>
    <w:rsid w:val="002A04B4"/>
    <w:rsid w:val="002A1338"/>
    <w:rsid w:val="002A145B"/>
    <w:rsid w:val="002A1810"/>
    <w:rsid w:val="002A18BE"/>
    <w:rsid w:val="002A1963"/>
    <w:rsid w:val="002A2DC6"/>
    <w:rsid w:val="002A36F6"/>
    <w:rsid w:val="002A3EE4"/>
    <w:rsid w:val="002A4084"/>
    <w:rsid w:val="002A4166"/>
    <w:rsid w:val="002A4475"/>
    <w:rsid w:val="002A4AD6"/>
    <w:rsid w:val="002A4BA2"/>
    <w:rsid w:val="002A565B"/>
    <w:rsid w:val="002A5987"/>
    <w:rsid w:val="002A5A67"/>
    <w:rsid w:val="002A5F56"/>
    <w:rsid w:val="002A69AE"/>
    <w:rsid w:val="002A69C7"/>
    <w:rsid w:val="002A7196"/>
    <w:rsid w:val="002A7677"/>
    <w:rsid w:val="002A76AE"/>
    <w:rsid w:val="002B01F2"/>
    <w:rsid w:val="002B07A6"/>
    <w:rsid w:val="002B12EC"/>
    <w:rsid w:val="002B1384"/>
    <w:rsid w:val="002B181F"/>
    <w:rsid w:val="002B1E54"/>
    <w:rsid w:val="002B305F"/>
    <w:rsid w:val="002B31E7"/>
    <w:rsid w:val="002B3465"/>
    <w:rsid w:val="002B3681"/>
    <w:rsid w:val="002B3AAE"/>
    <w:rsid w:val="002B3D48"/>
    <w:rsid w:val="002B42E9"/>
    <w:rsid w:val="002B52F8"/>
    <w:rsid w:val="002B667C"/>
    <w:rsid w:val="002B6D3C"/>
    <w:rsid w:val="002B701B"/>
    <w:rsid w:val="002C0D26"/>
    <w:rsid w:val="002C0F87"/>
    <w:rsid w:val="002C1163"/>
    <w:rsid w:val="002C11CA"/>
    <w:rsid w:val="002C13F8"/>
    <w:rsid w:val="002C195B"/>
    <w:rsid w:val="002C203D"/>
    <w:rsid w:val="002C2D0E"/>
    <w:rsid w:val="002C3F18"/>
    <w:rsid w:val="002C4273"/>
    <w:rsid w:val="002C45E8"/>
    <w:rsid w:val="002C4A45"/>
    <w:rsid w:val="002C544A"/>
    <w:rsid w:val="002C70CE"/>
    <w:rsid w:val="002C722A"/>
    <w:rsid w:val="002C7908"/>
    <w:rsid w:val="002D0055"/>
    <w:rsid w:val="002D087E"/>
    <w:rsid w:val="002D1D9A"/>
    <w:rsid w:val="002D27E5"/>
    <w:rsid w:val="002D29A2"/>
    <w:rsid w:val="002D2C9E"/>
    <w:rsid w:val="002D30B2"/>
    <w:rsid w:val="002D3F13"/>
    <w:rsid w:val="002D4321"/>
    <w:rsid w:val="002D5097"/>
    <w:rsid w:val="002D55E4"/>
    <w:rsid w:val="002D586C"/>
    <w:rsid w:val="002D5CC3"/>
    <w:rsid w:val="002D6132"/>
    <w:rsid w:val="002D6314"/>
    <w:rsid w:val="002D6460"/>
    <w:rsid w:val="002D690D"/>
    <w:rsid w:val="002D703D"/>
    <w:rsid w:val="002D70C1"/>
    <w:rsid w:val="002D77E4"/>
    <w:rsid w:val="002E008A"/>
    <w:rsid w:val="002E04F1"/>
    <w:rsid w:val="002E1D87"/>
    <w:rsid w:val="002E20B9"/>
    <w:rsid w:val="002E5647"/>
    <w:rsid w:val="002E63BE"/>
    <w:rsid w:val="002E7775"/>
    <w:rsid w:val="002E7AD2"/>
    <w:rsid w:val="002E7BA8"/>
    <w:rsid w:val="002F02F5"/>
    <w:rsid w:val="002F1141"/>
    <w:rsid w:val="002F1399"/>
    <w:rsid w:val="002F1D27"/>
    <w:rsid w:val="002F32FB"/>
    <w:rsid w:val="002F3DAE"/>
    <w:rsid w:val="002F5611"/>
    <w:rsid w:val="002F5F5E"/>
    <w:rsid w:val="002F5F85"/>
    <w:rsid w:val="002F693F"/>
    <w:rsid w:val="002F7D1C"/>
    <w:rsid w:val="003008CC"/>
    <w:rsid w:val="003013A9"/>
    <w:rsid w:val="00301763"/>
    <w:rsid w:val="003020CD"/>
    <w:rsid w:val="00302252"/>
    <w:rsid w:val="003023F0"/>
    <w:rsid w:val="003035E9"/>
    <w:rsid w:val="00303C60"/>
    <w:rsid w:val="00304FB8"/>
    <w:rsid w:val="003052D1"/>
    <w:rsid w:val="0030572B"/>
    <w:rsid w:val="00305FB3"/>
    <w:rsid w:val="003060C0"/>
    <w:rsid w:val="003069CE"/>
    <w:rsid w:val="00306A2F"/>
    <w:rsid w:val="00307299"/>
    <w:rsid w:val="00307CDA"/>
    <w:rsid w:val="00310B9B"/>
    <w:rsid w:val="00310C3F"/>
    <w:rsid w:val="00311470"/>
    <w:rsid w:val="00311D71"/>
    <w:rsid w:val="00313811"/>
    <w:rsid w:val="00313A40"/>
    <w:rsid w:val="00313B0B"/>
    <w:rsid w:val="00313E4A"/>
    <w:rsid w:val="003140D2"/>
    <w:rsid w:val="0031441A"/>
    <w:rsid w:val="003148F5"/>
    <w:rsid w:val="00314FCC"/>
    <w:rsid w:val="00315A89"/>
    <w:rsid w:val="003162FA"/>
    <w:rsid w:val="003166D5"/>
    <w:rsid w:val="003169D5"/>
    <w:rsid w:val="00316CD1"/>
    <w:rsid w:val="0031752C"/>
    <w:rsid w:val="00317714"/>
    <w:rsid w:val="003208BD"/>
    <w:rsid w:val="00320A17"/>
    <w:rsid w:val="00321400"/>
    <w:rsid w:val="00321467"/>
    <w:rsid w:val="00321D8B"/>
    <w:rsid w:val="00322399"/>
    <w:rsid w:val="003224D7"/>
    <w:rsid w:val="00322DA9"/>
    <w:rsid w:val="003236AF"/>
    <w:rsid w:val="00323AF6"/>
    <w:rsid w:val="00323BED"/>
    <w:rsid w:val="00323C8F"/>
    <w:rsid w:val="00324C2D"/>
    <w:rsid w:val="003251C2"/>
    <w:rsid w:val="00325FA0"/>
    <w:rsid w:val="00326C89"/>
    <w:rsid w:val="00326EC9"/>
    <w:rsid w:val="00326F1C"/>
    <w:rsid w:val="00327162"/>
    <w:rsid w:val="00330A0A"/>
    <w:rsid w:val="00330BCB"/>
    <w:rsid w:val="00330D6C"/>
    <w:rsid w:val="003313CA"/>
    <w:rsid w:val="003328A9"/>
    <w:rsid w:val="003330D2"/>
    <w:rsid w:val="00333305"/>
    <w:rsid w:val="00333B78"/>
    <w:rsid w:val="00336DE8"/>
    <w:rsid w:val="003371B5"/>
    <w:rsid w:val="00337336"/>
    <w:rsid w:val="00337744"/>
    <w:rsid w:val="00337BAF"/>
    <w:rsid w:val="0034033B"/>
    <w:rsid w:val="00340341"/>
    <w:rsid w:val="003417CB"/>
    <w:rsid w:val="00341E4A"/>
    <w:rsid w:val="00341F3F"/>
    <w:rsid w:val="00342BDB"/>
    <w:rsid w:val="003435A9"/>
    <w:rsid w:val="003445A3"/>
    <w:rsid w:val="00344649"/>
    <w:rsid w:val="00344E23"/>
    <w:rsid w:val="00345496"/>
    <w:rsid w:val="00345BCF"/>
    <w:rsid w:val="003466F9"/>
    <w:rsid w:val="00346A66"/>
    <w:rsid w:val="00347481"/>
    <w:rsid w:val="00350092"/>
    <w:rsid w:val="003511A8"/>
    <w:rsid w:val="003519AD"/>
    <w:rsid w:val="00351E0E"/>
    <w:rsid w:val="00353290"/>
    <w:rsid w:val="0035453F"/>
    <w:rsid w:val="00354659"/>
    <w:rsid w:val="00354EB4"/>
    <w:rsid w:val="00355627"/>
    <w:rsid w:val="00356D29"/>
    <w:rsid w:val="00356EB0"/>
    <w:rsid w:val="003571C2"/>
    <w:rsid w:val="003601FE"/>
    <w:rsid w:val="0036066E"/>
    <w:rsid w:val="00360B9D"/>
    <w:rsid w:val="0036129C"/>
    <w:rsid w:val="0036164B"/>
    <w:rsid w:val="00361F31"/>
    <w:rsid w:val="00362303"/>
    <w:rsid w:val="003633E9"/>
    <w:rsid w:val="00363A93"/>
    <w:rsid w:val="003640A7"/>
    <w:rsid w:val="0036449D"/>
    <w:rsid w:val="00364A51"/>
    <w:rsid w:val="00365447"/>
    <w:rsid w:val="00365819"/>
    <w:rsid w:val="003661E5"/>
    <w:rsid w:val="00367437"/>
    <w:rsid w:val="00367672"/>
    <w:rsid w:val="0036794E"/>
    <w:rsid w:val="00367A9C"/>
    <w:rsid w:val="00367C3F"/>
    <w:rsid w:val="00367D64"/>
    <w:rsid w:val="00370B45"/>
    <w:rsid w:val="00372086"/>
    <w:rsid w:val="0037302B"/>
    <w:rsid w:val="0037363F"/>
    <w:rsid w:val="003736BF"/>
    <w:rsid w:val="00373CD2"/>
    <w:rsid w:val="003740F5"/>
    <w:rsid w:val="00374257"/>
    <w:rsid w:val="003744FD"/>
    <w:rsid w:val="00375421"/>
    <w:rsid w:val="00375620"/>
    <w:rsid w:val="003810D5"/>
    <w:rsid w:val="0038146C"/>
    <w:rsid w:val="00381F0B"/>
    <w:rsid w:val="00382609"/>
    <w:rsid w:val="00382E46"/>
    <w:rsid w:val="00384360"/>
    <w:rsid w:val="0038464C"/>
    <w:rsid w:val="00384D66"/>
    <w:rsid w:val="00385F0F"/>
    <w:rsid w:val="00385FCD"/>
    <w:rsid w:val="00386124"/>
    <w:rsid w:val="003864D5"/>
    <w:rsid w:val="003876B0"/>
    <w:rsid w:val="00390567"/>
    <w:rsid w:val="00391179"/>
    <w:rsid w:val="00394BB1"/>
    <w:rsid w:val="00394FB9"/>
    <w:rsid w:val="00395622"/>
    <w:rsid w:val="00395EA6"/>
    <w:rsid w:val="003966F6"/>
    <w:rsid w:val="0039677D"/>
    <w:rsid w:val="00396C19"/>
    <w:rsid w:val="00396DD5"/>
    <w:rsid w:val="003975A9"/>
    <w:rsid w:val="003A0151"/>
    <w:rsid w:val="003A0660"/>
    <w:rsid w:val="003A07E8"/>
    <w:rsid w:val="003A0D52"/>
    <w:rsid w:val="003A2ED1"/>
    <w:rsid w:val="003A358C"/>
    <w:rsid w:val="003A4C47"/>
    <w:rsid w:val="003A5E76"/>
    <w:rsid w:val="003A5F92"/>
    <w:rsid w:val="003A6724"/>
    <w:rsid w:val="003A6E1A"/>
    <w:rsid w:val="003B0BA1"/>
    <w:rsid w:val="003B0CD3"/>
    <w:rsid w:val="003B1DF9"/>
    <w:rsid w:val="003B211B"/>
    <w:rsid w:val="003B261C"/>
    <w:rsid w:val="003B30E9"/>
    <w:rsid w:val="003B3522"/>
    <w:rsid w:val="003B4599"/>
    <w:rsid w:val="003B55C2"/>
    <w:rsid w:val="003B61B7"/>
    <w:rsid w:val="003B6991"/>
    <w:rsid w:val="003B6A1A"/>
    <w:rsid w:val="003C1488"/>
    <w:rsid w:val="003C1AE2"/>
    <w:rsid w:val="003C34EF"/>
    <w:rsid w:val="003C4E34"/>
    <w:rsid w:val="003C4F8F"/>
    <w:rsid w:val="003C56CB"/>
    <w:rsid w:val="003C5DC9"/>
    <w:rsid w:val="003C66CA"/>
    <w:rsid w:val="003C6729"/>
    <w:rsid w:val="003C6B59"/>
    <w:rsid w:val="003C7730"/>
    <w:rsid w:val="003CBE08"/>
    <w:rsid w:val="003D001F"/>
    <w:rsid w:val="003D01AB"/>
    <w:rsid w:val="003D104E"/>
    <w:rsid w:val="003D299E"/>
    <w:rsid w:val="003D2D1D"/>
    <w:rsid w:val="003D2ED9"/>
    <w:rsid w:val="003D3525"/>
    <w:rsid w:val="003D3628"/>
    <w:rsid w:val="003D412D"/>
    <w:rsid w:val="003D4718"/>
    <w:rsid w:val="003D4B01"/>
    <w:rsid w:val="003D4B31"/>
    <w:rsid w:val="003D4B75"/>
    <w:rsid w:val="003D55E1"/>
    <w:rsid w:val="003D5A0D"/>
    <w:rsid w:val="003D641A"/>
    <w:rsid w:val="003D6912"/>
    <w:rsid w:val="003D6957"/>
    <w:rsid w:val="003D71EB"/>
    <w:rsid w:val="003D7318"/>
    <w:rsid w:val="003D785E"/>
    <w:rsid w:val="003E0001"/>
    <w:rsid w:val="003E11A7"/>
    <w:rsid w:val="003E11C3"/>
    <w:rsid w:val="003E22CB"/>
    <w:rsid w:val="003E2343"/>
    <w:rsid w:val="003E234B"/>
    <w:rsid w:val="003E304F"/>
    <w:rsid w:val="003E3211"/>
    <w:rsid w:val="003E3800"/>
    <w:rsid w:val="003E406B"/>
    <w:rsid w:val="003E407E"/>
    <w:rsid w:val="003E40A3"/>
    <w:rsid w:val="003E41D5"/>
    <w:rsid w:val="003E489B"/>
    <w:rsid w:val="003E4F96"/>
    <w:rsid w:val="003E53B4"/>
    <w:rsid w:val="003E5CCA"/>
    <w:rsid w:val="003E6F75"/>
    <w:rsid w:val="003E7614"/>
    <w:rsid w:val="003E7773"/>
    <w:rsid w:val="003E792C"/>
    <w:rsid w:val="003E79D8"/>
    <w:rsid w:val="003F01BB"/>
    <w:rsid w:val="003F01BC"/>
    <w:rsid w:val="003F115E"/>
    <w:rsid w:val="003F14C2"/>
    <w:rsid w:val="003F2102"/>
    <w:rsid w:val="003F2210"/>
    <w:rsid w:val="003F4139"/>
    <w:rsid w:val="003F4BE9"/>
    <w:rsid w:val="003F4DF6"/>
    <w:rsid w:val="003F535C"/>
    <w:rsid w:val="003F6A7F"/>
    <w:rsid w:val="003F6BFC"/>
    <w:rsid w:val="003F7196"/>
    <w:rsid w:val="003F7A26"/>
    <w:rsid w:val="003F7AAD"/>
    <w:rsid w:val="004004FA"/>
    <w:rsid w:val="004008AF"/>
    <w:rsid w:val="004009D3"/>
    <w:rsid w:val="00400B5F"/>
    <w:rsid w:val="0040121D"/>
    <w:rsid w:val="00401C22"/>
    <w:rsid w:val="00401DBF"/>
    <w:rsid w:val="00402A94"/>
    <w:rsid w:val="00402E25"/>
    <w:rsid w:val="004033D9"/>
    <w:rsid w:val="004039DC"/>
    <w:rsid w:val="004044EE"/>
    <w:rsid w:val="00404A94"/>
    <w:rsid w:val="00404B9C"/>
    <w:rsid w:val="00404DE9"/>
    <w:rsid w:val="0040551F"/>
    <w:rsid w:val="0040569B"/>
    <w:rsid w:val="0040651D"/>
    <w:rsid w:val="00406EF1"/>
    <w:rsid w:val="004071B8"/>
    <w:rsid w:val="0040771F"/>
    <w:rsid w:val="004104E9"/>
    <w:rsid w:val="004111F7"/>
    <w:rsid w:val="004115B6"/>
    <w:rsid w:val="0041217D"/>
    <w:rsid w:val="004121DF"/>
    <w:rsid w:val="004123B3"/>
    <w:rsid w:val="004125C6"/>
    <w:rsid w:val="0041275F"/>
    <w:rsid w:val="00412D19"/>
    <w:rsid w:val="00413322"/>
    <w:rsid w:val="00413643"/>
    <w:rsid w:val="00414006"/>
    <w:rsid w:val="00414912"/>
    <w:rsid w:val="00414D24"/>
    <w:rsid w:val="00414FB4"/>
    <w:rsid w:val="004159F5"/>
    <w:rsid w:val="00415C05"/>
    <w:rsid w:val="0041727F"/>
    <w:rsid w:val="0042065F"/>
    <w:rsid w:val="004218E2"/>
    <w:rsid w:val="00421A7E"/>
    <w:rsid w:val="00421A89"/>
    <w:rsid w:val="00421D76"/>
    <w:rsid w:val="00421EBC"/>
    <w:rsid w:val="00421F58"/>
    <w:rsid w:val="004225CF"/>
    <w:rsid w:val="00422649"/>
    <w:rsid w:val="00422BE8"/>
    <w:rsid w:val="0042304B"/>
    <w:rsid w:val="004239E4"/>
    <w:rsid w:val="00423D9D"/>
    <w:rsid w:val="00423F7A"/>
    <w:rsid w:val="00424084"/>
    <w:rsid w:val="0042430B"/>
    <w:rsid w:val="00425728"/>
    <w:rsid w:val="004259B6"/>
    <w:rsid w:val="00425CA3"/>
    <w:rsid w:val="00426144"/>
    <w:rsid w:val="00426B9F"/>
    <w:rsid w:val="004273AD"/>
    <w:rsid w:val="00427A20"/>
    <w:rsid w:val="004305AE"/>
    <w:rsid w:val="00430B2F"/>
    <w:rsid w:val="00431123"/>
    <w:rsid w:val="004312BE"/>
    <w:rsid w:val="004313EC"/>
    <w:rsid w:val="00431800"/>
    <w:rsid w:val="0043198A"/>
    <w:rsid w:val="004329E3"/>
    <w:rsid w:val="004332E1"/>
    <w:rsid w:val="00433541"/>
    <w:rsid w:val="00433B90"/>
    <w:rsid w:val="004343A0"/>
    <w:rsid w:val="00434F85"/>
    <w:rsid w:val="004357C4"/>
    <w:rsid w:val="00435B92"/>
    <w:rsid w:val="00435E0D"/>
    <w:rsid w:val="00436514"/>
    <w:rsid w:val="0043672E"/>
    <w:rsid w:val="00436E1D"/>
    <w:rsid w:val="00437C47"/>
    <w:rsid w:val="00440B45"/>
    <w:rsid w:val="00440E1A"/>
    <w:rsid w:val="00441690"/>
    <w:rsid w:val="00441FEE"/>
    <w:rsid w:val="004421C0"/>
    <w:rsid w:val="0044224E"/>
    <w:rsid w:val="004423F7"/>
    <w:rsid w:val="00442A49"/>
    <w:rsid w:val="004433B7"/>
    <w:rsid w:val="004433C2"/>
    <w:rsid w:val="00443B7A"/>
    <w:rsid w:val="00443C0B"/>
    <w:rsid w:val="004464D3"/>
    <w:rsid w:val="0044684F"/>
    <w:rsid w:val="0044690B"/>
    <w:rsid w:val="00446BBE"/>
    <w:rsid w:val="0044782C"/>
    <w:rsid w:val="004500C7"/>
    <w:rsid w:val="0045022F"/>
    <w:rsid w:val="0045093D"/>
    <w:rsid w:val="00450F36"/>
    <w:rsid w:val="00451215"/>
    <w:rsid w:val="00451645"/>
    <w:rsid w:val="004528D5"/>
    <w:rsid w:val="00452CC6"/>
    <w:rsid w:val="00453078"/>
    <w:rsid w:val="00454359"/>
    <w:rsid w:val="0045498C"/>
    <w:rsid w:val="00454BD9"/>
    <w:rsid w:val="00454E86"/>
    <w:rsid w:val="00454F8E"/>
    <w:rsid w:val="0045521C"/>
    <w:rsid w:val="004553E4"/>
    <w:rsid w:val="00455C5C"/>
    <w:rsid w:val="004565F3"/>
    <w:rsid w:val="00457746"/>
    <w:rsid w:val="00460410"/>
    <w:rsid w:val="00460C3B"/>
    <w:rsid w:val="004620D7"/>
    <w:rsid w:val="0046254A"/>
    <w:rsid w:val="00462778"/>
    <w:rsid w:val="00463790"/>
    <w:rsid w:val="004637DD"/>
    <w:rsid w:val="00463846"/>
    <w:rsid w:val="00463911"/>
    <w:rsid w:val="00463D8F"/>
    <w:rsid w:val="00463F04"/>
    <w:rsid w:val="00464976"/>
    <w:rsid w:val="00464F6C"/>
    <w:rsid w:val="00465AE3"/>
    <w:rsid w:val="004667ED"/>
    <w:rsid w:val="00466910"/>
    <w:rsid w:val="00466D9F"/>
    <w:rsid w:val="00467D9C"/>
    <w:rsid w:val="00470C31"/>
    <w:rsid w:val="00471D0D"/>
    <w:rsid w:val="00472227"/>
    <w:rsid w:val="00472438"/>
    <w:rsid w:val="0047320F"/>
    <w:rsid w:val="00473761"/>
    <w:rsid w:val="00473DDD"/>
    <w:rsid w:val="004743BD"/>
    <w:rsid w:val="0047459F"/>
    <w:rsid w:val="00474E01"/>
    <w:rsid w:val="00475670"/>
    <w:rsid w:val="004759AF"/>
    <w:rsid w:val="004760D7"/>
    <w:rsid w:val="00476FD5"/>
    <w:rsid w:val="00477D45"/>
    <w:rsid w:val="00477D96"/>
    <w:rsid w:val="0048077F"/>
    <w:rsid w:val="004815DE"/>
    <w:rsid w:val="00481BF4"/>
    <w:rsid w:val="00482804"/>
    <w:rsid w:val="00482A6E"/>
    <w:rsid w:val="00482B47"/>
    <w:rsid w:val="00482E29"/>
    <w:rsid w:val="0048323E"/>
    <w:rsid w:val="00484134"/>
    <w:rsid w:val="0048484D"/>
    <w:rsid w:val="00484976"/>
    <w:rsid w:val="00484DC5"/>
    <w:rsid w:val="00485675"/>
    <w:rsid w:val="004875A5"/>
    <w:rsid w:val="00487C29"/>
    <w:rsid w:val="00487C85"/>
    <w:rsid w:val="00490308"/>
    <w:rsid w:val="00490D4D"/>
    <w:rsid w:val="00490DC4"/>
    <w:rsid w:val="00491407"/>
    <w:rsid w:val="004925C5"/>
    <w:rsid w:val="0049290B"/>
    <w:rsid w:val="0049336A"/>
    <w:rsid w:val="00493645"/>
    <w:rsid w:val="004940D0"/>
    <w:rsid w:val="004947D8"/>
    <w:rsid w:val="00494F64"/>
    <w:rsid w:val="00496555"/>
    <w:rsid w:val="00496D27"/>
    <w:rsid w:val="00497877"/>
    <w:rsid w:val="00497B9F"/>
    <w:rsid w:val="004A00F1"/>
    <w:rsid w:val="004A0F67"/>
    <w:rsid w:val="004A1A4C"/>
    <w:rsid w:val="004A1B6E"/>
    <w:rsid w:val="004A1BDF"/>
    <w:rsid w:val="004A1C87"/>
    <w:rsid w:val="004A2084"/>
    <w:rsid w:val="004A2FD0"/>
    <w:rsid w:val="004A343B"/>
    <w:rsid w:val="004A3490"/>
    <w:rsid w:val="004A3A7F"/>
    <w:rsid w:val="004A4430"/>
    <w:rsid w:val="004A47CD"/>
    <w:rsid w:val="004A4FDF"/>
    <w:rsid w:val="004A5277"/>
    <w:rsid w:val="004A5489"/>
    <w:rsid w:val="004A594E"/>
    <w:rsid w:val="004A5E73"/>
    <w:rsid w:val="004A61B5"/>
    <w:rsid w:val="004A624C"/>
    <w:rsid w:val="004A6C84"/>
    <w:rsid w:val="004A7527"/>
    <w:rsid w:val="004A79A5"/>
    <w:rsid w:val="004A7A52"/>
    <w:rsid w:val="004B00B5"/>
    <w:rsid w:val="004B095B"/>
    <w:rsid w:val="004B19FE"/>
    <w:rsid w:val="004B2A4D"/>
    <w:rsid w:val="004B2F45"/>
    <w:rsid w:val="004B33C2"/>
    <w:rsid w:val="004B37E5"/>
    <w:rsid w:val="004B4214"/>
    <w:rsid w:val="004B44EA"/>
    <w:rsid w:val="004B497E"/>
    <w:rsid w:val="004B51D7"/>
    <w:rsid w:val="004B5EA6"/>
    <w:rsid w:val="004B689D"/>
    <w:rsid w:val="004B719C"/>
    <w:rsid w:val="004B7E6F"/>
    <w:rsid w:val="004C0E97"/>
    <w:rsid w:val="004C2B08"/>
    <w:rsid w:val="004C2FF9"/>
    <w:rsid w:val="004C3AF6"/>
    <w:rsid w:val="004C48C8"/>
    <w:rsid w:val="004C55EE"/>
    <w:rsid w:val="004C598D"/>
    <w:rsid w:val="004C6CA2"/>
    <w:rsid w:val="004D14C7"/>
    <w:rsid w:val="004D1822"/>
    <w:rsid w:val="004D286C"/>
    <w:rsid w:val="004D3897"/>
    <w:rsid w:val="004D3E73"/>
    <w:rsid w:val="004D4425"/>
    <w:rsid w:val="004D456C"/>
    <w:rsid w:val="004D4CCE"/>
    <w:rsid w:val="004D4F3E"/>
    <w:rsid w:val="004D59FE"/>
    <w:rsid w:val="004D5CBC"/>
    <w:rsid w:val="004D78F0"/>
    <w:rsid w:val="004E05F7"/>
    <w:rsid w:val="004E0BE6"/>
    <w:rsid w:val="004E0ECF"/>
    <w:rsid w:val="004E1AF4"/>
    <w:rsid w:val="004E2BD6"/>
    <w:rsid w:val="004E3344"/>
    <w:rsid w:val="004E3A92"/>
    <w:rsid w:val="004E43F6"/>
    <w:rsid w:val="004E5AED"/>
    <w:rsid w:val="004E6251"/>
    <w:rsid w:val="004E668A"/>
    <w:rsid w:val="004E6D9F"/>
    <w:rsid w:val="004E7068"/>
    <w:rsid w:val="004E736C"/>
    <w:rsid w:val="004E74F2"/>
    <w:rsid w:val="004E7C26"/>
    <w:rsid w:val="004F007F"/>
    <w:rsid w:val="004F01B8"/>
    <w:rsid w:val="004F062E"/>
    <w:rsid w:val="004F099B"/>
    <w:rsid w:val="004F2100"/>
    <w:rsid w:val="004F2788"/>
    <w:rsid w:val="004F290B"/>
    <w:rsid w:val="004F3B4F"/>
    <w:rsid w:val="004F4188"/>
    <w:rsid w:val="004F6430"/>
    <w:rsid w:val="004F6AD3"/>
    <w:rsid w:val="00501386"/>
    <w:rsid w:val="0050142F"/>
    <w:rsid w:val="005019C0"/>
    <w:rsid w:val="00501B3F"/>
    <w:rsid w:val="00501BD9"/>
    <w:rsid w:val="00501C25"/>
    <w:rsid w:val="0050202C"/>
    <w:rsid w:val="005026CB"/>
    <w:rsid w:val="005027A6"/>
    <w:rsid w:val="00502C3C"/>
    <w:rsid w:val="00502DAE"/>
    <w:rsid w:val="00502FFB"/>
    <w:rsid w:val="0050345F"/>
    <w:rsid w:val="005038A0"/>
    <w:rsid w:val="00504288"/>
    <w:rsid w:val="00504972"/>
    <w:rsid w:val="00504A82"/>
    <w:rsid w:val="00504DF6"/>
    <w:rsid w:val="0050568A"/>
    <w:rsid w:val="00505E19"/>
    <w:rsid w:val="00506173"/>
    <w:rsid w:val="005062BD"/>
    <w:rsid w:val="00506BEA"/>
    <w:rsid w:val="00506E6D"/>
    <w:rsid w:val="00510144"/>
    <w:rsid w:val="005103C5"/>
    <w:rsid w:val="00510589"/>
    <w:rsid w:val="00510988"/>
    <w:rsid w:val="00510B0F"/>
    <w:rsid w:val="00511896"/>
    <w:rsid w:val="00512F92"/>
    <w:rsid w:val="005131D3"/>
    <w:rsid w:val="0051352C"/>
    <w:rsid w:val="00513B2F"/>
    <w:rsid w:val="0051405D"/>
    <w:rsid w:val="00514CDF"/>
    <w:rsid w:val="00514E67"/>
    <w:rsid w:val="00514FC2"/>
    <w:rsid w:val="00515BFA"/>
    <w:rsid w:val="00517A86"/>
    <w:rsid w:val="00520320"/>
    <w:rsid w:val="00520523"/>
    <w:rsid w:val="00520C5C"/>
    <w:rsid w:val="00520EE6"/>
    <w:rsid w:val="0052163F"/>
    <w:rsid w:val="00521AB4"/>
    <w:rsid w:val="00521BAB"/>
    <w:rsid w:val="005224A4"/>
    <w:rsid w:val="00522E44"/>
    <w:rsid w:val="005230DF"/>
    <w:rsid w:val="0052349D"/>
    <w:rsid w:val="00524BE8"/>
    <w:rsid w:val="00524C74"/>
    <w:rsid w:val="0052505F"/>
    <w:rsid w:val="005256A7"/>
    <w:rsid w:val="0052575D"/>
    <w:rsid w:val="00525E0B"/>
    <w:rsid w:val="005262A7"/>
    <w:rsid w:val="005268DD"/>
    <w:rsid w:val="00526C92"/>
    <w:rsid w:val="00526D2A"/>
    <w:rsid w:val="00526F8B"/>
    <w:rsid w:val="00527229"/>
    <w:rsid w:val="005275FC"/>
    <w:rsid w:val="0052768C"/>
    <w:rsid w:val="00530896"/>
    <w:rsid w:val="00530E07"/>
    <w:rsid w:val="005310AF"/>
    <w:rsid w:val="0053175E"/>
    <w:rsid w:val="005325A5"/>
    <w:rsid w:val="005340F1"/>
    <w:rsid w:val="005342C3"/>
    <w:rsid w:val="00534590"/>
    <w:rsid w:val="00534C9C"/>
    <w:rsid w:val="005351A7"/>
    <w:rsid w:val="005353F8"/>
    <w:rsid w:val="00535FBC"/>
    <w:rsid w:val="005362F5"/>
    <w:rsid w:val="0053725B"/>
    <w:rsid w:val="00537A80"/>
    <w:rsid w:val="00537B95"/>
    <w:rsid w:val="00537F55"/>
    <w:rsid w:val="005406D3"/>
    <w:rsid w:val="005407B1"/>
    <w:rsid w:val="005409F9"/>
    <w:rsid w:val="00540C4E"/>
    <w:rsid w:val="00540C57"/>
    <w:rsid w:val="005417D8"/>
    <w:rsid w:val="00541901"/>
    <w:rsid w:val="00541B26"/>
    <w:rsid w:val="00541EA0"/>
    <w:rsid w:val="00542008"/>
    <w:rsid w:val="00542669"/>
    <w:rsid w:val="0054269F"/>
    <w:rsid w:val="00542C38"/>
    <w:rsid w:val="0054325F"/>
    <w:rsid w:val="00543A42"/>
    <w:rsid w:val="00543E4B"/>
    <w:rsid w:val="005448A7"/>
    <w:rsid w:val="00545E5B"/>
    <w:rsid w:val="00546306"/>
    <w:rsid w:val="0054781A"/>
    <w:rsid w:val="00550E93"/>
    <w:rsid w:val="00550F1E"/>
    <w:rsid w:val="0055172E"/>
    <w:rsid w:val="00551895"/>
    <w:rsid w:val="00551B5D"/>
    <w:rsid w:val="00551DD8"/>
    <w:rsid w:val="005531BD"/>
    <w:rsid w:val="00555CAE"/>
    <w:rsid w:val="0055671D"/>
    <w:rsid w:val="005567B2"/>
    <w:rsid w:val="00557870"/>
    <w:rsid w:val="00560277"/>
    <w:rsid w:val="0056053E"/>
    <w:rsid w:val="00560938"/>
    <w:rsid w:val="00560AF1"/>
    <w:rsid w:val="00561562"/>
    <w:rsid w:val="00561A78"/>
    <w:rsid w:val="005630EE"/>
    <w:rsid w:val="00563DBC"/>
    <w:rsid w:val="00563DE6"/>
    <w:rsid w:val="0056409A"/>
    <w:rsid w:val="00564981"/>
    <w:rsid w:val="0056499B"/>
    <w:rsid w:val="00565093"/>
    <w:rsid w:val="005650C3"/>
    <w:rsid w:val="0056528D"/>
    <w:rsid w:val="00565912"/>
    <w:rsid w:val="00565A15"/>
    <w:rsid w:val="0056628B"/>
    <w:rsid w:val="00566298"/>
    <w:rsid w:val="00566859"/>
    <w:rsid w:val="00566F18"/>
    <w:rsid w:val="0057091E"/>
    <w:rsid w:val="00570F94"/>
    <w:rsid w:val="00571AE3"/>
    <w:rsid w:val="005723D6"/>
    <w:rsid w:val="00572DFE"/>
    <w:rsid w:val="00572E34"/>
    <w:rsid w:val="0057356F"/>
    <w:rsid w:val="00573756"/>
    <w:rsid w:val="00574A6E"/>
    <w:rsid w:val="00575522"/>
    <w:rsid w:val="00575A65"/>
    <w:rsid w:val="00575A84"/>
    <w:rsid w:val="00575FD2"/>
    <w:rsid w:val="00576464"/>
    <w:rsid w:val="0057657A"/>
    <w:rsid w:val="00577145"/>
    <w:rsid w:val="005773BE"/>
    <w:rsid w:val="0058093E"/>
    <w:rsid w:val="00580B7A"/>
    <w:rsid w:val="00582365"/>
    <w:rsid w:val="00583A5D"/>
    <w:rsid w:val="00584278"/>
    <w:rsid w:val="00584611"/>
    <w:rsid w:val="0058584A"/>
    <w:rsid w:val="00585C1B"/>
    <w:rsid w:val="005861C6"/>
    <w:rsid w:val="00586476"/>
    <w:rsid w:val="00587639"/>
    <w:rsid w:val="005876CF"/>
    <w:rsid w:val="00587CDD"/>
    <w:rsid w:val="005900A6"/>
    <w:rsid w:val="005911AC"/>
    <w:rsid w:val="0059178B"/>
    <w:rsid w:val="00591836"/>
    <w:rsid w:val="00591D1B"/>
    <w:rsid w:val="00591ECF"/>
    <w:rsid w:val="00592638"/>
    <w:rsid w:val="00592A90"/>
    <w:rsid w:val="00592EC1"/>
    <w:rsid w:val="00593138"/>
    <w:rsid w:val="00593528"/>
    <w:rsid w:val="005938C4"/>
    <w:rsid w:val="00593A33"/>
    <w:rsid w:val="00594716"/>
    <w:rsid w:val="005947B5"/>
    <w:rsid w:val="00595D10"/>
    <w:rsid w:val="005960BB"/>
    <w:rsid w:val="00596562"/>
    <w:rsid w:val="00596C86"/>
    <w:rsid w:val="00596D8A"/>
    <w:rsid w:val="00597407"/>
    <w:rsid w:val="00597E48"/>
    <w:rsid w:val="005A0496"/>
    <w:rsid w:val="005A054B"/>
    <w:rsid w:val="005A10DA"/>
    <w:rsid w:val="005A20F8"/>
    <w:rsid w:val="005A3497"/>
    <w:rsid w:val="005A4047"/>
    <w:rsid w:val="005A4374"/>
    <w:rsid w:val="005A4384"/>
    <w:rsid w:val="005A5D2B"/>
    <w:rsid w:val="005A60F9"/>
    <w:rsid w:val="005A637E"/>
    <w:rsid w:val="005A65AF"/>
    <w:rsid w:val="005A7012"/>
    <w:rsid w:val="005A715C"/>
    <w:rsid w:val="005A78F1"/>
    <w:rsid w:val="005A7A5E"/>
    <w:rsid w:val="005B0841"/>
    <w:rsid w:val="005B09F2"/>
    <w:rsid w:val="005B16C2"/>
    <w:rsid w:val="005B18FB"/>
    <w:rsid w:val="005B1C07"/>
    <w:rsid w:val="005B2F89"/>
    <w:rsid w:val="005B3432"/>
    <w:rsid w:val="005B3BD6"/>
    <w:rsid w:val="005B5C6B"/>
    <w:rsid w:val="005B5E66"/>
    <w:rsid w:val="005B6C53"/>
    <w:rsid w:val="005B7650"/>
    <w:rsid w:val="005B7746"/>
    <w:rsid w:val="005B78C7"/>
    <w:rsid w:val="005B7D6C"/>
    <w:rsid w:val="005B7DA2"/>
    <w:rsid w:val="005C1045"/>
    <w:rsid w:val="005C187B"/>
    <w:rsid w:val="005C2185"/>
    <w:rsid w:val="005C2687"/>
    <w:rsid w:val="005C44B4"/>
    <w:rsid w:val="005C46D0"/>
    <w:rsid w:val="005C4D3A"/>
    <w:rsid w:val="005C5498"/>
    <w:rsid w:val="005C55AD"/>
    <w:rsid w:val="005C56D6"/>
    <w:rsid w:val="005C6BB2"/>
    <w:rsid w:val="005C7215"/>
    <w:rsid w:val="005C73C4"/>
    <w:rsid w:val="005D00EA"/>
    <w:rsid w:val="005D023B"/>
    <w:rsid w:val="005D02C4"/>
    <w:rsid w:val="005D0C4C"/>
    <w:rsid w:val="005D11C8"/>
    <w:rsid w:val="005D1704"/>
    <w:rsid w:val="005D1A2F"/>
    <w:rsid w:val="005D1B18"/>
    <w:rsid w:val="005D1B2F"/>
    <w:rsid w:val="005D2304"/>
    <w:rsid w:val="005D30C2"/>
    <w:rsid w:val="005D3A04"/>
    <w:rsid w:val="005D4048"/>
    <w:rsid w:val="005D48FE"/>
    <w:rsid w:val="005D5285"/>
    <w:rsid w:val="005D5716"/>
    <w:rsid w:val="005D602C"/>
    <w:rsid w:val="005D6201"/>
    <w:rsid w:val="005D7471"/>
    <w:rsid w:val="005D749D"/>
    <w:rsid w:val="005D7ACD"/>
    <w:rsid w:val="005E1975"/>
    <w:rsid w:val="005E2702"/>
    <w:rsid w:val="005E2FF2"/>
    <w:rsid w:val="005E30AE"/>
    <w:rsid w:val="005E322A"/>
    <w:rsid w:val="005E4363"/>
    <w:rsid w:val="005E5874"/>
    <w:rsid w:val="005E5921"/>
    <w:rsid w:val="005E5D2E"/>
    <w:rsid w:val="005E647E"/>
    <w:rsid w:val="005E75D5"/>
    <w:rsid w:val="005F0E76"/>
    <w:rsid w:val="005F1555"/>
    <w:rsid w:val="005F1AB6"/>
    <w:rsid w:val="005F1CCD"/>
    <w:rsid w:val="005F240C"/>
    <w:rsid w:val="005F2440"/>
    <w:rsid w:val="005F2452"/>
    <w:rsid w:val="005F2978"/>
    <w:rsid w:val="005F2C1C"/>
    <w:rsid w:val="005F2E69"/>
    <w:rsid w:val="005F3025"/>
    <w:rsid w:val="005F3C18"/>
    <w:rsid w:val="005F44EF"/>
    <w:rsid w:val="005F4721"/>
    <w:rsid w:val="005F4726"/>
    <w:rsid w:val="005F4D8F"/>
    <w:rsid w:val="005F4E26"/>
    <w:rsid w:val="005F5C3B"/>
    <w:rsid w:val="005F720A"/>
    <w:rsid w:val="005F7B99"/>
    <w:rsid w:val="006004F5"/>
    <w:rsid w:val="006007F7"/>
    <w:rsid w:val="006016CB"/>
    <w:rsid w:val="006017C4"/>
    <w:rsid w:val="00601F9F"/>
    <w:rsid w:val="00602DFA"/>
    <w:rsid w:val="00602F43"/>
    <w:rsid w:val="006036A4"/>
    <w:rsid w:val="00603B08"/>
    <w:rsid w:val="00603DF3"/>
    <w:rsid w:val="006048D2"/>
    <w:rsid w:val="00604A27"/>
    <w:rsid w:val="00604A53"/>
    <w:rsid w:val="00604B66"/>
    <w:rsid w:val="00605776"/>
    <w:rsid w:val="00605CE0"/>
    <w:rsid w:val="00607267"/>
    <w:rsid w:val="00610162"/>
    <w:rsid w:val="006104A1"/>
    <w:rsid w:val="006108C9"/>
    <w:rsid w:val="00610ABA"/>
    <w:rsid w:val="00610EEB"/>
    <w:rsid w:val="00611D84"/>
    <w:rsid w:val="00612AB1"/>
    <w:rsid w:val="00613037"/>
    <w:rsid w:val="006135AB"/>
    <w:rsid w:val="006138E4"/>
    <w:rsid w:val="006144F6"/>
    <w:rsid w:val="00615603"/>
    <w:rsid w:val="0061576E"/>
    <w:rsid w:val="00615903"/>
    <w:rsid w:val="00616407"/>
    <w:rsid w:val="00620E5A"/>
    <w:rsid w:val="0062121B"/>
    <w:rsid w:val="00621425"/>
    <w:rsid w:val="00621D0C"/>
    <w:rsid w:val="0062228E"/>
    <w:rsid w:val="0062229B"/>
    <w:rsid w:val="0062325C"/>
    <w:rsid w:val="0062350B"/>
    <w:rsid w:val="006250E9"/>
    <w:rsid w:val="00627458"/>
    <w:rsid w:val="00627687"/>
    <w:rsid w:val="0063029F"/>
    <w:rsid w:val="0063038C"/>
    <w:rsid w:val="00630548"/>
    <w:rsid w:val="0063073B"/>
    <w:rsid w:val="006313DF"/>
    <w:rsid w:val="00631507"/>
    <w:rsid w:val="00631616"/>
    <w:rsid w:val="0063271E"/>
    <w:rsid w:val="00632DAE"/>
    <w:rsid w:val="00633B2F"/>
    <w:rsid w:val="00634E9C"/>
    <w:rsid w:val="00635016"/>
    <w:rsid w:val="0063551E"/>
    <w:rsid w:val="00635B49"/>
    <w:rsid w:val="0063691D"/>
    <w:rsid w:val="006401A8"/>
    <w:rsid w:val="006409BC"/>
    <w:rsid w:val="00640C31"/>
    <w:rsid w:val="00641565"/>
    <w:rsid w:val="00641F27"/>
    <w:rsid w:val="0064215F"/>
    <w:rsid w:val="00643226"/>
    <w:rsid w:val="00644022"/>
    <w:rsid w:val="00644C28"/>
    <w:rsid w:val="006458A1"/>
    <w:rsid w:val="006459EF"/>
    <w:rsid w:val="00645A55"/>
    <w:rsid w:val="0064631D"/>
    <w:rsid w:val="006465F3"/>
    <w:rsid w:val="00646861"/>
    <w:rsid w:val="00646F8B"/>
    <w:rsid w:val="006471CF"/>
    <w:rsid w:val="006476FC"/>
    <w:rsid w:val="00650130"/>
    <w:rsid w:val="00650452"/>
    <w:rsid w:val="006505F7"/>
    <w:rsid w:val="00650D82"/>
    <w:rsid w:val="00651D71"/>
    <w:rsid w:val="006521C1"/>
    <w:rsid w:val="00653040"/>
    <w:rsid w:val="006530C5"/>
    <w:rsid w:val="00653254"/>
    <w:rsid w:val="006534BF"/>
    <w:rsid w:val="006537D7"/>
    <w:rsid w:val="00653CB6"/>
    <w:rsid w:val="0065444A"/>
    <w:rsid w:val="00654B5D"/>
    <w:rsid w:val="00654F68"/>
    <w:rsid w:val="00655AFF"/>
    <w:rsid w:val="00655CF9"/>
    <w:rsid w:val="00655D45"/>
    <w:rsid w:val="0065649B"/>
    <w:rsid w:val="006568D5"/>
    <w:rsid w:val="00656B6F"/>
    <w:rsid w:val="00656ECF"/>
    <w:rsid w:val="0065714C"/>
    <w:rsid w:val="00657644"/>
    <w:rsid w:val="0065784D"/>
    <w:rsid w:val="00657FAF"/>
    <w:rsid w:val="00660263"/>
    <w:rsid w:val="0066027F"/>
    <w:rsid w:val="00660A6E"/>
    <w:rsid w:val="00660A74"/>
    <w:rsid w:val="00661D57"/>
    <w:rsid w:val="0066263B"/>
    <w:rsid w:val="00662E5F"/>
    <w:rsid w:val="0066406F"/>
    <w:rsid w:val="00664434"/>
    <w:rsid w:val="00664FCC"/>
    <w:rsid w:val="00665334"/>
    <w:rsid w:val="00665513"/>
    <w:rsid w:val="0066561F"/>
    <w:rsid w:val="00665728"/>
    <w:rsid w:val="006661B2"/>
    <w:rsid w:val="006661B8"/>
    <w:rsid w:val="006666B2"/>
    <w:rsid w:val="00666A58"/>
    <w:rsid w:val="00666E33"/>
    <w:rsid w:val="0066752B"/>
    <w:rsid w:val="00667C69"/>
    <w:rsid w:val="00670650"/>
    <w:rsid w:val="00670653"/>
    <w:rsid w:val="006709C8"/>
    <w:rsid w:val="00671038"/>
    <w:rsid w:val="00671261"/>
    <w:rsid w:val="006712C0"/>
    <w:rsid w:val="00672429"/>
    <w:rsid w:val="0067287C"/>
    <w:rsid w:val="00672C1F"/>
    <w:rsid w:val="0067301E"/>
    <w:rsid w:val="006744AC"/>
    <w:rsid w:val="00674C7D"/>
    <w:rsid w:val="00674EF0"/>
    <w:rsid w:val="006753E4"/>
    <w:rsid w:val="00675ED8"/>
    <w:rsid w:val="00676117"/>
    <w:rsid w:val="006778ED"/>
    <w:rsid w:val="00680B03"/>
    <w:rsid w:val="00680B40"/>
    <w:rsid w:val="006813C0"/>
    <w:rsid w:val="00681EC9"/>
    <w:rsid w:val="006822FA"/>
    <w:rsid w:val="00682847"/>
    <w:rsid w:val="0068288C"/>
    <w:rsid w:val="00682F87"/>
    <w:rsid w:val="00683113"/>
    <w:rsid w:val="00683F36"/>
    <w:rsid w:val="006840CA"/>
    <w:rsid w:val="00684D16"/>
    <w:rsid w:val="00685589"/>
    <w:rsid w:val="0068682C"/>
    <w:rsid w:val="00690410"/>
    <w:rsid w:val="0069080F"/>
    <w:rsid w:val="00690A24"/>
    <w:rsid w:val="00690C54"/>
    <w:rsid w:val="00690C88"/>
    <w:rsid w:val="00690FAA"/>
    <w:rsid w:val="00692239"/>
    <w:rsid w:val="0069226C"/>
    <w:rsid w:val="006931D3"/>
    <w:rsid w:val="00693243"/>
    <w:rsid w:val="00693728"/>
    <w:rsid w:val="006938AA"/>
    <w:rsid w:val="006939FC"/>
    <w:rsid w:val="00694520"/>
    <w:rsid w:val="0069474B"/>
    <w:rsid w:val="0069475D"/>
    <w:rsid w:val="0069589C"/>
    <w:rsid w:val="00695D01"/>
    <w:rsid w:val="006967E7"/>
    <w:rsid w:val="00696BA4"/>
    <w:rsid w:val="00697390"/>
    <w:rsid w:val="00697556"/>
    <w:rsid w:val="00697966"/>
    <w:rsid w:val="006A0407"/>
    <w:rsid w:val="006A0413"/>
    <w:rsid w:val="006A083A"/>
    <w:rsid w:val="006A199C"/>
    <w:rsid w:val="006A1AB6"/>
    <w:rsid w:val="006A2B52"/>
    <w:rsid w:val="006A2BF1"/>
    <w:rsid w:val="006A3218"/>
    <w:rsid w:val="006A3A2B"/>
    <w:rsid w:val="006A3B7E"/>
    <w:rsid w:val="006A4D8E"/>
    <w:rsid w:val="006A4FC1"/>
    <w:rsid w:val="006A5F23"/>
    <w:rsid w:val="006A6711"/>
    <w:rsid w:val="006A6BF1"/>
    <w:rsid w:val="006A6C99"/>
    <w:rsid w:val="006A7687"/>
    <w:rsid w:val="006A7DC1"/>
    <w:rsid w:val="006B01BE"/>
    <w:rsid w:val="006B12DD"/>
    <w:rsid w:val="006B143A"/>
    <w:rsid w:val="006B1DC8"/>
    <w:rsid w:val="006B3032"/>
    <w:rsid w:val="006B316D"/>
    <w:rsid w:val="006B3250"/>
    <w:rsid w:val="006B3353"/>
    <w:rsid w:val="006B35B2"/>
    <w:rsid w:val="006B4798"/>
    <w:rsid w:val="006B4B4A"/>
    <w:rsid w:val="006B4B82"/>
    <w:rsid w:val="006B4C0C"/>
    <w:rsid w:val="006B4D12"/>
    <w:rsid w:val="006B52BC"/>
    <w:rsid w:val="006B58ED"/>
    <w:rsid w:val="006B681D"/>
    <w:rsid w:val="006B6825"/>
    <w:rsid w:val="006B6895"/>
    <w:rsid w:val="006B7501"/>
    <w:rsid w:val="006B75C6"/>
    <w:rsid w:val="006C0764"/>
    <w:rsid w:val="006C114E"/>
    <w:rsid w:val="006C1460"/>
    <w:rsid w:val="006C1ACB"/>
    <w:rsid w:val="006C2C57"/>
    <w:rsid w:val="006C354C"/>
    <w:rsid w:val="006C3B76"/>
    <w:rsid w:val="006C4572"/>
    <w:rsid w:val="006C4BF8"/>
    <w:rsid w:val="006C5C9F"/>
    <w:rsid w:val="006C6B64"/>
    <w:rsid w:val="006C6C3F"/>
    <w:rsid w:val="006C7B03"/>
    <w:rsid w:val="006D03F4"/>
    <w:rsid w:val="006D0B64"/>
    <w:rsid w:val="006D0EC2"/>
    <w:rsid w:val="006D1771"/>
    <w:rsid w:val="006D2AF8"/>
    <w:rsid w:val="006D3294"/>
    <w:rsid w:val="006D4C5A"/>
    <w:rsid w:val="006D4C72"/>
    <w:rsid w:val="006D4D95"/>
    <w:rsid w:val="006D4E4C"/>
    <w:rsid w:val="006D5585"/>
    <w:rsid w:val="006D5F76"/>
    <w:rsid w:val="006D6468"/>
    <w:rsid w:val="006D6D96"/>
    <w:rsid w:val="006D7211"/>
    <w:rsid w:val="006D75C8"/>
    <w:rsid w:val="006D7757"/>
    <w:rsid w:val="006E1276"/>
    <w:rsid w:val="006E16D1"/>
    <w:rsid w:val="006E174C"/>
    <w:rsid w:val="006E211B"/>
    <w:rsid w:val="006E239A"/>
    <w:rsid w:val="006E27E0"/>
    <w:rsid w:val="006E33F2"/>
    <w:rsid w:val="006E3C68"/>
    <w:rsid w:val="006E4247"/>
    <w:rsid w:val="006E4502"/>
    <w:rsid w:val="006E465E"/>
    <w:rsid w:val="006E4999"/>
    <w:rsid w:val="006E4FCD"/>
    <w:rsid w:val="006E5819"/>
    <w:rsid w:val="006E6441"/>
    <w:rsid w:val="006E726A"/>
    <w:rsid w:val="006E792A"/>
    <w:rsid w:val="006F0D0A"/>
    <w:rsid w:val="006F0D46"/>
    <w:rsid w:val="006F1B00"/>
    <w:rsid w:val="006F1CA5"/>
    <w:rsid w:val="006F21E2"/>
    <w:rsid w:val="006F23DD"/>
    <w:rsid w:val="006F28CD"/>
    <w:rsid w:val="006F3ECF"/>
    <w:rsid w:val="006F4197"/>
    <w:rsid w:val="006F4270"/>
    <w:rsid w:val="006F5158"/>
    <w:rsid w:val="006F6612"/>
    <w:rsid w:val="006F6C1E"/>
    <w:rsid w:val="006F7760"/>
    <w:rsid w:val="006F7873"/>
    <w:rsid w:val="00700560"/>
    <w:rsid w:val="00700925"/>
    <w:rsid w:val="00700950"/>
    <w:rsid w:val="00701136"/>
    <w:rsid w:val="00701D5D"/>
    <w:rsid w:val="0070243C"/>
    <w:rsid w:val="0070319A"/>
    <w:rsid w:val="00703CB4"/>
    <w:rsid w:val="00704520"/>
    <w:rsid w:val="007049D5"/>
    <w:rsid w:val="00704E85"/>
    <w:rsid w:val="007056F3"/>
    <w:rsid w:val="00705909"/>
    <w:rsid w:val="007066D1"/>
    <w:rsid w:val="00706782"/>
    <w:rsid w:val="007069FC"/>
    <w:rsid w:val="00706CB1"/>
    <w:rsid w:val="00706E25"/>
    <w:rsid w:val="0070748B"/>
    <w:rsid w:val="007078C3"/>
    <w:rsid w:val="00707C18"/>
    <w:rsid w:val="00707F27"/>
    <w:rsid w:val="00710131"/>
    <w:rsid w:val="007103A9"/>
    <w:rsid w:val="00710BA6"/>
    <w:rsid w:val="00711853"/>
    <w:rsid w:val="00711D5C"/>
    <w:rsid w:val="00711F64"/>
    <w:rsid w:val="007123FB"/>
    <w:rsid w:val="00712781"/>
    <w:rsid w:val="007150FD"/>
    <w:rsid w:val="00716AD2"/>
    <w:rsid w:val="007179BD"/>
    <w:rsid w:val="007201B3"/>
    <w:rsid w:val="007203CA"/>
    <w:rsid w:val="007216A1"/>
    <w:rsid w:val="00722466"/>
    <w:rsid w:val="007226F5"/>
    <w:rsid w:val="00722987"/>
    <w:rsid w:val="00723401"/>
    <w:rsid w:val="0072375C"/>
    <w:rsid w:val="00723A8A"/>
    <w:rsid w:val="00723B2C"/>
    <w:rsid w:val="007247BC"/>
    <w:rsid w:val="00724ED0"/>
    <w:rsid w:val="00724F92"/>
    <w:rsid w:val="007253D6"/>
    <w:rsid w:val="0072578A"/>
    <w:rsid w:val="0072597A"/>
    <w:rsid w:val="00726AD7"/>
    <w:rsid w:val="007270C4"/>
    <w:rsid w:val="007302D8"/>
    <w:rsid w:val="0073089C"/>
    <w:rsid w:val="0073382B"/>
    <w:rsid w:val="00734778"/>
    <w:rsid w:val="007358D2"/>
    <w:rsid w:val="00735AB4"/>
    <w:rsid w:val="0073792C"/>
    <w:rsid w:val="007402DB"/>
    <w:rsid w:val="00740F7F"/>
    <w:rsid w:val="0074257A"/>
    <w:rsid w:val="00742C6F"/>
    <w:rsid w:val="0074389E"/>
    <w:rsid w:val="00743E05"/>
    <w:rsid w:val="00743FC6"/>
    <w:rsid w:val="00744364"/>
    <w:rsid w:val="007449B6"/>
    <w:rsid w:val="00745015"/>
    <w:rsid w:val="00745CEC"/>
    <w:rsid w:val="00746752"/>
    <w:rsid w:val="00746A94"/>
    <w:rsid w:val="00747434"/>
    <w:rsid w:val="0074788B"/>
    <w:rsid w:val="0075137C"/>
    <w:rsid w:val="00751DD5"/>
    <w:rsid w:val="00753512"/>
    <w:rsid w:val="0075418A"/>
    <w:rsid w:val="007545EC"/>
    <w:rsid w:val="00754D46"/>
    <w:rsid w:val="007554A1"/>
    <w:rsid w:val="00756287"/>
    <w:rsid w:val="0075633B"/>
    <w:rsid w:val="007564DA"/>
    <w:rsid w:val="0075775D"/>
    <w:rsid w:val="00757C82"/>
    <w:rsid w:val="00760609"/>
    <w:rsid w:val="00760911"/>
    <w:rsid w:val="00760D63"/>
    <w:rsid w:val="007612BC"/>
    <w:rsid w:val="0076260D"/>
    <w:rsid w:val="00762644"/>
    <w:rsid w:val="007637A5"/>
    <w:rsid w:val="00763B77"/>
    <w:rsid w:val="00763E86"/>
    <w:rsid w:val="00764603"/>
    <w:rsid w:val="0076702C"/>
    <w:rsid w:val="007676F2"/>
    <w:rsid w:val="00767F6C"/>
    <w:rsid w:val="007708C8"/>
    <w:rsid w:val="00770C16"/>
    <w:rsid w:val="00771C22"/>
    <w:rsid w:val="00772680"/>
    <w:rsid w:val="00772829"/>
    <w:rsid w:val="00772F04"/>
    <w:rsid w:val="0077483A"/>
    <w:rsid w:val="007758B8"/>
    <w:rsid w:val="0077694B"/>
    <w:rsid w:val="00776EF6"/>
    <w:rsid w:val="00777848"/>
    <w:rsid w:val="00777893"/>
    <w:rsid w:val="007778BF"/>
    <w:rsid w:val="0078194A"/>
    <w:rsid w:val="00782BA7"/>
    <w:rsid w:val="00784341"/>
    <w:rsid w:val="007852E9"/>
    <w:rsid w:val="00786034"/>
    <w:rsid w:val="00787509"/>
    <w:rsid w:val="00787AFC"/>
    <w:rsid w:val="00787D07"/>
    <w:rsid w:val="007902B6"/>
    <w:rsid w:val="00790939"/>
    <w:rsid w:val="00790B15"/>
    <w:rsid w:val="00790F49"/>
    <w:rsid w:val="00791854"/>
    <w:rsid w:val="00791D0E"/>
    <w:rsid w:val="00792038"/>
    <w:rsid w:val="007931CB"/>
    <w:rsid w:val="0079343E"/>
    <w:rsid w:val="007939FA"/>
    <w:rsid w:val="00794E0C"/>
    <w:rsid w:val="007951D4"/>
    <w:rsid w:val="00797C46"/>
    <w:rsid w:val="007A02A8"/>
    <w:rsid w:val="007A098A"/>
    <w:rsid w:val="007A0BCF"/>
    <w:rsid w:val="007A19F6"/>
    <w:rsid w:val="007A1C45"/>
    <w:rsid w:val="007A1D5E"/>
    <w:rsid w:val="007A1E7D"/>
    <w:rsid w:val="007A20BD"/>
    <w:rsid w:val="007A287B"/>
    <w:rsid w:val="007A2B65"/>
    <w:rsid w:val="007A5617"/>
    <w:rsid w:val="007A56DD"/>
    <w:rsid w:val="007A579E"/>
    <w:rsid w:val="007A6372"/>
    <w:rsid w:val="007A7072"/>
    <w:rsid w:val="007A7AAC"/>
    <w:rsid w:val="007A7DB6"/>
    <w:rsid w:val="007B0245"/>
    <w:rsid w:val="007B081E"/>
    <w:rsid w:val="007B083F"/>
    <w:rsid w:val="007B0880"/>
    <w:rsid w:val="007B0D01"/>
    <w:rsid w:val="007B19D3"/>
    <w:rsid w:val="007B1B0E"/>
    <w:rsid w:val="007B2085"/>
    <w:rsid w:val="007B21A2"/>
    <w:rsid w:val="007B2FDC"/>
    <w:rsid w:val="007B38A0"/>
    <w:rsid w:val="007B38B7"/>
    <w:rsid w:val="007B4F7B"/>
    <w:rsid w:val="007B583D"/>
    <w:rsid w:val="007B6684"/>
    <w:rsid w:val="007B6823"/>
    <w:rsid w:val="007B69B4"/>
    <w:rsid w:val="007B6B21"/>
    <w:rsid w:val="007B6C19"/>
    <w:rsid w:val="007B7024"/>
    <w:rsid w:val="007B772B"/>
    <w:rsid w:val="007C0275"/>
    <w:rsid w:val="007C0390"/>
    <w:rsid w:val="007C04FD"/>
    <w:rsid w:val="007C14A2"/>
    <w:rsid w:val="007C1573"/>
    <w:rsid w:val="007C1F5E"/>
    <w:rsid w:val="007C210B"/>
    <w:rsid w:val="007C2219"/>
    <w:rsid w:val="007C2B70"/>
    <w:rsid w:val="007C300E"/>
    <w:rsid w:val="007C312B"/>
    <w:rsid w:val="007C328D"/>
    <w:rsid w:val="007C336F"/>
    <w:rsid w:val="007C340F"/>
    <w:rsid w:val="007C3621"/>
    <w:rsid w:val="007C3C0A"/>
    <w:rsid w:val="007C41B1"/>
    <w:rsid w:val="007C470D"/>
    <w:rsid w:val="007C4F64"/>
    <w:rsid w:val="007C5530"/>
    <w:rsid w:val="007C69E7"/>
    <w:rsid w:val="007C7083"/>
    <w:rsid w:val="007C7895"/>
    <w:rsid w:val="007C7FBA"/>
    <w:rsid w:val="007D0601"/>
    <w:rsid w:val="007D30B7"/>
    <w:rsid w:val="007D3BF0"/>
    <w:rsid w:val="007D3EAD"/>
    <w:rsid w:val="007D43BA"/>
    <w:rsid w:val="007D4A5E"/>
    <w:rsid w:val="007D4FDD"/>
    <w:rsid w:val="007D5D13"/>
    <w:rsid w:val="007D64A2"/>
    <w:rsid w:val="007D6679"/>
    <w:rsid w:val="007D7017"/>
    <w:rsid w:val="007D7582"/>
    <w:rsid w:val="007D764F"/>
    <w:rsid w:val="007D766F"/>
    <w:rsid w:val="007D7862"/>
    <w:rsid w:val="007D7FEB"/>
    <w:rsid w:val="007E096E"/>
    <w:rsid w:val="007E0EB4"/>
    <w:rsid w:val="007E1054"/>
    <w:rsid w:val="007E15AD"/>
    <w:rsid w:val="007E192A"/>
    <w:rsid w:val="007E1C81"/>
    <w:rsid w:val="007E25ED"/>
    <w:rsid w:val="007E27FE"/>
    <w:rsid w:val="007E2BC0"/>
    <w:rsid w:val="007E36B5"/>
    <w:rsid w:val="007E5ADF"/>
    <w:rsid w:val="007E5DD2"/>
    <w:rsid w:val="007E609E"/>
    <w:rsid w:val="007E6A74"/>
    <w:rsid w:val="007E7952"/>
    <w:rsid w:val="007F050A"/>
    <w:rsid w:val="007F1A20"/>
    <w:rsid w:val="007F1CED"/>
    <w:rsid w:val="007F2664"/>
    <w:rsid w:val="007F38E9"/>
    <w:rsid w:val="007F4514"/>
    <w:rsid w:val="007F4D92"/>
    <w:rsid w:val="007F51C1"/>
    <w:rsid w:val="007F5309"/>
    <w:rsid w:val="007F59BA"/>
    <w:rsid w:val="007F5C16"/>
    <w:rsid w:val="007F60BE"/>
    <w:rsid w:val="007F6498"/>
    <w:rsid w:val="007F67E9"/>
    <w:rsid w:val="007F6E82"/>
    <w:rsid w:val="007F7C1B"/>
    <w:rsid w:val="007F7C7B"/>
    <w:rsid w:val="00800AE9"/>
    <w:rsid w:val="00800BFA"/>
    <w:rsid w:val="00801864"/>
    <w:rsid w:val="008019DF"/>
    <w:rsid w:val="00802A97"/>
    <w:rsid w:val="008033C3"/>
    <w:rsid w:val="008040A2"/>
    <w:rsid w:val="008040DA"/>
    <w:rsid w:val="00804632"/>
    <w:rsid w:val="008054D9"/>
    <w:rsid w:val="00805B61"/>
    <w:rsid w:val="00806688"/>
    <w:rsid w:val="008068C9"/>
    <w:rsid w:val="00807A3E"/>
    <w:rsid w:val="00810238"/>
    <w:rsid w:val="00810338"/>
    <w:rsid w:val="0081050A"/>
    <w:rsid w:val="00811557"/>
    <w:rsid w:val="00811BC8"/>
    <w:rsid w:val="00812006"/>
    <w:rsid w:val="00812282"/>
    <w:rsid w:val="008139A5"/>
    <w:rsid w:val="008148E4"/>
    <w:rsid w:val="008157F1"/>
    <w:rsid w:val="00815834"/>
    <w:rsid w:val="008160B3"/>
    <w:rsid w:val="00816EC2"/>
    <w:rsid w:val="008176D1"/>
    <w:rsid w:val="00817E1F"/>
    <w:rsid w:val="008202FA"/>
    <w:rsid w:val="00820B20"/>
    <w:rsid w:val="00820C61"/>
    <w:rsid w:val="0082124D"/>
    <w:rsid w:val="00821747"/>
    <w:rsid w:val="0082197B"/>
    <w:rsid w:val="008219A3"/>
    <w:rsid w:val="00821B81"/>
    <w:rsid w:val="008223BE"/>
    <w:rsid w:val="00822402"/>
    <w:rsid w:val="00822BCF"/>
    <w:rsid w:val="00822CD4"/>
    <w:rsid w:val="008236E1"/>
    <w:rsid w:val="0082371C"/>
    <w:rsid w:val="00824458"/>
    <w:rsid w:val="008247B8"/>
    <w:rsid w:val="008249F7"/>
    <w:rsid w:val="00824B74"/>
    <w:rsid w:val="00824BDF"/>
    <w:rsid w:val="00825654"/>
    <w:rsid w:val="008262DE"/>
    <w:rsid w:val="00826723"/>
    <w:rsid w:val="00827027"/>
    <w:rsid w:val="00827C94"/>
    <w:rsid w:val="0083057C"/>
    <w:rsid w:val="008313F1"/>
    <w:rsid w:val="00831AB1"/>
    <w:rsid w:val="00833229"/>
    <w:rsid w:val="00833D4F"/>
    <w:rsid w:val="008347D6"/>
    <w:rsid w:val="008355A5"/>
    <w:rsid w:val="00835682"/>
    <w:rsid w:val="00835EC9"/>
    <w:rsid w:val="0083675F"/>
    <w:rsid w:val="00837848"/>
    <w:rsid w:val="00841331"/>
    <w:rsid w:val="00841388"/>
    <w:rsid w:val="008417EE"/>
    <w:rsid w:val="00841EFB"/>
    <w:rsid w:val="00841F44"/>
    <w:rsid w:val="00842257"/>
    <w:rsid w:val="00842C82"/>
    <w:rsid w:val="0084337C"/>
    <w:rsid w:val="008436D7"/>
    <w:rsid w:val="00843BA3"/>
    <w:rsid w:val="008440FE"/>
    <w:rsid w:val="008447CE"/>
    <w:rsid w:val="00846119"/>
    <w:rsid w:val="0084705B"/>
    <w:rsid w:val="008474E3"/>
    <w:rsid w:val="00847ECD"/>
    <w:rsid w:val="00850CC1"/>
    <w:rsid w:val="00850F11"/>
    <w:rsid w:val="008512C6"/>
    <w:rsid w:val="00851751"/>
    <w:rsid w:val="00851CAC"/>
    <w:rsid w:val="00851E6F"/>
    <w:rsid w:val="00852450"/>
    <w:rsid w:val="008527ED"/>
    <w:rsid w:val="00852862"/>
    <w:rsid w:val="008537F7"/>
    <w:rsid w:val="00853AE4"/>
    <w:rsid w:val="00854474"/>
    <w:rsid w:val="00854586"/>
    <w:rsid w:val="008546BE"/>
    <w:rsid w:val="00854DFD"/>
    <w:rsid w:val="008551B8"/>
    <w:rsid w:val="008553F1"/>
    <w:rsid w:val="00855530"/>
    <w:rsid w:val="00856074"/>
    <w:rsid w:val="008570DD"/>
    <w:rsid w:val="00857181"/>
    <w:rsid w:val="00857205"/>
    <w:rsid w:val="0085776E"/>
    <w:rsid w:val="00857949"/>
    <w:rsid w:val="00857C96"/>
    <w:rsid w:val="00860F89"/>
    <w:rsid w:val="0086119F"/>
    <w:rsid w:val="00861501"/>
    <w:rsid w:val="00861CB4"/>
    <w:rsid w:val="00862649"/>
    <w:rsid w:val="008629F2"/>
    <w:rsid w:val="008633EF"/>
    <w:rsid w:val="00864B84"/>
    <w:rsid w:val="0086505C"/>
    <w:rsid w:val="00866E06"/>
    <w:rsid w:val="00867280"/>
    <w:rsid w:val="008701D1"/>
    <w:rsid w:val="00870C99"/>
    <w:rsid w:val="00870FE3"/>
    <w:rsid w:val="0087126F"/>
    <w:rsid w:val="008719C2"/>
    <w:rsid w:val="00871AF3"/>
    <w:rsid w:val="0087277A"/>
    <w:rsid w:val="00872A47"/>
    <w:rsid w:val="008736E2"/>
    <w:rsid w:val="00874565"/>
    <w:rsid w:val="00874778"/>
    <w:rsid w:val="0087499E"/>
    <w:rsid w:val="00874E78"/>
    <w:rsid w:val="00875EAB"/>
    <w:rsid w:val="00876BD6"/>
    <w:rsid w:val="00877247"/>
    <w:rsid w:val="008774BD"/>
    <w:rsid w:val="008777F2"/>
    <w:rsid w:val="008801AE"/>
    <w:rsid w:val="00880AA3"/>
    <w:rsid w:val="00880AC8"/>
    <w:rsid w:val="00882ABC"/>
    <w:rsid w:val="00882FBF"/>
    <w:rsid w:val="0088315E"/>
    <w:rsid w:val="00883D06"/>
    <w:rsid w:val="0088421C"/>
    <w:rsid w:val="0088437B"/>
    <w:rsid w:val="0088445B"/>
    <w:rsid w:val="00884583"/>
    <w:rsid w:val="00884D4A"/>
    <w:rsid w:val="00885457"/>
    <w:rsid w:val="00885670"/>
    <w:rsid w:val="00887435"/>
    <w:rsid w:val="00887744"/>
    <w:rsid w:val="0089040B"/>
    <w:rsid w:val="00891AF6"/>
    <w:rsid w:val="00891BC3"/>
    <w:rsid w:val="00892A3C"/>
    <w:rsid w:val="0089301F"/>
    <w:rsid w:val="008937C8"/>
    <w:rsid w:val="00893F1F"/>
    <w:rsid w:val="00894670"/>
    <w:rsid w:val="008953C9"/>
    <w:rsid w:val="008967C4"/>
    <w:rsid w:val="00896A82"/>
    <w:rsid w:val="008971AA"/>
    <w:rsid w:val="00897270"/>
    <w:rsid w:val="008A0509"/>
    <w:rsid w:val="008A056F"/>
    <w:rsid w:val="008A0D2A"/>
    <w:rsid w:val="008A1693"/>
    <w:rsid w:val="008A198A"/>
    <w:rsid w:val="008A254F"/>
    <w:rsid w:val="008A2630"/>
    <w:rsid w:val="008A2672"/>
    <w:rsid w:val="008A2C8F"/>
    <w:rsid w:val="008A474C"/>
    <w:rsid w:val="008A50C9"/>
    <w:rsid w:val="008A5833"/>
    <w:rsid w:val="008A6AAB"/>
    <w:rsid w:val="008A6CA4"/>
    <w:rsid w:val="008A7C05"/>
    <w:rsid w:val="008A7DC0"/>
    <w:rsid w:val="008B10E9"/>
    <w:rsid w:val="008B15CE"/>
    <w:rsid w:val="008B1DA1"/>
    <w:rsid w:val="008B2140"/>
    <w:rsid w:val="008B251C"/>
    <w:rsid w:val="008B28A4"/>
    <w:rsid w:val="008B296D"/>
    <w:rsid w:val="008B3A88"/>
    <w:rsid w:val="008B4BFC"/>
    <w:rsid w:val="008B51B4"/>
    <w:rsid w:val="008B5B67"/>
    <w:rsid w:val="008B5CD8"/>
    <w:rsid w:val="008B5D7A"/>
    <w:rsid w:val="008B60B4"/>
    <w:rsid w:val="008B66E3"/>
    <w:rsid w:val="008B6D58"/>
    <w:rsid w:val="008B7848"/>
    <w:rsid w:val="008C020E"/>
    <w:rsid w:val="008C03E7"/>
    <w:rsid w:val="008C0643"/>
    <w:rsid w:val="008C1E05"/>
    <w:rsid w:val="008C2488"/>
    <w:rsid w:val="008C2A33"/>
    <w:rsid w:val="008C2DC8"/>
    <w:rsid w:val="008C3218"/>
    <w:rsid w:val="008C34BB"/>
    <w:rsid w:val="008C37F8"/>
    <w:rsid w:val="008C3A7A"/>
    <w:rsid w:val="008C45E2"/>
    <w:rsid w:val="008C5116"/>
    <w:rsid w:val="008C51BA"/>
    <w:rsid w:val="008C5ABC"/>
    <w:rsid w:val="008C5CD4"/>
    <w:rsid w:val="008C5FAF"/>
    <w:rsid w:val="008C65BC"/>
    <w:rsid w:val="008C6E91"/>
    <w:rsid w:val="008D00CB"/>
    <w:rsid w:val="008D0C9E"/>
    <w:rsid w:val="008D1704"/>
    <w:rsid w:val="008D1EA1"/>
    <w:rsid w:val="008D22F9"/>
    <w:rsid w:val="008D29A1"/>
    <w:rsid w:val="008D351C"/>
    <w:rsid w:val="008D3673"/>
    <w:rsid w:val="008D3726"/>
    <w:rsid w:val="008D49C9"/>
    <w:rsid w:val="008D4C59"/>
    <w:rsid w:val="008D4CB0"/>
    <w:rsid w:val="008D4E34"/>
    <w:rsid w:val="008D4ED4"/>
    <w:rsid w:val="008D6397"/>
    <w:rsid w:val="008D73C9"/>
    <w:rsid w:val="008E01F4"/>
    <w:rsid w:val="008E0487"/>
    <w:rsid w:val="008E0A94"/>
    <w:rsid w:val="008E0BFB"/>
    <w:rsid w:val="008E16BF"/>
    <w:rsid w:val="008E1AEC"/>
    <w:rsid w:val="008E2BE3"/>
    <w:rsid w:val="008E2E2E"/>
    <w:rsid w:val="008E3049"/>
    <w:rsid w:val="008E308F"/>
    <w:rsid w:val="008E35A3"/>
    <w:rsid w:val="008E516C"/>
    <w:rsid w:val="008E6552"/>
    <w:rsid w:val="008E7274"/>
    <w:rsid w:val="008F0562"/>
    <w:rsid w:val="008F192D"/>
    <w:rsid w:val="008F1CC5"/>
    <w:rsid w:val="008F1CDE"/>
    <w:rsid w:val="008F260B"/>
    <w:rsid w:val="008F2847"/>
    <w:rsid w:val="008F43CE"/>
    <w:rsid w:val="008F4F4D"/>
    <w:rsid w:val="008F5704"/>
    <w:rsid w:val="008F5DED"/>
    <w:rsid w:val="008F621B"/>
    <w:rsid w:val="008F74C9"/>
    <w:rsid w:val="008F7715"/>
    <w:rsid w:val="00900690"/>
    <w:rsid w:val="00900AD2"/>
    <w:rsid w:val="00901E9A"/>
    <w:rsid w:val="009026DB"/>
    <w:rsid w:val="00902AA3"/>
    <w:rsid w:val="00903084"/>
    <w:rsid w:val="009031EC"/>
    <w:rsid w:val="00904D04"/>
    <w:rsid w:val="00904F7E"/>
    <w:rsid w:val="00906821"/>
    <w:rsid w:val="00906E65"/>
    <w:rsid w:val="0090749F"/>
    <w:rsid w:val="00907CC6"/>
    <w:rsid w:val="009105CF"/>
    <w:rsid w:val="00910AF7"/>
    <w:rsid w:val="00911D75"/>
    <w:rsid w:val="009133A2"/>
    <w:rsid w:val="009139FA"/>
    <w:rsid w:val="00913DD2"/>
    <w:rsid w:val="009144D5"/>
    <w:rsid w:val="009155D4"/>
    <w:rsid w:val="00915F3D"/>
    <w:rsid w:val="00915F98"/>
    <w:rsid w:val="00915FA3"/>
    <w:rsid w:val="00916535"/>
    <w:rsid w:val="00920AD0"/>
    <w:rsid w:val="00920ECF"/>
    <w:rsid w:val="0092121D"/>
    <w:rsid w:val="009216B2"/>
    <w:rsid w:val="0092176F"/>
    <w:rsid w:val="009217F8"/>
    <w:rsid w:val="00922299"/>
    <w:rsid w:val="009223F9"/>
    <w:rsid w:val="00922D18"/>
    <w:rsid w:val="00923919"/>
    <w:rsid w:val="0092470E"/>
    <w:rsid w:val="00924811"/>
    <w:rsid w:val="00924EEA"/>
    <w:rsid w:val="00925187"/>
    <w:rsid w:val="0092582B"/>
    <w:rsid w:val="0092627A"/>
    <w:rsid w:val="009266DA"/>
    <w:rsid w:val="009266F9"/>
    <w:rsid w:val="00926D6A"/>
    <w:rsid w:val="0092709C"/>
    <w:rsid w:val="0092717F"/>
    <w:rsid w:val="00927744"/>
    <w:rsid w:val="0092781E"/>
    <w:rsid w:val="009278FB"/>
    <w:rsid w:val="00927B05"/>
    <w:rsid w:val="00927C75"/>
    <w:rsid w:val="00930DEA"/>
    <w:rsid w:val="00930F4E"/>
    <w:rsid w:val="00931DE7"/>
    <w:rsid w:val="00932FF4"/>
    <w:rsid w:val="00934970"/>
    <w:rsid w:val="0093499D"/>
    <w:rsid w:val="009355FE"/>
    <w:rsid w:val="00936062"/>
    <w:rsid w:val="00936F2A"/>
    <w:rsid w:val="00937644"/>
    <w:rsid w:val="00937CBE"/>
    <w:rsid w:val="00940CB1"/>
    <w:rsid w:val="0094144C"/>
    <w:rsid w:val="0094169F"/>
    <w:rsid w:val="009421C9"/>
    <w:rsid w:val="009424C4"/>
    <w:rsid w:val="00942B57"/>
    <w:rsid w:val="0094366A"/>
    <w:rsid w:val="0094379A"/>
    <w:rsid w:val="009437BF"/>
    <w:rsid w:val="00944087"/>
    <w:rsid w:val="00944596"/>
    <w:rsid w:val="00944E74"/>
    <w:rsid w:val="00945D47"/>
    <w:rsid w:val="0094673A"/>
    <w:rsid w:val="0095012E"/>
    <w:rsid w:val="00951934"/>
    <w:rsid w:val="0095207B"/>
    <w:rsid w:val="009535F7"/>
    <w:rsid w:val="009540C4"/>
    <w:rsid w:val="0095497C"/>
    <w:rsid w:val="00954C8C"/>
    <w:rsid w:val="00956ACE"/>
    <w:rsid w:val="0095722F"/>
    <w:rsid w:val="009572A0"/>
    <w:rsid w:val="0095750D"/>
    <w:rsid w:val="00957BCB"/>
    <w:rsid w:val="00957D24"/>
    <w:rsid w:val="0096039D"/>
    <w:rsid w:val="00960DCF"/>
    <w:rsid w:val="009613BA"/>
    <w:rsid w:val="00961B53"/>
    <w:rsid w:val="00961E28"/>
    <w:rsid w:val="0096207B"/>
    <w:rsid w:val="00962A4B"/>
    <w:rsid w:val="00963264"/>
    <w:rsid w:val="0096388D"/>
    <w:rsid w:val="0096389D"/>
    <w:rsid w:val="00963E77"/>
    <w:rsid w:val="0096444E"/>
    <w:rsid w:val="00964592"/>
    <w:rsid w:val="00965B71"/>
    <w:rsid w:val="00966132"/>
    <w:rsid w:val="009676C0"/>
    <w:rsid w:val="00967CFC"/>
    <w:rsid w:val="00970EE5"/>
    <w:rsid w:val="009722E9"/>
    <w:rsid w:val="00972953"/>
    <w:rsid w:val="00972F5D"/>
    <w:rsid w:val="00973095"/>
    <w:rsid w:val="00973381"/>
    <w:rsid w:val="00974EDD"/>
    <w:rsid w:val="00975BEE"/>
    <w:rsid w:val="00975FC5"/>
    <w:rsid w:val="00976208"/>
    <w:rsid w:val="00976853"/>
    <w:rsid w:val="00976D50"/>
    <w:rsid w:val="00977A3A"/>
    <w:rsid w:val="00980196"/>
    <w:rsid w:val="00980334"/>
    <w:rsid w:val="009803A9"/>
    <w:rsid w:val="009803CB"/>
    <w:rsid w:val="009803D4"/>
    <w:rsid w:val="0098050E"/>
    <w:rsid w:val="0098060C"/>
    <w:rsid w:val="009807A2"/>
    <w:rsid w:val="009810E7"/>
    <w:rsid w:val="00981566"/>
    <w:rsid w:val="009815A7"/>
    <w:rsid w:val="0098199C"/>
    <w:rsid w:val="009827C2"/>
    <w:rsid w:val="00982E24"/>
    <w:rsid w:val="0098320C"/>
    <w:rsid w:val="00983B22"/>
    <w:rsid w:val="00983DC4"/>
    <w:rsid w:val="009840F0"/>
    <w:rsid w:val="00985DD7"/>
    <w:rsid w:val="00985EE7"/>
    <w:rsid w:val="0098728F"/>
    <w:rsid w:val="009873F3"/>
    <w:rsid w:val="00987DE0"/>
    <w:rsid w:val="0099088A"/>
    <w:rsid w:val="009908F1"/>
    <w:rsid w:val="00990BBD"/>
    <w:rsid w:val="00990C2F"/>
    <w:rsid w:val="0099140C"/>
    <w:rsid w:val="0099176B"/>
    <w:rsid w:val="00991954"/>
    <w:rsid w:val="00992178"/>
    <w:rsid w:val="0099221F"/>
    <w:rsid w:val="009923EE"/>
    <w:rsid w:val="00992FC1"/>
    <w:rsid w:val="009931DF"/>
    <w:rsid w:val="009931E5"/>
    <w:rsid w:val="009932B2"/>
    <w:rsid w:val="009932D9"/>
    <w:rsid w:val="009940FF"/>
    <w:rsid w:val="00994A17"/>
    <w:rsid w:val="00994C78"/>
    <w:rsid w:val="009951E7"/>
    <w:rsid w:val="009955C9"/>
    <w:rsid w:val="00995E98"/>
    <w:rsid w:val="00995F35"/>
    <w:rsid w:val="00996132"/>
    <w:rsid w:val="00996F15"/>
    <w:rsid w:val="00997110"/>
    <w:rsid w:val="00997688"/>
    <w:rsid w:val="00997BA8"/>
    <w:rsid w:val="009A06F4"/>
    <w:rsid w:val="009A108E"/>
    <w:rsid w:val="009A14C3"/>
    <w:rsid w:val="009A1E0D"/>
    <w:rsid w:val="009A3778"/>
    <w:rsid w:val="009A3E2E"/>
    <w:rsid w:val="009A45D7"/>
    <w:rsid w:val="009A4899"/>
    <w:rsid w:val="009A4A1F"/>
    <w:rsid w:val="009A4C64"/>
    <w:rsid w:val="009A4E4C"/>
    <w:rsid w:val="009A780A"/>
    <w:rsid w:val="009A7EBA"/>
    <w:rsid w:val="009A7F34"/>
    <w:rsid w:val="009B0CD8"/>
    <w:rsid w:val="009B1303"/>
    <w:rsid w:val="009B1598"/>
    <w:rsid w:val="009B1FE4"/>
    <w:rsid w:val="009B2245"/>
    <w:rsid w:val="009B22EA"/>
    <w:rsid w:val="009B2365"/>
    <w:rsid w:val="009B258E"/>
    <w:rsid w:val="009B2A63"/>
    <w:rsid w:val="009B2B33"/>
    <w:rsid w:val="009B3179"/>
    <w:rsid w:val="009B340E"/>
    <w:rsid w:val="009B485B"/>
    <w:rsid w:val="009B495B"/>
    <w:rsid w:val="009B52C6"/>
    <w:rsid w:val="009B545A"/>
    <w:rsid w:val="009B5997"/>
    <w:rsid w:val="009B600A"/>
    <w:rsid w:val="009B696D"/>
    <w:rsid w:val="009B6AAF"/>
    <w:rsid w:val="009B6B23"/>
    <w:rsid w:val="009B7ABD"/>
    <w:rsid w:val="009C079A"/>
    <w:rsid w:val="009C1D27"/>
    <w:rsid w:val="009C1FDA"/>
    <w:rsid w:val="009C25B4"/>
    <w:rsid w:val="009C334B"/>
    <w:rsid w:val="009C3990"/>
    <w:rsid w:val="009C3BD9"/>
    <w:rsid w:val="009C5ABA"/>
    <w:rsid w:val="009C5B82"/>
    <w:rsid w:val="009C655E"/>
    <w:rsid w:val="009C756E"/>
    <w:rsid w:val="009C7903"/>
    <w:rsid w:val="009C7E75"/>
    <w:rsid w:val="009D00D9"/>
    <w:rsid w:val="009D0204"/>
    <w:rsid w:val="009D0B6A"/>
    <w:rsid w:val="009D0E19"/>
    <w:rsid w:val="009D127D"/>
    <w:rsid w:val="009D180A"/>
    <w:rsid w:val="009D1CEE"/>
    <w:rsid w:val="009D21BE"/>
    <w:rsid w:val="009D3C3D"/>
    <w:rsid w:val="009D3CB1"/>
    <w:rsid w:val="009D4AB1"/>
    <w:rsid w:val="009D4FD1"/>
    <w:rsid w:val="009D5288"/>
    <w:rsid w:val="009D54A9"/>
    <w:rsid w:val="009D5B4C"/>
    <w:rsid w:val="009D6185"/>
    <w:rsid w:val="009D626A"/>
    <w:rsid w:val="009D6BEC"/>
    <w:rsid w:val="009D70EF"/>
    <w:rsid w:val="009D74EB"/>
    <w:rsid w:val="009D76BB"/>
    <w:rsid w:val="009D78A7"/>
    <w:rsid w:val="009E0555"/>
    <w:rsid w:val="009E0A5A"/>
    <w:rsid w:val="009E100F"/>
    <w:rsid w:val="009E1D49"/>
    <w:rsid w:val="009E21E5"/>
    <w:rsid w:val="009E2AD3"/>
    <w:rsid w:val="009E3446"/>
    <w:rsid w:val="009E3582"/>
    <w:rsid w:val="009E47E5"/>
    <w:rsid w:val="009E58B2"/>
    <w:rsid w:val="009E5B97"/>
    <w:rsid w:val="009E63B1"/>
    <w:rsid w:val="009E6525"/>
    <w:rsid w:val="009F01BB"/>
    <w:rsid w:val="009F0228"/>
    <w:rsid w:val="009F03A0"/>
    <w:rsid w:val="009F1385"/>
    <w:rsid w:val="009F146F"/>
    <w:rsid w:val="009F25DF"/>
    <w:rsid w:val="009F2CDC"/>
    <w:rsid w:val="009F3783"/>
    <w:rsid w:val="009F3822"/>
    <w:rsid w:val="009F38AA"/>
    <w:rsid w:val="009F3C75"/>
    <w:rsid w:val="009F4AEA"/>
    <w:rsid w:val="009F6508"/>
    <w:rsid w:val="009F68D2"/>
    <w:rsid w:val="009F7791"/>
    <w:rsid w:val="009F79F8"/>
    <w:rsid w:val="009F7B77"/>
    <w:rsid w:val="009F7C3F"/>
    <w:rsid w:val="00A00250"/>
    <w:rsid w:val="00A0037E"/>
    <w:rsid w:val="00A01303"/>
    <w:rsid w:val="00A0238B"/>
    <w:rsid w:val="00A0246A"/>
    <w:rsid w:val="00A027E1"/>
    <w:rsid w:val="00A02C4F"/>
    <w:rsid w:val="00A0321C"/>
    <w:rsid w:val="00A04A09"/>
    <w:rsid w:val="00A052E8"/>
    <w:rsid w:val="00A053BD"/>
    <w:rsid w:val="00A05616"/>
    <w:rsid w:val="00A05821"/>
    <w:rsid w:val="00A05D1D"/>
    <w:rsid w:val="00A05E31"/>
    <w:rsid w:val="00A05EA2"/>
    <w:rsid w:val="00A06A33"/>
    <w:rsid w:val="00A076CC"/>
    <w:rsid w:val="00A10C00"/>
    <w:rsid w:val="00A10DE7"/>
    <w:rsid w:val="00A1165C"/>
    <w:rsid w:val="00A11784"/>
    <w:rsid w:val="00A125D6"/>
    <w:rsid w:val="00A12DE2"/>
    <w:rsid w:val="00A14E53"/>
    <w:rsid w:val="00A14F79"/>
    <w:rsid w:val="00A15102"/>
    <w:rsid w:val="00A15580"/>
    <w:rsid w:val="00A15C29"/>
    <w:rsid w:val="00A16449"/>
    <w:rsid w:val="00A16CC0"/>
    <w:rsid w:val="00A17826"/>
    <w:rsid w:val="00A20408"/>
    <w:rsid w:val="00A2086D"/>
    <w:rsid w:val="00A20E80"/>
    <w:rsid w:val="00A21167"/>
    <w:rsid w:val="00A21DD3"/>
    <w:rsid w:val="00A222D5"/>
    <w:rsid w:val="00A22315"/>
    <w:rsid w:val="00A22EFC"/>
    <w:rsid w:val="00A241A3"/>
    <w:rsid w:val="00A24F2F"/>
    <w:rsid w:val="00A26355"/>
    <w:rsid w:val="00A26389"/>
    <w:rsid w:val="00A26731"/>
    <w:rsid w:val="00A26D1D"/>
    <w:rsid w:val="00A2740C"/>
    <w:rsid w:val="00A276B2"/>
    <w:rsid w:val="00A2775C"/>
    <w:rsid w:val="00A303B8"/>
    <w:rsid w:val="00A3043E"/>
    <w:rsid w:val="00A3112A"/>
    <w:rsid w:val="00A3159B"/>
    <w:rsid w:val="00A323D2"/>
    <w:rsid w:val="00A32784"/>
    <w:rsid w:val="00A32974"/>
    <w:rsid w:val="00A33B7F"/>
    <w:rsid w:val="00A33C05"/>
    <w:rsid w:val="00A33FDE"/>
    <w:rsid w:val="00A342F2"/>
    <w:rsid w:val="00A343A9"/>
    <w:rsid w:val="00A34735"/>
    <w:rsid w:val="00A3551F"/>
    <w:rsid w:val="00A35F06"/>
    <w:rsid w:val="00A361C3"/>
    <w:rsid w:val="00A36929"/>
    <w:rsid w:val="00A3759A"/>
    <w:rsid w:val="00A37F08"/>
    <w:rsid w:val="00A4058B"/>
    <w:rsid w:val="00A411FA"/>
    <w:rsid w:val="00A41968"/>
    <w:rsid w:val="00A4223A"/>
    <w:rsid w:val="00A42EBA"/>
    <w:rsid w:val="00A4365E"/>
    <w:rsid w:val="00A43755"/>
    <w:rsid w:val="00A44EC1"/>
    <w:rsid w:val="00A454B3"/>
    <w:rsid w:val="00A457FB"/>
    <w:rsid w:val="00A45E52"/>
    <w:rsid w:val="00A45F02"/>
    <w:rsid w:val="00A4604D"/>
    <w:rsid w:val="00A4633F"/>
    <w:rsid w:val="00A46652"/>
    <w:rsid w:val="00A4673D"/>
    <w:rsid w:val="00A46D15"/>
    <w:rsid w:val="00A4713D"/>
    <w:rsid w:val="00A47EC3"/>
    <w:rsid w:val="00A50660"/>
    <w:rsid w:val="00A517FB"/>
    <w:rsid w:val="00A51D9F"/>
    <w:rsid w:val="00A521B0"/>
    <w:rsid w:val="00A52493"/>
    <w:rsid w:val="00A52BBB"/>
    <w:rsid w:val="00A52D39"/>
    <w:rsid w:val="00A5323B"/>
    <w:rsid w:val="00A53734"/>
    <w:rsid w:val="00A54296"/>
    <w:rsid w:val="00A54FB4"/>
    <w:rsid w:val="00A557F9"/>
    <w:rsid w:val="00A558A3"/>
    <w:rsid w:val="00A56CB2"/>
    <w:rsid w:val="00A56DE0"/>
    <w:rsid w:val="00A60726"/>
    <w:rsid w:val="00A6103B"/>
    <w:rsid w:val="00A61622"/>
    <w:rsid w:val="00A61FC8"/>
    <w:rsid w:val="00A621A2"/>
    <w:rsid w:val="00A6239E"/>
    <w:rsid w:val="00A63761"/>
    <w:rsid w:val="00A63C18"/>
    <w:rsid w:val="00A650D6"/>
    <w:rsid w:val="00A655E7"/>
    <w:rsid w:val="00A662DC"/>
    <w:rsid w:val="00A66328"/>
    <w:rsid w:val="00A66CAE"/>
    <w:rsid w:val="00A66FAA"/>
    <w:rsid w:val="00A67232"/>
    <w:rsid w:val="00A6725D"/>
    <w:rsid w:val="00A6741B"/>
    <w:rsid w:val="00A67B2D"/>
    <w:rsid w:val="00A7063B"/>
    <w:rsid w:val="00A70A66"/>
    <w:rsid w:val="00A71874"/>
    <w:rsid w:val="00A72BEC"/>
    <w:rsid w:val="00A736EF"/>
    <w:rsid w:val="00A74226"/>
    <w:rsid w:val="00A74539"/>
    <w:rsid w:val="00A7571F"/>
    <w:rsid w:val="00A757B0"/>
    <w:rsid w:val="00A7598E"/>
    <w:rsid w:val="00A770A8"/>
    <w:rsid w:val="00A776A4"/>
    <w:rsid w:val="00A803C9"/>
    <w:rsid w:val="00A8049D"/>
    <w:rsid w:val="00A815AE"/>
    <w:rsid w:val="00A822C2"/>
    <w:rsid w:val="00A82990"/>
    <w:rsid w:val="00A83AC2"/>
    <w:rsid w:val="00A83B33"/>
    <w:rsid w:val="00A84B26"/>
    <w:rsid w:val="00A8529B"/>
    <w:rsid w:val="00A85679"/>
    <w:rsid w:val="00A86B32"/>
    <w:rsid w:val="00A870F8"/>
    <w:rsid w:val="00A87D8B"/>
    <w:rsid w:val="00A9004C"/>
    <w:rsid w:val="00A90288"/>
    <w:rsid w:val="00A90401"/>
    <w:rsid w:val="00A90559"/>
    <w:rsid w:val="00A90F94"/>
    <w:rsid w:val="00A91869"/>
    <w:rsid w:val="00A921E3"/>
    <w:rsid w:val="00A924F2"/>
    <w:rsid w:val="00A93DDB"/>
    <w:rsid w:val="00A93FE2"/>
    <w:rsid w:val="00A94721"/>
    <w:rsid w:val="00A949F6"/>
    <w:rsid w:val="00A94D20"/>
    <w:rsid w:val="00A95854"/>
    <w:rsid w:val="00A9711E"/>
    <w:rsid w:val="00A9752B"/>
    <w:rsid w:val="00A97C7B"/>
    <w:rsid w:val="00AA1178"/>
    <w:rsid w:val="00AA1D1C"/>
    <w:rsid w:val="00AA2461"/>
    <w:rsid w:val="00AA250E"/>
    <w:rsid w:val="00AA2574"/>
    <w:rsid w:val="00AA2865"/>
    <w:rsid w:val="00AA2BDC"/>
    <w:rsid w:val="00AA3A9B"/>
    <w:rsid w:val="00AA3BF1"/>
    <w:rsid w:val="00AA523C"/>
    <w:rsid w:val="00AA5410"/>
    <w:rsid w:val="00AA5FEB"/>
    <w:rsid w:val="00AA61CE"/>
    <w:rsid w:val="00AA63C2"/>
    <w:rsid w:val="00AA7407"/>
    <w:rsid w:val="00AA745B"/>
    <w:rsid w:val="00AB075E"/>
    <w:rsid w:val="00AB0DF4"/>
    <w:rsid w:val="00AB0E06"/>
    <w:rsid w:val="00AB207A"/>
    <w:rsid w:val="00AB21C6"/>
    <w:rsid w:val="00AB26BD"/>
    <w:rsid w:val="00AB2841"/>
    <w:rsid w:val="00AB2FBD"/>
    <w:rsid w:val="00AB3676"/>
    <w:rsid w:val="00AB4E40"/>
    <w:rsid w:val="00AB69EA"/>
    <w:rsid w:val="00AB6E6C"/>
    <w:rsid w:val="00AC07DC"/>
    <w:rsid w:val="00AC0A14"/>
    <w:rsid w:val="00AC26EF"/>
    <w:rsid w:val="00AC35BA"/>
    <w:rsid w:val="00AC407A"/>
    <w:rsid w:val="00AC44E7"/>
    <w:rsid w:val="00AC4B31"/>
    <w:rsid w:val="00AC60BA"/>
    <w:rsid w:val="00AC62A0"/>
    <w:rsid w:val="00AC6C28"/>
    <w:rsid w:val="00AC6EF9"/>
    <w:rsid w:val="00AC6F7D"/>
    <w:rsid w:val="00AC720A"/>
    <w:rsid w:val="00AC77D5"/>
    <w:rsid w:val="00AD0178"/>
    <w:rsid w:val="00AD02EC"/>
    <w:rsid w:val="00AD135E"/>
    <w:rsid w:val="00AD1ED6"/>
    <w:rsid w:val="00AD32B6"/>
    <w:rsid w:val="00AD4217"/>
    <w:rsid w:val="00AD463F"/>
    <w:rsid w:val="00AD54CD"/>
    <w:rsid w:val="00AD5965"/>
    <w:rsid w:val="00AD5D39"/>
    <w:rsid w:val="00AD60EA"/>
    <w:rsid w:val="00AD67D4"/>
    <w:rsid w:val="00AD6AEE"/>
    <w:rsid w:val="00AD71F1"/>
    <w:rsid w:val="00AD728A"/>
    <w:rsid w:val="00AE077A"/>
    <w:rsid w:val="00AE0983"/>
    <w:rsid w:val="00AE0AFB"/>
    <w:rsid w:val="00AE0C2A"/>
    <w:rsid w:val="00AE0FCD"/>
    <w:rsid w:val="00AE2266"/>
    <w:rsid w:val="00AE2A4E"/>
    <w:rsid w:val="00AE31AF"/>
    <w:rsid w:val="00AE31DF"/>
    <w:rsid w:val="00AE4331"/>
    <w:rsid w:val="00AE4D1E"/>
    <w:rsid w:val="00AE569F"/>
    <w:rsid w:val="00AE5FC9"/>
    <w:rsid w:val="00AE60E4"/>
    <w:rsid w:val="00AE6120"/>
    <w:rsid w:val="00AE614D"/>
    <w:rsid w:val="00AE66FF"/>
    <w:rsid w:val="00AE7849"/>
    <w:rsid w:val="00AE7977"/>
    <w:rsid w:val="00AE7EDE"/>
    <w:rsid w:val="00AF0C20"/>
    <w:rsid w:val="00AF136D"/>
    <w:rsid w:val="00AF1F10"/>
    <w:rsid w:val="00AF216D"/>
    <w:rsid w:val="00AF33ED"/>
    <w:rsid w:val="00AF3804"/>
    <w:rsid w:val="00AF3D39"/>
    <w:rsid w:val="00AF497B"/>
    <w:rsid w:val="00AF59C7"/>
    <w:rsid w:val="00AF6993"/>
    <w:rsid w:val="00AF6A4C"/>
    <w:rsid w:val="00AF6C6A"/>
    <w:rsid w:val="00AF6D62"/>
    <w:rsid w:val="00AF6F03"/>
    <w:rsid w:val="00AF722B"/>
    <w:rsid w:val="00AF7721"/>
    <w:rsid w:val="00B0173F"/>
    <w:rsid w:val="00B01E44"/>
    <w:rsid w:val="00B02183"/>
    <w:rsid w:val="00B03FBA"/>
    <w:rsid w:val="00B04023"/>
    <w:rsid w:val="00B045E5"/>
    <w:rsid w:val="00B0461B"/>
    <w:rsid w:val="00B047C2"/>
    <w:rsid w:val="00B04CB1"/>
    <w:rsid w:val="00B04D78"/>
    <w:rsid w:val="00B055F6"/>
    <w:rsid w:val="00B05635"/>
    <w:rsid w:val="00B05BBD"/>
    <w:rsid w:val="00B05E0B"/>
    <w:rsid w:val="00B07252"/>
    <w:rsid w:val="00B07620"/>
    <w:rsid w:val="00B07E10"/>
    <w:rsid w:val="00B102FE"/>
    <w:rsid w:val="00B10943"/>
    <w:rsid w:val="00B10A1D"/>
    <w:rsid w:val="00B10B19"/>
    <w:rsid w:val="00B11347"/>
    <w:rsid w:val="00B1215F"/>
    <w:rsid w:val="00B127E2"/>
    <w:rsid w:val="00B12B54"/>
    <w:rsid w:val="00B1314F"/>
    <w:rsid w:val="00B131C9"/>
    <w:rsid w:val="00B131DC"/>
    <w:rsid w:val="00B14229"/>
    <w:rsid w:val="00B1422F"/>
    <w:rsid w:val="00B145C1"/>
    <w:rsid w:val="00B14C59"/>
    <w:rsid w:val="00B14FBE"/>
    <w:rsid w:val="00B14FDF"/>
    <w:rsid w:val="00B151CF"/>
    <w:rsid w:val="00B15E5C"/>
    <w:rsid w:val="00B170C2"/>
    <w:rsid w:val="00B17408"/>
    <w:rsid w:val="00B20445"/>
    <w:rsid w:val="00B20593"/>
    <w:rsid w:val="00B20864"/>
    <w:rsid w:val="00B21BC7"/>
    <w:rsid w:val="00B21F2D"/>
    <w:rsid w:val="00B22A63"/>
    <w:rsid w:val="00B22D2F"/>
    <w:rsid w:val="00B22DF5"/>
    <w:rsid w:val="00B232A7"/>
    <w:rsid w:val="00B23931"/>
    <w:rsid w:val="00B23C05"/>
    <w:rsid w:val="00B23D29"/>
    <w:rsid w:val="00B240E7"/>
    <w:rsid w:val="00B24691"/>
    <w:rsid w:val="00B246EB"/>
    <w:rsid w:val="00B247AD"/>
    <w:rsid w:val="00B24EC4"/>
    <w:rsid w:val="00B254DA"/>
    <w:rsid w:val="00B25C52"/>
    <w:rsid w:val="00B25D05"/>
    <w:rsid w:val="00B25D35"/>
    <w:rsid w:val="00B26622"/>
    <w:rsid w:val="00B26669"/>
    <w:rsid w:val="00B26E05"/>
    <w:rsid w:val="00B2769E"/>
    <w:rsid w:val="00B276B4"/>
    <w:rsid w:val="00B27795"/>
    <w:rsid w:val="00B27C7A"/>
    <w:rsid w:val="00B30135"/>
    <w:rsid w:val="00B303F6"/>
    <w:rsid w:val="00B307B7"/>
    <w:rsid w:val="00B30F0F"/>
    <w:rsid w:val="00B31A2D"/>
    <w:rsid w:val="00B32117"/>
    <w:rsid w:val="00B32903"/>
    <w:rsid w:val="00B32AD1"/>
    <w:rsid w:val="00B330DB"/>
    <w:rsid w:val="00B332A1"/>
    <w:rsid w:val="00B332F1"/>
    <w:rsid w:val="00B33D2E"/>
    <w:rsid w:val="00B3552A"/>
    <w:rsid w:val="00B35660"/>
    <w:rsid w:val="00B358CF"/>
    <w:rsid w:val="00B35B31"/>
    <w:rsid w:val="00B36028"/>
    <w:rsid w:val="00B3623A"/>
    <w:rsid w:val="00B37A26"/>
    <w:rsid w:val="00B40064"/>
    <w:rsid w:val="00B40C54"/>
    <w:rsid w:val="00B423D1"/>
    <w:rsid w:val="00B427F5"/>
    <w:rsid w:val="00B434DF"/>
    <w:rsid w:val="00B43671"/>
    <w:rsid w:val="00B43884"/>
    <w:rsid w:val="00B44942"/>
    <w:rsid w:val="00B4496D"/>
    <w:rsid w:val="00B4517F"/>
    <w:rsid w:val="00B4543A"/>
    <w:rsid w:val="00B4604B"/>
    <w:rsid w:val="00B47D00"/>
    <w:rsid w:val="00B508B4"/>
    <w:rsid w:val="00B50A44"/>
    <w:rsid w:val="00B50A67"/>
    <w:rsid w:val="00B51A13"/>
    <w:rsid w:val="00B51C0F"/>
    <w:rsid w:val="00B522F3"/>
    <w:rsid w:val="00B5253E"/>
    <w:rsid w:val="00B52F25"/>
    <w:rsid w:val="00B546C3"/>
    <w:rsid w:val="00B5490A"/>
    <w:rsid w:val="00B549C8"/>
    <w:rsid w:val="00B55524"/>
    <w:rsid w:val="00B55BB0"/>
    <w:rsid w:val="00B569C5"/>
    <w:rsid w:val="00B56DC6"/>
    <w:rsid w:val="00B575BF"/>
    <w:rsid w:val="00B60B73"/>
    <w:rsid w:val="00B612EA"/>
    <w:rsid w:val="00B61332"/>
    <w:rsid w:val="00B6181F"/>
    <w:rsid w:val="00B6196E"/>
    <w:rsid w:val="00B61C66"/>
    <w:rsid w:val="00B62604"/>
    <w:rsid w:val="00B62DF2"/>
    <w:rsid w:val="00B62ED7"/>
    <w:rsid w:val="00B643BE"/>
    <w:rsid w:val="00B6510D"/>
    <w:rsid w:val="00B6515A"/>
    <w:rsid w:val="00B655EE"/>
    <w:rsid w:val="00B65E74"/>
    <w:rsid w:val="00B66A87"/>
    <w:rsid w:val="00B66C7A"/>
    <w:rsid w:val="00B67FDC"/>
    <w:rsid w:val="00B704C8"/>
    <w:rsid w:val="00B708CB"/>
    <w:rsid w:val="00B712D0"/>
    <w:rsid w:val="00B71761"/>
    <w:rsid w:val="00B718C9"/>
    <w:rsid w:val="00B72393"/>
    <w:rsid w:val="00B724CF"/>
    <w:rsid w:val="00B73B6E"/>
    <w:rsid w:val="00B73C8D"/>
    <w:rsid w:val="00B73D7F"/>
    <w:rsid w:val="00B740E8"/>
    <w:rsid w:val="00B746E6"/>
    <w:rsid w:val="00B746FF"/>
    <w:rsid w:val="00B74E72"/>
    <w:rsid w:val="00B757E5"/>
    <w:rsid w:val="00B7720E"/>
    <w:rsid w:val="00B7727D"/>
    <w:rsid w:val="00B774E6"/>
    <w:rsid w:val="00B77F0C"/>
    <w:rsid w:val="00B80776"/>
    <w:rsid w:val="00B81786"/>
    <w:rsid w:val="00B81F38"/>
    <w:rsid w:val="00B82708"/>
    <w:rsid w:val="00B832B2"/>
    <w:rsid w:val="00B8357D"/>
    <w:rsid w:val="00B83B62"/>
    <w:rsid w:val="00B8418E"/>
    <w:rsid w:val="00B8535F"/>
    <w:rsid w:val="00B85B24"/>
    <w:rsid w:val="00B8653B"/>
    <w:rsid w:val="00B86680"/>
    <w:rsid w:val="00B86D9A"/>
    <w:rsid w:val="00B878CD"/>
    <w:rsid w:val="00B91CB1"/>
    <w:rsid w:val="00B91D87"/>
    <w:rsid w:val="00B92485"/>
    <w:rsid w:val="00B9249B"/>
    <w:rsid w:val="00B928EA"/>
    <w:rsid w:val="00B92F53"/>
    <w:rsid w:val="00B939FA"/>
    <w:rsid w:val="00B93D35"/>
    <w:rsid w:val="00B94F44"/>
    <w:rsid w:val="00B9536C"/>
    <w:rsid w:val="00B96730"/>
    <w:rsid w:val="00B9752B"/>
    <w:rsid w:val="00BA04FA"/>
    <w:rsid w:val="00BA1CF9"/>
    <w:rsid w:val="00BA1FFB"/>
    <w:rsid w:val="00BA2B3F"/>
    <w:rsid w:val="00BA3E96"/>
    <w:rsid w:val="00BA4316"/>
    <w:rsid w:val="00BA471C"/>
    <w:rsid w:val="00BA4E45"/>
    <w:rsid w:val="00BA4FF2"/>
    <w:rsid w:val="00BA56B1"/>
    <w:rsid w:val="00BA59FB"/>
    <w:rsid w:val="00BA5AB8"/>
    <w:rsid w:val="00BA5DE8"/>
    <w:rsid w:val="00BA6273"/>
    <w:rsid w:val="00BA72F7"/>
    <w:rsid w:val="00BA77B4"/>
    <w:rsid w:val="00BB14A3"/>
    <w:rsid w:val="00BB160E"/>
    <w:rsid w:val="00BB1C7C"/>
    <w:rsid w:val="00BB26A4"/>
    <w:rsid w:val="00BB383C"/>
    <w:rsid w:val="00BB3CEC"/>
    <w:rsid w:val="00BB44D2"/>
    <w:rsid w:val="00BB489B"/>
    <w:rsid w:val="00BB6D1B"/>
    <w:rsid w:val="00BB71D2"/>
    <w:rsid w:val="00BC0311"/>
    <w:rsid w:val="00BC035D"/>
    <w:rsid w:val="00BC0486"/>
    <w:rsid w:val="00BC09AA"/>
    <w:rsid w:val="00BC0CDA"/>
    <w:rsid w:val="00BC0D5D"/>
    <w:rsid w:val="00BC15DE"/>
    <w:rsid w:val="00BC17C8"/>
    <w:rsid w:val="00BC369C"/>
    <w:rsid w:val="00BC3929"/>
    <w:rsid w:val="00BC433C"/>
    <w:rsid w:val="00BC4972"/>
    <w:rsid w:val="00BC546B"/>
    <w:rsid w:val="00BC5A01"/>
    <w:rsid w:val="00BC6079"/>
    <w:rsid w:val="00BC65C2"/>
    <w:rsid w:val="00BC6897"/>
    <w:rsid w:val="00BC6A54"/>
    <w:rsid w:val="00BC6FE4"/>
    <w:rsid w:val="00BD0C03"/>
    <w:rsid w:val="00BD1603"/>
    <w:rsid w:val="00BD1B8D"/>
    <w:rsid w:val="00BD24E7"/>
    <w:rsid w:val="00BD33D4"/>
    <w:rsid w:val="00BD40B1"/>
    <w:rsid w:val="00BD469B"/>
    <w:rsid w:val="00BD502A"/>
    <w:rsid w:val="00BD5590"/>
    <w:rsid w:val="00BD606F"/>
    <w:rsid w:val="00BD6294"/>
    <w:rsid w:val="00BD7364"/>
    <w:rsid w:val="00BD7960"/>
    <w:rsid w:val="00BD7994"/>
    <w:rsid w:val="00BD7FB6"/>
    <w:rsid w:val="00BE0258"/>
    <w:rsid w:val="00BE07A7"/>
    <w:rsid w:val="00BE1FB9"/>
    <w:rsid w:val="00BE2298"/>
    <w:rsid w:val="00BE2C06"/>
    <w:rsid w:val="00BE30C8"/>
    <w:rsid w:val="00BE47BF"/>
    <w:rsid w:val="00BE4DB9"/>
    <w:rsid w:val="00BE501A"/>
    <w:rsid w:val="00BE5374"/>
    <w:rsid w:val="00BE627A"/>
    <w:rsid w:val="00BE6764"/>
    <w:rsid w:val="00BE6CE8"/>
    <w:rsid w:val="00BE6FE1"/>
    <w:rsid w:val="00BF1461"/>
    <w:rsid w:val="00BF15B2"/>
    <w:rsid w:val="00BF1B75"/>
    <w:rsid w:val="00BF1CCA"/>
    <w:rsid w:val="00BF31EA"/>
    <w:rsid w:val="00BF32AA"/>
    <w:rsid w:val="00BF55EB"/>
    <w:rsid w:val="00BF5700"/>
    <w:rsid w:val="00BF5B64"/>
    <w:rsid w:val="00BF64F8"/>
    <w:rsid w:val="00BF6AA8"/>
    <w:rsid w:val="00BF6EC2"/>
    <w:rsid w:val="00BF6FC5"/>
    <w:rsid w:val="00BF75EF"/>
    <w:rsid w:val="00BF7C54"/>
    <w:rsid w:val="00BF7D2F"/>
    <w:rsid w:val="00BF7D35"/>
    <w:rsid w:val="00BF7F61"/>
    <w:rsid w:val="00C01110"/>
    <w:rsid w:val="00C015DB"/>
    <w:rsid w:val="00C01D5F"/>
    <w:rsid w:val="00C01FCF"/>
    <w:rsid w:val="00C0212A"/>
    <w:rsid w:val="00C0345A"/>
    <w:rsid w:val="00C03511"/>
    <w:rsid w:val="00C03A84"/>
    <w:rsid w:val="00C04C3A"/>
    <w:rsid w:val="00C05700"/>
    <w:rsid w:val="00C0649A"/>
    <w:rsid w:val="00C06619"/>
    <w:rsid w:val="00C074BD"/>
    <w:rsid w:val="00C074CD"/>
    <w:rsid w:val="00C07747"/>
    <w:rsid w:val="00C078A2"/>
    <w:rsid w:val="00C107C3"/>
    <w:rsid w:val="00C108D7"/>
    <w:rsid w:val="00C11380"/>
    <w:rsid w:val="00C118C9"/>
    <w:rsid w:val="00C11D8E"/>
    <w:rsid w:val="00C12881"/>
    <w:rsid w:val="00C129ED"/>
    <w:rsid w:val="00C13520"/>
    <w:rsid w:val="00C14099"/>
    <w:rsid w:val="00C14322"/>
    <w:rsid w:val="00C14DB3"/>
    <w:rsid w:val="00C14E44"/>
    <w:rsid w:val="00C14F9B"/>
    <w:rsid w:val="00C14FAB"/>
    <w:rsid w:val="00C15F42"/>
    <w:rsid w:val="00C1610B"/>
    <w:rsid w:val="00C1611D"/>
    <w:rsid w:val="00C16A39"/>
    <w:rsid w:val="00C16C9A"/>
    <w:rsid w:val="00C175E4"/>
    <w:rsid w:val="00C2155F"/>
    <w:rsid w:val="00C2229A"/>
    <w:rsid w:val="00C227CB"/>
    <w:rsid w:val="00C232E0"/>
    <w:rsid w:val="00C23E91"/>
    <w:rsid w:val="00C24B5E"/>
    <w:rsid w:val="00C2534F"/>
    <w:rsid w:val="00C2618F"/>
    <w:rsid w:val="00C26290"/>
    <w:rsid w:val="00C30058"/>
    <w:rsid w:val="00C305C2"/>
    <w:rsid w:val="00C317A2"/>
    <w:rsid w:val="00C318B8"/>
    <w:rsid w:val="00C33743"/>
    <w:rsid w:val="00C33877"/>
    <w:rsid w:val="00C33D41"/>
    <w:rsid w:val="00C343FC"/>
    <w:rsid w:val="00C34FAC"/>
    <w:rsid w:val="00C362DA"/>
    <w:rsid w:val="00C364A2"/>
    <w:rsid w:val="00C3651F"/>
    <w:rsid w:val="00C36633"/>
    <w:rsid w:val="00C36A99"/>
    <w:rsid w:val="00C36D65"/>
    <w:rsid w:val="00C36E99"/>
    <w:rsid w:val="00C36E9D"/>
    <w:rsid w:val="00C36F80"/>
    <w:rsid w:val="00C37ACB"/>
    <w:rsid w:val="00C37C86"/>
    <w:rsid w:val="00C40922"/>
    <w:rsid w:val="00C40A07"/>
    <w:rsid w:val="00C40FBD"/>
    <w:rsid w:val="00C412B1"/>
    <w:rsid w:val="00C428C6"/>
    <w:rsid w:val="00C42A47"/>
    <w:rsid w:val="00C43345"/>
    <w:rsid w:val="00C43FE7"/>
    <w:rsid w:val="00C4436C"/>
    <w:rsid w:val="00C445DD"/>
    <w:rsid w:val="00C44CDE"/>
    <w:rsid w:val="00C45587"/>
    <w:rsid w:val="00C455E8"/>
    <w:rsid w:val="00C45855"/>
    <w:rsid w:val="00C45AB5"/>
    <w:rsid w:val="00C461B2"/>
    <w:rsid w:val="00C46471"/>
    <w:rsid w:val="00C46609"/>
    <w:rsid w:val="00C468E1"/>
    <w:rsid w:val="00C46B27"/>
    <w:rsid w:val="00C46F18"/>
    <w:rsid w:val="00C47C8E"/>
    <w:rsid w:val="00C47FE6"/>
    <w:rsid w:val="00C5015A"/>
    <w:rsid w:val="00C506A3"/>
    <w:rsid w:val="00C50E74"/>
    <w:rsid w:val="00C51F9F"/>
    <w:rsid w:val="00C5236B"/>
    <w:rsid w:val="00C52FD1"/>
    <w:rsid w:val="00C5359B"/>
    <w:rsid w:val="00C53AF7"/>
    <w:rsid w:val="00C54425"/>
    <w:rsid w:val="00C54DEF"/>
    <w:rsid w:val="00C554B5"/>
    <w:rsid w:val="00C554CF"/>
    <w:rsid w:val="00C56E73"/>
    <w:rsid w:val="00C56EF2"/>
    <w:rsid w:val="00C570A6"/>
    <w:rsid w:val="00C579F3"/>
    <w:rsid w:val="00C600B3"/>
    <w:rsid w:val="00C60580"/>
    <w:rsid w:val="00C60873"/>
    <w:rsid w:val="00C60DE1"/>
    <w:rsid w:val="00C61464"/>
    <w:rsid w:val="00C61674"/>
    <w:rsid w:val="00C616C0"/>
    <w:rsid w:val="00C6353A"/>
    <w:rsid w:val="00C6420D"/>
    <w:rsid w:val="00C6424E"/>
    <w:rsid w:val="00C64487"/>
    <w:rsid w:val="00C648DD"/>
    <w:rsid w:val="00C64E60"/>
    <w:rsid w:val="00C65039"/>
    <w:rsid w:val="00C65AF2"/>
    <w:rsid w:val="00C65CC1"/>
    <w:rsid w:val="00C65EC4"/>
    <w:rsid w:val="00C661EA"/>
    <w:rsid w:val="00C66478"/>
    <w:rsid w:val="00C67440"/>
    <w:rsid w:val="00C67469"/>
    <w:rsid w:val="00C67B5D"/>
    <w:rsid w:val="00C67E8E"/>
    <w:rsid w:val="00C71D20"/>
    <w:rsid w:val="00C71DDA"/>
    <w:rsid w:val="00C71DED"/>
    <w:rsid w:val="00C72177"/>
    <w:rsid w:val="00C72AC8"/>
    <w:rsid w:val="00C735B3"/>
    <w:rsid w:val="00C73E5D"/>
    <w:rsid w:val="00C74324"/>
    <w:rsid w:val="00C744D1"/>
    <w:rsid w:val="00C749F8"/>
    <w:rsid w:val="00C74B8C"/>
    <w:rsid w:val="00C75508"/>
    <w:rsid w:val="00C75FDA"/>
    <w:rsid w:val="00C760C2"/>
    <w:rsid w:val="00C7626C"/>
    <w:rsid w:val="00C76853"/>
    <w:rsid w:val="00C7693D"/>
    <w:rsid w:val="00C76EBA"/>
    <w:rsid w:val="00C80E17"/>
    <w:rsid w:val="00C80ED9"/>
    <w:rsid w:val="00C818D6"/>
    <w:rsid w:val="00C8268F"/>
    <w:rsid w:val="00C826BA"/>
    <w:rsid w:val="00C828FD"/>
    <w:rsid w:val="00C82F06"/>
    <w:rsid w:val="00C83535"/>
    <w:rsid w:val="00C83D84"/>
    <w:rsid w:val="00C8404A"/>
    <w:rsid w:val="00C84603"/>
    <w:rsid w:val="00C84E6D"/>
    <w:rsid w:val="00C85290"/>
    <w:rsid w:val="00C85AF4"/>
    <w:rsid w:val="00C86759"/>
    <w:rsid w:val="00C86CD3"/>
    <w:rsid w:val="00C87436"/>
    <w:rsid w:val="00C91277"/>
    <w:rsid w:val="00C91651"/>
    <w:rsid w:val="00C917A4"/>
    <w:rsid w:val="00C922A2"/>
    <w:rsid w:val="00C935F3"/>
    <w:rsid w:val="00C94475"/>
    <w:rsid w:val="00C94C32"/>
    <w:rsid w:val="00C978F6"/>
    <w:rsid w:val="00C97CEE"/>
    <w:rsid w:val="00CA0A62"/>
    <w:rsid w:val="00CA0F6E"/>
    <w:rsid w:val="00CA1304"/>
    <w:rsid w:val="00CA1342"/>
    <w:rsid w:val="00CA1F9D"/>
    <w:rsid w:val="00CA26EA"/>
    <w:rsid w:val="00CA2FB2"/>
    <w:rsid w:val="00CA3153"/>
    <w:rsid w:val="00CA3B30"/>
    <w:rsid w:val="00CA3D3A"/>
    <w:rsid w:val="00CA41AB"/>
    <w:rsid w:val="00CA42D6"/>
    <w:rsid w:val="00CA4D6A"/>
    <w:rsid w:val="00CA528A"/>
    <w:rsid w:val="00CA57B3"/>
    <w:rsid w:val="00CA5BD7"/>
    <w:rsid w:val="00CA75E0"/>
    <w:rsid w:val="00CB00B8"/>
    <w:rsid w:val="00CB116B"/>
    <w:rsid w:val="00CB15E9"/>
    <w:rsid w:val="00CB2BD5"/>
    <w:rsid w:val="00CB3BC3"/>
    <w:rsid w:val="00CB581B"/>
    <w:rsid w:val="00CB58C2"/>
    <w:rsid w:val="00CB5C55"/>
    <w:rsid w:val="00CB5D59"/>
    <w:rsid w:val="00CB6835"/>
    <w:rsid w:val="00CB7273"/>
    <w:rsid w:val="00CB777E"/>
    <w:rsid w:val="00CC0060"/>
    <w:rsid w:val="00CC05A7"/>
    <w:rsid w:val="00CC0AA5"/>
    <w:rsid w:val="00CC0D6A"/>
    <w:rsid w:val="00CC0D79"/>
    <w:rsid w:val="00CC1A7B"/>
    <w:rsid w:val="00CC1D1A"/>
    <w:rsid w:val="00CC28BE"/>
    <w:rsid w:val="00CC428A"/>
    <w:rsid w:val="00CC4F99"/>
    <w:rsid w:val="00CC5303"/>
    <w:rsid w:val="00CC5956"/>
    <w:rsid w:val="00CC6260"/>
    <w:rsid w:val="00CC6991"/>
    <w:rsid w:val="00CC6AAA"/>
    <w:rsid w:val="00CC6AF2"/>
    <w:rsid w:val="00CD06DD"/>
    <w:rsid w:val="00CD1404"/>
    <w:rsid w:val="00CD1BD1"/>
    <w:rsid w:val="00CD2086"/>
    <w:rsid w:val="00CD26A4"/>
    <w:rsid w:val="00CD2B57"/>
    <w:rsid w:val="00CD3011"/>
    <w:rsid w:val="00CD3201"/>
    <w:rsid w:val="00CD4F02"/>
    <w:rsid w:val="00CD51A5"/>
    <w:rsid w:val="00CD52E0"/>
    <w:rsid w:val="00CD585A"/>
    <w:rsid w:val="00CD5FB6"/>
    <w:rsid w:val="00CD6BF9"/>
    <w:rsid w:val="00CD77E7"/>
    <w:rsid w:val="00CD7CD8"/>
    <w:rsid w:val="00CE1347"/>
    <w:rsid w:val="00CE1701"/>
    <w:rsid w:val="00CE1AAC"/>
    <w:rsid w:val="00CE28E3"/>
    <w:rsid w:val="00CE3152"/>
    <w:rsid w:val="00CE4385"/>
    <w:rsid w:val="00CE4928"/>
    <w:rsid w:val="00CE4D9C"/>
    <w:rsid w:val="00CE4FD4"/>
    <w:rsid w:val="00CE5F95"/>
    <w:rsid w:val="00CE62B9"/>
    <w:rsid w:val="00CE67B0"/>
    <w:rsid w:val="00CF1752"/>
    <w:rsid w:val="00CF1A2D"/>
    <w:rsid w:val="00CF2913"/>
    <w:rsid w:val="00CF3CE7"/>
    <w:rsid w:val="00CF439F"/>
    <w:rsid w:val="00CF4ABC"/>
    <w:rsid w:val="00CF5116"/>
    <w:rsid w:val="00CF5B9B"/>
    <w:rsid w:val="00CF61BA"/>
    <w:rsid w:val="00CF6926"/>
    <w:rsid w:val="00CF6E1D"/>
    <w:rsid w:val="00CF7120"/>
    <w:rsid w:val="00CF7127"/>
    <w:rsid w:val="00CF724C"/>
    <w:rsid w:val="00D001B4"/>
    <w:rsid w:val="00D003B7"/>
    <w:rsid w:val="00D00402"/>
    <w:rsid w:val="00D00E36"/>
    <w:rsid w:val="00D00F85"/>
    <w:rsid w:val="00D02F4F"/>
    <w:rsid w:val="00D03172"/>
    <w:rsid w:val="00D03707"/>
    <w:rsid w:val="00D03789"/>
    <w:rsid w:val="00D03D31"/>
    <w:rsid w:val="00D043C7"/>
    <w:rsid w:val="00D0453C"/>
    <w:rsid w:val="00D04CB3"/>
    <w:rsid w:val="00D05602"/>
    <w:rsid w:val="00D056A7"/>
    <w:rsid w:val="00D05B6B"/>
    <w:rsid w:val="00D05FC6"/>
    <w:rsid w:val="00D0617B"/>
    <w:rsid w:val="00D061A4"/>
    <w:rsid w:val="00D104DE"/>
    <w:rsid w:val="00D113B1"/>
    <w:rsid w:val="00D11820"/>
    <w:rsid w:val="00D11C73"/>
    <w:rsid w:val="00D12EF4"/>
    <w:rsid w:val="00D12FB2"/>
    <w:rsid w:val="00D1446B"/>
    <w:rsid w:val="00D14E59"/>
    <w:rsid w:val="00D14F69"/>
    <w:rsid w:val="00D1521F"/>
    <w:rsid w:val="00D15234"/>
    <w:rsid w:val="00D158FF"/>
    <w:rsid w:val="00D162D5"/>
    <w:rsid w:val="00D16C82"/>
    <w:rsid w:val="00D17173"/>
    <w:rsid w:val="00D17778"/>
    <w:rsid w:val="00D17CAB"/>
    <w:rsid w:val="00D20031"/>
    <w:rsid w:val="00D210D0"/>
    <w:rsid w:val="00D211F9"/>
    <w:rsid w:val="00D2120F"/>
    <w:rsid w:val="00D2128C"/>
    <w:rsid w:val="00D23721"/>
    <w:rsid w:val="00D23DB2"/>
    <w:rsid w:val="00D2485B"/>
    <w:rsid w:val="00D24A89"/>
    <w:rsid w:val="00D2549E"/>
    <w:rsid w:val="00D25E30"/>
    <w:rsid w:val="00D26D01"/>
    <w:rsid w:val="00D27A3E"/>
    <w:rsid w:val="00D27B35"/>
    <w:rsid w:val="00D27F29"/>
    <w:rsid w:val="00D30082"/>
    <w:rsid w:val="00D313B3"/>
    <w:rsid w:val="00D31639"/>
    <w:rsid w:val="00D32171"/>
    <w:rsid w:val="00D32718"/>
    <w:rsid w:val="00D328A2"/>
    <w:rsid w:val="00D3292B"/>
    <w:rsid w:val="00D32DB3"/>
    <w:rsid w:val="00D32EB1"/>
    <w:rsid w:val="00D33D7C"/>
    <w:rsid w:val="00D33F02"/>
    <w:rsid w:val="00D33FD1"/>
    <w:rsid w:val="00D347FB"/>
    <w:rsid w:val="00D352A8"/>
    <w:rsid w:val="00D358F7"/>
    <w:rsid w:val="00D35AC6"/>
    <w:rsid w:val="00D36376"/>
    <w:rsid w:val="00D364B1"/>
    <w:rsid w:val="00D36619"/>
    <w:rsid w:val="00D36E67"/>
    <w:rsid w:val="00D37D5B"/>
    <w:rsid w:val="00D37EF5"/>
    <w:rsid w:val="00D40998"/>
    <w:rsid w:val="00D40DBE"/>
    <w:rsid w:val="00D411DA"/>
    <w:rsid w:val="00D412CD"/>
    <w:rsid w:val="00D41605"/>
    <w:rsid w:val="00D417E2"/>
    <w:rsid w:val="00D419C9"/>
    <w:rsid w:val="00D42370"/>
    <w:rsid w:val="00D428B9"/>
    <w:rsid w:val="00D43246"/>
    <w:rsid w:val="00D43303"/>
    <w:rsid w:val="00D4443D"/>
    <w:rsid w:val="00D45750"/>
    <w:rsid w:val="00D457EA"/>
    <w:rsid w:val="00D45C42"/>
    <w:rsid w:val="00D45C99"/>
    <w:rsid w:val="00D472B5"/>
    <w:rsid w:val="00D47D29"/>
    <w:rsid w:val="00D47EBC"/>
    <w:rsid w:val="00D50362"/>
    <w:rsid w:val="00D50F2C"/>
    <w:rsid w:val="00D52C8E"/>
    <w:rsid w:val="00D52E54"/>
    <w:rsid w:val="00D52FF5"/>
    <w:rsid w:val="00D5388F"/>
    <w:rsid w:val="00D53EAA"/>
    <w:rsid w:val="00D55368"/>
    <w:rsid w:val="00D556F1"/>
    <w:rsid w:val="00D559A5"/>
    <w:rsid w:val="00D55BB8"/>
    <w:rsid w:val="00D55D30"/>
    <w:rsid w:val="00D5603D"/>
    <w:rsid w:val="00D56A91"/>
    <w:rsid w:val="00D56DFA"/>
    <w:rsid w:val="00D56E8F"/>
    <w:rsid w:val="00D578CF"/>
    <w:rsid w:val="00D606D9"/>
    <w:rsid w:val="00D608E4"/>
    <w:rsid w:val="00D60C6E"/>
    <w:rsid w:val="00D60E22"/>
    <w:rsid w:val="00D61302"/>
    <w:rsid w:val="00D62109"/>
    <w:rsid w:val="00D62F4D"/>
    <w:rsid w:val="00D63A9B"/>
    <w:rsid w:val="00D64906"/>
    <w:rsid w:val="00D652D9"/>
    <w:rsid w:val="00D6537F"/>
    <w:rsid w:val="00D65758"/>
    <w:rsid w:val="00D65A2F"/>
    <w:rsid w:val="00D65D80"/>
    <w:rsid w:val="00D67457"/>
    <w:rsid w:val="00D70DDA"/>
    <w:rsid w:val="00D71FFF"/>
    <w:rsid w:val="00D736D5"/>
    <w:rsid w:val="00D736D8"/>
    <w:rsid w:val="00D73AD9"/>
    <w:rsid w:val="00D73F25"/>
    <w:rsid w:val="00D7406B"/>
    <w:rsid w:val="00D7668D"/>
    <w:rsid w:val="00D76763"/>
    <w:rsid w:val="00D76AD0"/>
    <w:rsid w:val="00D77B20"/>
    <w:rsid w:val="00D80C29"/>
    <w:rsid w:val="00D8108E"/>
    <w:rsid w:val="00D81A4E"/>
    <w:rsid w:val="00D82146"/>
    <w:rsid w:val="00D8316D"/>
    <w:rsid w:val="00D83B51"/>
    <w:rsid w:val="00D83F8E"/>
    <w:rsid w:val="00D842C3"/>
    <w:rsid w:val="00D842EF"/>
    <w:rsid w:val="00D84ECA"/>
    <w:rsid w:val="00D85249"/>
    <w:rsid w:val="00D8525E"/>
    <w:rsid w:val="00D854FC"/>
    <w:rsid w:val="00D857B8"/>
    <w:rsid w:val="00D857F9"/>
    <w:rsid w:val="00D85CFD"/>
    <w:rsid w:val="00D863C9"/>
    <w:rsid w:val="00D879E6"/>
    <w:rsid w:val="00D87A8D"/>
    <w:rsid w:val="00D9041B"/>
    <w:rsid w:val="00D9061A"/>
    <w:rsid w:val="00D90DBB"/>
    <w:rsid w:val="00D9141D"/>
    <w:rsid w:val="00D916D5"/>
    <w:rsid w:val="00D919DF"/>
    <w:rsid w:val="00D91D70"/>
    <w:rsid w:val="00D92EFA"/>
    <w:rsid w:val="00D93612"/>
    <w:rsid w:val="00D936E2"/>
    <w:rsid w:val="00D93733"/>
    <w:rsid w:val="00D93E29"/>
    <w:rsid w:val="00D93EF2"/>
    <w:rsid w:val="00D946C9"/>
    <w:rsid w:val="00D94CF3"/>
    <w:rsid w:val="00D94FA2"/>
    <w:rsid w:val="00D956D9"/>
    <w:rsid w:val="00D960A6"/>
    <w:rsid w:val="00D967A8"/>
    <w:rsid w:val="00D96D1C"/>
    <w:rsid w:val="00D97029"/>
    <w:rsid w:val="00D972B0"/>
    <w:rsid w:val="00D97F45"/>
    <w:rsid w:val="00DA058E"/>
    <w:rsid w:val="00DA17E6"/>
    <w:rsid w:val="00DA1932"/>
    <w:rsid w:val="00DA1BAB"/>
    <w:rsid w:val="00DA1D12"/>
    <w:rsid w:val="00DA2E48"/>
    <w:rsid w:val="00DA2FDF"/>
    <w:rsid w:val="00DA323B"/>
    <w:rsid w:val="00DA3533"/>
    <w:rsid w:val="00DA3791"/>
    <w:rsid w:val="00DA391C"/>
    <w:rsid w:val="00DA47D4"/>
    <w:rsid w:val="00DA48DF"/>
    <w:rsid w:val="00DA512C"/>
    <w:rsid w:val="00DA5898"/>
    <w:rsid w:val="00DA5984"/>
    <w:rsid w:val="00DA6765"/>
    <w:rsid w:val="00DA6A1D"/>
    <w:rsid w:val="00DA719C"/>
    <w:rsid w:val="00DA7424"/>
    <w:rsid w:val="00DA772E"/>
    <w:rsid w:val="00DB003C"/>
    <w:rsid w:val="00DB1E91"/>
    <w:rsid w:val="00DB2C89"/>
    <w:rsid w:val="00DB3183"/>
    <w:rsid w:val="00DB32A6"/>
    <w:rsid w:val="00DB34CF"/>
    <w:rsid w:val="00DB3967"/>
    <w:rsid w:val="00DB43DC"/>
    <w:rsid w:val="00DB4410"/>
    <w:rsid w:val="00DB5117"/>
    <w:rsid w:val="00DB5E01"/>
    <w:rsid w:val="00DB6031"/>
    <w:rsid w:val="00DB64B3"/>
    <w:rsid w:val="00DB64C4"/>
    <w:rsid w:val="00DB664A"/>
    <w:rsid w:val="00DB7463"/>
    <w:rsid w:val="00DC0775"/>
    <w:rsid w:val="00DC13FE"/>
    <w:rsid w:val="00DC14AF"/>
    <w:rsid w:val="00DC1720"/>
    <w:rsid w:val="00DC1A54"/>
    <w:rsid w:val="00DC26D4"/>
    <w:rsid w:val="00DC2D15"/>
    <w:rsid w:val="00DC3633"/>
    <w:rsid w:val="00DC3842"/>
    <w:rsid w:val="00DC4108"/>
    <w:rsid w:val="00DC4665"/>
    <w:rsid w:val="00DC4D90"/>
    <w:rsid w:val="00DC4EC7"/>
    <w:rsid w:val="00DC4F64"/>
    <w:rsid w:val="00DC50C5"/>
    <w:rsid w:val="00DC5A25"/>
    <w:rsid w:val="00DC5D8F"/>
    <w:rsid w:val="00DC64A7"/>
    <w:rsid w:val="00DC6C52"/>
    <w:rsid w:val="00DC7356"/>
    <w:rsid w:val="00DD0953"/>
    <w:rsid w:val="00DD14F6"/>
    <w:rsid w:val="00DD1A95"/>
    <w:rsid w:val="00DD2445"/>
    <w:rsid w:val="00DD2963"/>
    <w:rsid w:val="00DD2C81"/>
    <w:rsid w:val="00DD453D"/>
    <w:rsid w:val="00DD4E5A"/>
    <w:rsid w:val="00DD5525"/>
    <w:rsid w:val="00DD653B"/>
    <w:rsid w:val="00DD6B3D"/>
    <w:rsid w:val="00DD6C06"/>
    <w:rsid w:val="00DD6DDD"/>
    <w:rsid w:val="00DD6E2B"/>
    <w:rsid w:val="00DD7008"/>
    <w:rsid w:val="00DD71AC"/>
    <w:rsid w:val="00DE06A8"/>
    <w:rsid w:val="00DE0A3A"/>
    <w:rsid w:val="00DE0D3B"/>
    <w:rsid w:val="00DE1142"/>
    <w:rsid w:val="00DE1972"/>
    <w:rsid w:val="00DE1E11"/>
    <w:rsid w:val="00DE2496"/>
    <w:rsid w:val="00DE26BC"/>
    <w:rsid w:val="00DE3E4E"/>
    <w:rsid w:val="00DE3E9B"/>
    <w:rsid w:val="00DE46FB"/>
    <w:rsid w:val="00DE484E"/>
    <w:rsid w:val="00DE4C4B"/>
    <w:rsid w:val="00DE636E"/>
    <w:rsid w:val="00DE7099"/>
    <w:rsid w:val="00DF083A"/>
    <w:rsid w:val="00DF0FAA"/>
    <w:rsid w:val="00DF156B"/>
    <w:rsid w:val="00DF19AA"/>
    <w:rsid w:val="00DF22FC"/>
    <w:rsid w:val="00DF341B"/>
    <w:rsid w:val="00DF39E9"/>
    <w:rsid w:val="00DF3FAB"/>
    <w:rsid w:val="00DF431B"/>
    <w:rsid w:val="00DF4708"/>
    <w:rsid w:val="00DF48F5"/>
    <w:rsid w:val="00DF4968"/>
    <w:rsid w:val="00DF5E9E"/>
    <w:rsid w:val="00DF67FE"/>
    <w:rsid w:val="00DF74D9"/>
    <w:rsid w:val="00E005E0"/>
    <w:rsid w:val="00E01831"/>
    <w:rsid w:val="00E01B33"/>
    <w:rsid w:val="00E02E57"/>
    <w:rsid w:val="00E0360B"/>
    <w:rsid w:val="00E03A96"/>
    <w:rsid w:val="00E054DB"/>
    <w:rsid w:val="00E05B8D"/>
    <w:rsid w:val="00E05D56"/>
    <w:rsid w:val="00E079B8"/>
    <w:rsid w:val="00E07AE1"/>
    <w:rsid w:val="00E10490"/>
    <w:rsid w:val="00E105A9"/>
    <w:rsid w:val="00E1126D"/>
    <w:rsid w:val="00E12517"/>
    <w:rsid w:val="00E12798"/>
    <w:rsid w:val="00E12CD2"/>
    <w:rsid w:val="00E13209"/>
    <w:rsid w:val="00E13B5C"/>
    <w:rsid w:val="00E1420E"/>
    <w:rsid w:val="00E1466A"/>
    <w:rsid w:val="00E149E9"/>
    <w:rsid w:val="00E149EC"/>
    <w:rsid w:val="00E15056"/>
    <w:rsid w:val="00E15889"/>
    <w:rsid w:val="00E15DB1"/>
    <w:rsid w:val="00E15F55"/>
    <w:rsid w:val="00E16364"/>
    <w:rsid w:val="00E17219"/>
    <w:rsid w:val="00E17552"/>
    <w:rsid w:val="00E178EC"/>
    <w:rsid w:val="00E17FA4"/>
    <w:rsid w:val="00E2094D"/>
    <w:rsid w:val="00E21B03"/>
    <w:rsid w:val="00E22445"/>
    <w:rsid w:val="00E224B9"/>
    <w:rsid w:val="00E2316A"/>
    <w:rsid w:val="00E2338C"/>
    <w:rsid w:val="00E23CE7"/>
    <w:rsid w:val="00E23F47"/>
    <w:rsid w:val="00E2450B"/>
    <w:rsid w:val="00E256F2"/>
    <w:rsid w:val="00E25B11"/>
    <w:rsid w:val="00E25BDB"/>
    <w:rsid w:val="00E260A3"/>
    <w:rsid w:val="00E26D15"/>
    <w:rsid w:val="00E2729D"/>
    <w:rsid w:val="00E27344"/>
    <w:rsid w:val="00E27B39"/>
    <w:rsid w:val="00E27B7F"/>
    <w:rsid w:val="00E27DDB"/>
    <w:rsid w:val="00E313AC"/>
    <w:rsid w:val="00E31702"/>
    <w:rsid w:val="00E31B75"/>
    <w:rsid w:val="00E31CD3"/>
    <w:rsid w:val="00E32121"/>
    <w:rsid w:val="00E3242E"/>
    <w:rsid w:val="00E3298E"/>
    <w:rsid w:val="00E32BAD"/>
    <w:rsid w:val="00E32F39"/>
    <w:rsid w:val="00E330C9"/>
    <w:rsid w:val="00E3330E"/>
    <w:rsid w:val="00E3351F"/>
    <w:rsid w:val="00E3366E"/>
    <w:rsid w:val="00E33992"/>
    <w:rsid w:val="00E33AD2"/>
    <w:rsid w:val="00E33F15"/>
    <w:rsid w:val="00E34140"/>
    <w:rsid w:val="00E34877"/>
    <w:rsid w:val="00E35076"/>
    <w:rsid w:val="00E3607A"/>
    <w:rsid w:val="00E36557"/>
    <w:rsid w:val="00E366A2"/>
    <w:rsid w:val="00E36941"/>
    <w:rsid w:val="00E4073F"/>
    <w:rsid w:val="00E409A0"/>
    <w:rsid w:val="00E40B1D"/>
    <w:rsid w:val="00E40DAE"/>
    <w:rsid w:val="00E40F62"/>
    <w:rsid w:val="00E410C2"/>
    <w:rsid w:val="00E42812"/>
    <w:rsid w:val="00E42E30"/>
    <w:rsid w:val="00E431B1"/>
    <w:rsid w:val="00E431B3"/>
    <w:rsid w:val="00E43249"/>
    <w:rsid w:val="00E436A2"/>
    <w:rsid w:val="00E43E2E"/>
    <w:rsid w:val="00E44708"/>
    <w:rsid w:val="00E458D8"/>
    <w:rsid w:val="00E45D8B"/>
    <w:rsid w:val="00E46888"/>
    <w:rsid w:val="00E50615"/>
    <w:rsid w:val="00E518A7"/>
    <w:rsid w:val="00E5234D"/>
    <w:rsid w:val="00E52966"/>
    <w:rsid w:val="00E529F5"/>
    <w:rsid w:val="00E52C60"/>
    <w:rsid w:val="00E5356B"/>
    <w:rsid w:val="00E53E00"/>
    <w:rsid w:val="00E53ECA"/>
    <w:rsid w:val="00E54221"/>
    <w:rsid w:val="00E5442D"/>
    <w:rsid w:val="00E548F2"/>
    <w:rsid w:val="00E54DB5"/>
    <w:rsid w:val="00E5594B"/>
    <w:rsid w:val="00E5650A"/>
    <w:rsid w:val="00E56C1D"/>
    <w:rsid w:val="00E574EC"/>
    <w:rsid w:val="00E57BB0"/>
    <w:rsid w:val="00E57F9C"/>
    <w:rsid w:val="00E602CB"/>
    <w:rsid w:val="00E60B53"/>
    <w:rsid w:val="00E615F9"/>
    <w:rsid w:val="00E6193C"/>
    <w:rsid w:val="00E621B5"/>
    <w:rsid w:val="00E62422"/>
    <w:rsid w:val="00E62442"/>
    <w:rsid w:val="00E62BC2"/>
    <w:rsid w:val="00E631DF"/>
    <w:rsid w:val="00E633A8"/>
    <w:rsid w:val="00E63DAA"/>
    <w:rsid w:val="00E646F7"/>
    <w:rsid w:val="00E66C05"/>
    <w:rsid w:val="00E67483"/>
    <w:rsid w:val="00E67770"/>
    <w:rsid w:val="00E67D98"/>
    <w:rsid w:val="00E67E7B"/>
    <w:rsid w:val="00E70048"/>
    <w:rsid w:val="00E703D2"/>
    <w:rsid w:val="00E70554"/>
    <w:rsid w:val="00E70645"/>
    <w:rsid w:val="00E706AE"/>
    <w:rsid w:val="00E714A0"/>
    <w:rsid w:val="00E71787"/>
    <w:rsid w:val="00E7221D"/>
    <w:rsid w:val="00E7270A"/>
    <w:rsid w:val="00E727C1"/>
    <w:rsid w:val="00E7297F"/>
    <w:rsid w:val="00E729EB"/>
    <w:rsid w:val="00E72C6C"/>
    <w:rsid w:val="00E7317F"/>
    <w:rsid w:val="00E73C91"/>
    <w:rsid w:val="00E741A4"/>
    <w:rsid w:val="00E74447"/>
    <w:rsid w:val="00E747BD"/>
    <w:rsid w:val="00E74854"/>
    <w:rsid w:val="00E75A3C"/>
    <w:rsid w:val="00E76106"/>
    <w:rsid w:val="00E7615F"/>
    <w:rsid w:val="00E76298"/>
    <w:rsid w:val="00E76AE0"/>
    <w:rsid w:val="00E80635"/>
    <w:rsid w:val="00E81A87"/>
    <w:rsid w:val="00E81B15"/>
    <w:rsid w:val="00E82376"/>
    <w:rsid w:val="00E8250D"/>
    <w:rsid w:val="00E82B1E"/>
    <w:rsid w:val="00E83627"/>
    <w:rsid w:val="00E83948"/>
    <w:rsid w:val="00E83CF9"/>
    <w:rsid w:val="00E840AB"/>
    <w:rsid w:val="00E84B14"/>
    <w:rsid w:val="00E867FB"/>
    <w:rsid w:val="00E8698B"/>
    <w:rsid w:val="00E86A5D"/>
    <w:rsid w:val="00E87042"/>
    <w:rsid w:val="00E872F3"/>
    <w:rsid w:val="00E8751E"/>
    <w:rsid w:val="00E878C3"/>
    <w:rsid w:val="00E87B37"/>
    <w:rsid w:val="00E9172E"/>
    <w:rsid w:val="00E92807"/>
    <w:rsid w:val="00E92974"/>
    <w:rsid w:val="00E92AE8"/>
    <w:rsid w:val="00E92F98"/>
    <w:rsid w:val="00E9331D"/>
    <w:rsid w:val="00E94973"/>
    <w:rsid w:val="00E951B3"/>
    <w:rsid w:val="00E95322"/>
    <w:rsid w:val="00E95490"/>
    <w:rsid w:val="00E955BD"/>
    <w:rsid w:val="00E959BD"/>
    <w:rsid w:val="00E961E4"/>
    <w:rsid w:val="00E968C1"/>
    <w:rsid w:val="00E96AA8"/>
    <w:rsid w:val="00E971F6"/>
    <w:rsid w:val="00E97533"/>
    <w:rsid w:val="00E97EA8"/>
    <w:rsid w:val="00EA0556"/>
    <w:rsid w:val="00EA0E54"/>
    <w:rsid w:val="00EA1769"/>
    <w:rsid w:val="00EA1DA9"/>
    <w:rsid w:val="00EA234F"/>
    <w:rsid w:val="00EA26FF"/>
    <w:rsid w:val="00EA2844"/>
    <w:rsid w:val="00EA3671"/>
    <w:rsid w:val="00EA43F6"/>
    <w:rsid w:val="00EA544F"/>
    <w:rsid w:val="00EA54F4"/>
    <w:rsid w:val="00EA55C7"/>
    <w:rsid w:val="00EA57D7"/>
    <w:rsid w:val="00EA76F7"/>
    <w:rsid w:val="00EB0DEA"/>
    <w:rsid w:val="00EB151A"/>
    <w:rsid w:val="00EB1696"/>
    <w:rsid w:val="00EB1F63"/>
    <w:rsid w:val="00EB237A"/>
    <w:rsid w:val="00EB27BC"/>
    <w:rsid w:val="00EB3113"/>
    <w:rsid w:val="00EB3B29"/>
    <w:rsid w:val="00EB45AB"/>
    <w:rsid w:val="00EB5BCE"/>
    <w:rsid w:val="00EB68FF"/>
    <w:rsid w:val="00EB6A32"/>
    <w:rsid w:val="00EB6CDC"/>
    <w:rsid w:val="00EB74DE"/>
    <w:rsid w:val="00EB75F4"/>
    <w:rsid w:val="00EB7CD1"/>
    <w:rsid w:val="00EC1322"/>
    <w:rsid w:val="00EC162A"/>
    <w:rsid w:val="00EC1695"/>
    <w:rsid w:val="00EC276E"/>
    <w:rsid w:val="00EC328B"/>
    <w:rsid w:val="00EC33A0"/>
    <w:rsid w:val="00EC4723"/>
    <w:rsid w:val="00EC4754"/>
    <w:rsid w:val="00EC47B9"/>
    <w:rsid w:val="00EC4836"/>
    <w:rsid w:val="00EC5088"/>
    <w:rsid w:val="00EC517D"/>
    <w:rsid w:val="00EC5273"/>
    <w:rsid w:val="00EC6285"/>
    <w:rsid w:val="00EC6456"/>
    <w:rsid w:val="00EC662D"/>
    <w:rsid w:val="00EC7D58"/>
    <w:rsid w:val="00ED0616"/>
    <w:rsid w:val="00ED0D2B"/>
    <w:rsid w:val="00ED0DC5"/>
    <w:rsid w:val="00ED1BCE"/>
    <w:rsid w:val="00ED304D"/>
    <w:rsid w:val="00ED3B07"/>
    <w:rsid w:val="00ED3D21"/>
    <w:rsid w:val="00ED4033"/>
    <w:rsid w:val="00ED48C1"/>
    <w:rsid w:val="00ED59CA"/>
    <w:rsid w:val="00ED5E38"/>
    <w:rsid w:val="00ED7FE2"/>
    <w:rsid w:val="00EE0C2D"/>
    <w:rsid w:val="00EE0F5E"/>
    <w:rsid w:val="00EE15FD"/>
    <w:rsid w:val="00EE170C"/>
    <w:rsid w:val="00EE1E50"/>
    <w:rsid w:val="00EE32AC"/>
    <w:rsid w:val="00EE37A9"/>
    <w:rsid w:val="00EE4490"/>
    <w:rsid w:val="00EE46B8"/>
    <w:rsid w:val="00EE4EEF"/>
    <w:rsid w:val="00EE530A"/>
    <w:rsid w:val="00EE5638"/>
    <w:rsid w:val="00EE5BFF"/>
    <w:rsid w:val="00EE5EB0"/>
    <w:rsid w:val="00EE5FB3"/>
    <w:rsid w:val="00EE639B"/>
    <w:rsid w:val="00EE6832"/>
    <w:rsid w:val="00EE6DA2"/>
    <w:rsid w:val="00EF011A"/>
    <w:rsid w:val="00EF08D5"/>
    <w:rsid w:val="00EF1755"/>
    <w:rsid w:val="00EF1E59"/>
    <w:rsid w:val="00EF1F1D"/>
    <w:rsid w:val="00EF20F4"/>
    <w:rsid w:val="00EF25BA"/>
    <w:rsid w:val="00EF2D55"/>
    <w:rsid w:val="00EF346E"/>
    <w:rsid w:val="00EF3D58"/>
    <w:rsid w:val="00EF4E67"/>
    <w:rsid w:val="00EF64FC"/>
    <w:rsid w:val="00EF6C58"/>
    <w:rsid w:val="00EF7063"/>
    <w:rsid w:val="00EF7084"/>
    <w:rsid w:val="00EF7479"/>
    <w:rsid w:val="00EF7855"/>
    <w:rsid w:val="00F00308"/>
    <w:rsid w:val="00F00677"/>
    <w:rsid w:val="00F01D58"/>
    <w:rsid w:val="00F01ED8"/>
    <w:rsid w:val="00F023E1"/>
    <w:rsid w:val="00F02A55"/>
    <w:rsid w:val="00F02D31"/>
    <w:rsid w:val="00F02D85"/>
    <w:rsid w:val="00F03547"/>
    <w:rsid w:val="00F03ACA"/>
    <w:rsid w:val="00F03B39"/>
    <w:rsid w:val="00F04052"/>
    <w:rsid w:val="00F04FED"/>
    <w:rsid w:val="00F05663"/>
    <w:rsid w:val="00F0582E"/>
    <w:rsid w:val="00F05E0C"/>
    <w:rsid w:val="00F06673"/>
    <w:rsid w:val="00F06961"/>
    <w:rsid w:val="00F06F8E"/>
    <w:rsid w:val="00F1066F"/>
    <w:rsid w:val="00F10F56"/>
    <w:rsid w:val="00F11617"/>
    <w:rsid w:val="00F116C6"/>
    <w:rsid w:val="00F12588"/>
    <w:rsid w:val="00F13BEE"/>
    <w:rsid w:val="00F13E0A"/>
    <w:rsid w:val="00F1415F"/>
    <w:rsid w:val="00F14201"/>
    <w:rsid w:val="00F14AFC"/>
    <w:rsid w:val="00F14E83"/>
    <w:rsid w:val="00F1508C"/>
    <w:rsid w:val="00F1578E"/>
    <w:rsid w:val="00F1604F"/>
    <w:rsid w:val="00F165E5"/>
    <w:rsid w:val="00F16F23"/>
    <w:rsid w:val="00F173F3"/>
    <w:rsid w:val="00F17450"/>
    <w:rsid w:val="00F17FAE"/>
    <w:rsid w:val="00F20763"/>
    <w:rsid w:val="00F20EB4"/>
    <w:rsid w:val="00F227C8"/>
    <w:rsid w:val="00F2296C"/>
    <w:rsid w:val="00F23C41"/>
    <w:rsid w:val="00F23C65"/>
    <w:rsid w:val="00F23CB7"/>
    <w:rsid w:val="00F23F55"/>
    <w:rsid w:val="00F257B5"/>
    <w:rsid w:val="00F2720E"/>
    <w:rsid w:val="00F2728E"/>
    <w:rsid w:val="00F2776D"/>
    <w:rsid w:val="00F3036F"/>
    <w:rsid w:val="00F30CD8"/>
    <w:rsid w:val="00F31154"/>
    <w:rsid w:val="00F326D7"/>
    <w:rsid w:val="00F32721"/>
    <w:rsid w:val="00F32B21"/>
    <w:rsid w:val="00F32C2A"/>
    <w:rsid w:val="00F3380E"/>
    <w:rsid w:val="00F346E6"/>
    <w:rsid w:val="00F347D6"/>
    <w:rsid w:val="00F34FAA"/>
    <w:rsid w:val="00F371B1"/>
    <w:rsid w:val="00F37D56"/>
    <w:rsid w:val="00F40864"/>
    <w:rsid w:val="00F40906"/>
    <w:rsid w:val="00F4187C"/>
    <w:rsid w:val="00F4199A"/>
    <w:rsid w:val="00F4257C"/>
    <w:rsid w:val="00F438EA"/>
    <w:rsid w:val="00F444F8"/>
    <w:rsid w:val="00F44611"/>
    <w:rsid w:val="00F44895"/>
    <w:rsid w:val="00F44EEB"/>
    <w:rsid w:val="00F4559B"/>
    <w:rsid w:val="00F45DFF"/>
    <w:rsid w:val="00F46757"/>
    <w:rsid w:val="00F46C0F"/>
    <w:rsid w:val="00F50585"/>
    <w:rsid w:val="00F50AFF"/>
    <w:rsid w:val="00F50D32"/>
    <w:rsid w:val="00F516E3"/>
    <w:rsid w:val="00F538DA"/>
    <w:rsid w:val="00F54832"/>
    <w:rsid w:val="00F555DF"/>
    <w:rsid w:val="00F56678"/>
    <w:rsid w:val="00F56E0B"/>
    <w:rsid w:val="00F57885"/>
    <w:rsid w:val="00F60B21"/>
    <w:rsid w:val="00F60D78"/>
    <w:rsid w:val="00F617C6"/>
    <w:rsid w:val="00F61CA8"/>
    <w:rsid w:val="00F61EB6"/>
    <w:rsid w:val="00F629B3"/>
    <w:rsid w:val="00F62CC6"/>
    <w:rsid w:val="00F63229"/>
    <w:rsid w:val="00F642DD"/>
    <w:rsid w:val="00F64962"/>
    <w:rsid w:val="00F64B51"/>
    <w:rsid w:val="00F64E6E"/>
    <w:rsid w:val="00F651CB"/>
    <w:rsid w:val="00F65899"/>
    <w:rsid w:val="00F66144"/>
    <w:rsid w:val="00F66986"/>
    <w:rsid w:val="00F6713F"/>
    <w:rsid w:val="00F673E5"/>
    <w:rsid w:val="00F6751E"/>
    <w:rsid w:val="00F67C08"/>
    <w:rsid w:val="00F70588"/>
    <w:rsid w:val="00F7098B"/>
    <w:rsid w:val="00F719C6"/>
    <w:rsid w:val="00F719D6"/>
    <w:rsid w:val="00F721D3"/>
    <w:rsid w:val="00F7234A"/>
    <w:rsid w:val="00F74824"/>
    <w:rsid w:val="00F74B51"/>
    <w:rsid w:val="00F75A7C"/>
    <w:rsid w:val="00F765B0"/>
    <w:rsid w:val="00F7728C"/>
    <w:rsid w:val="00F77465"/>
    <w:rsid w:val="00F77F00"/>
    <w:rsid w:val="00F81362"/>
    <w:rsid w:val="00F825A6"/>
    <w:rsid w:val="00F828B0"/>
    <w:rsid w:val="00F82AA9"/>
    <w:rsid w:val="00F833D4"/>
    <w:rsid w:val="00F838C7"/>
    <w:rsid w:val="00F83E1F"/>
    <w:rsid w:val="00F84C3B"/>
    <w:rsid w:val="00F85257"/>
    <w:rsid w:val="00F854EE"/>
    <w:rsid w:val="00F85676"/>
    <w:rsid w:val="00F85FEF"/>
    <w:rsid w:val="00F8652F"/>
    <w:rsid w:val="00F86723"/>
    <w:rsid w:val="00F86A1E"/>
    <w:rsid w:val="00F87754"/>
    <w:rsid w:val="00F87E43"/>
    <w:rsid w:val="00F87E7C"/>
    <w:rsid w:val="00F907DD"/>
    <w:rsid w:val="00F91353"/>
    <w:rsid w:val="00F91367"/>
    <w:rsid w:val="00F9269F"/>
    <w:rsid w:val="00F92760"/>
    <w:rsid w:val="00F93EFA"/>
    <w:rsid w:val="00F94799"/>
    <w:rsid w:val="00F9488A"/>
    <w:rsid w:val="00F95629"/>
    <w:rsid w:val="00F95673"/>
    <w:rsid w:val="00F956A8"/>
    <w:rsid w:val="00F959F6"/>
    <w:rsid w:val="00F9684A"/>
    <w:rsid w:val="00FA0825"/>
    <w:rsid w:val="00FA08AD"/>
    <w:rsid w:val="00FA12D5"/>
    <w:rsid w:val="00FA1324"/>
    <w:rsid w:val="00FA145A"/>
    <w:rsid w:val="00FA1573"/>
    <w:rsid w:val="00FA2762"/>
    <w:rsid w:val="00FA2B9C"/>
    <w:rsid w:val="00FA2D77"/>
    <w:rsid w:val="00FA2F27"/>
    <w:rsid w:val="00FA3416"/>
    <w:rsid w:val="00FA4150"/>
    <w:rsid w:val="00FA4693"/>
    <w:rsid w:val="00FA5758"/>
    <w:rsid w:val="00FA5766"/>
    <w:rsid w:val="00FA7407"/>
    <w:rsid w:val="00FA7D7D"/>
    <w:rsid w:val="00FA7F89"/>
    <w:rsid w:val="00FB0AC3"/>
    <w:rsid w:val="00FB1023"/>
    <w:rsid w:val="00FB19B1"/>
    <w:rsid w:val="00FB2759"/>
    <w:rsid w:val="00FB2C56"/>
    <w:rsid w:val="00FB2CC2"/>
    <w:rsid w:val="00FB3127"/>
    <w:rsid w:val="00FB3C00"/>
    <w:rsid w:val="00FB3F26"/>
    <w:rsid w:val="00FB4DFA"/>
    <w:rsid w:val="00FB5670"/>
    <w:rsid w:val="00FB5EB3"/>
    <w:rsid w:val="00FB5EE5"/>
    <w:rsid w:val="00FB610B"/>
    <w:rsid w:val="00FB620D"/>
    <w:rsid w:val="00FB6C82"/>
    <w:rsid w:val="00FB6F67"/>
    <w:rsid w:val="00FB7044"/>
    <w:rsid w:val="00FC059D"/>
    <w:rsid w:val="00FC0AD7"/>
    <w:rsid w:val="00FC10DE"/>
    <w:rsid w:val="00FC13BE"/>
    <w:rsid w:val="00FC2D5F"/>
    <w:rsid w:val="00FC330D"/>
    <w:rsid w:val="00FC4E06"/>
    <w:rsid w:val="00FC5603"/>
    <w:rsid w:val="00FC571B"/>
    <w:rsid w:val="00FC6B99"/>
    <w:rsid w:val="00FC7823"/>
    <w:rsid w:val="00FD01EF"/>
    <w:rsid w:val="00FD0B28"/>
    <w:rsid w:val="00FD17BA"/>
    <w:rsid w:val="00FD1F4A"/>
    <w:rsid w:val="00FD254D"/>
    <w:rsid w:val="00FD29AE"/>
    <w:rsid w:val="00FD2BE0"/>
    <w:rsid w:val="00FD2C9D"/>
    <w:rsid w:val="00FD2F74"/>
    <w:rsid w:val="00FD2F8B"/>
    <w:rsid w:val="00FD347B"/>
    <w:rsid w:val="00FD3B94"/>
    <w:rsid w:val="00FD40DD"/>
    <w:rsid w:val="00FD43B3"/>
    <w:rsid w:val="00FD44F0"/>
    <w:rsid w:val="00FD5B5F"/>
    <w:rsid w:val="00FD5C71"/>
    <w:rsid w:val="00FD6295"/>
    <w:rsid w:val="00FD7026"/>
    <w:rsid w:val="00FD7736"/>
    <w:rsid w:val="00FD7884"/>
    <w:rsid w:val="00FD79AF"/>
    <w:rsid w:val="00FE0AB6"/>
    <w:rsid w:val="00FE0DA3"/>
    <w:rsid w:val="00FE10AA"/>
    <w:rsid w:val="00FE1118"/>
    <w:rsid w:val="00FE15AA"/>
    <w:rsid w:val="00FE30CB"/>
    <w:rsid w:val="00FE3878"/>
    <w:rsid w:val="00FE38CC"/>
    <w:rsid w:val="00FE3E2D"/>
    <w:rsid w:val="00FE40E5"/>
    <w:rsid w:val="00FE441B"/>
    <w:rsid w:val="00FE4739"/>
    <w:rsid w:val="00FE489D"/>
    <w:rsid w:val="00FE4A69"/>
    <w:rsid w:val="00FE4DB2"/>
    <w:rsid w:val="00FE681D"/>
    <w:rsid w:val="00FE74DF"/>
    <w:rsid w:val="00FE7B10"/>
    <w:rsid w:val="00FE7B7B"/>
    <w:rsid w:val="00FF0010"/>
    <w:rsid w:val="00FF091B"/>
    <w:rsid w:val="00FF0DBD"/>
    <w:rsid w:val="00FF0E70"/>
    <w:rsid w:val="00FF0F18"/>
    <w:rsid w:val="00FF2100"/>
    <w:rsid w:val="00FF3A07"/>
    <w:rsid w:val="00FF3E8A"/>
    <w:rsid w:val="00FF3FEA"/>
    <w:rsid w:val="00FF4C68"/>
    <w:rsid w:val="00FF6C80"/>
    <w:rsid w:val="00FF6E76"/>
    <w:rsid w:val="00FF6F1B"/>
    <w:rsid w:val="00FF766E"/>
    <w:rsid w:val="011BB735"/>
    <w:rsid w:val="01AB1796"/>
    <w:rsid w:val="01CC3F84"/>
    <w:rsid w:val="022319A3"/>
    <w:rsid w:val="02808D09"/>
    <w:rsid w:val="02B822EC"/>
    <w:rsid w:val="033F28BB"/>
    <w:rsid w:val="042D4A51"/>
    <w:rsid w:val="044562A0"/>
    <w:rsid w:val="044A6D0A"/>
    <w:rsid w:val="0473356D"/>
    <w:rsid w:val="048A2903"/>
    <w:rsid w:val="0496300A"/>
    <w:rsid w:val="04E3731F"/>
    <w:rsid w:val="04EACFA2"/>
    <w:rsid w:val="053F9B51"/>
    <w:rsid w:val="05A700BB"/>
    <w:rsid w:val="05AE73F0"/>
    <w:rsid w:val="06153C86"/>
    <w:rsid w:val="067B98F7"/>
    <w:rsid w:val="06889349"/>
    <w:rsid w:val="071FCBF0"/>
    <w:rsid w:val="074DE6DB"/>
    <w:rsid w:val="078F43E7"/>
    <w:rsid w:val="079CC5E8"/>
    <w:rsid w:val="07F912FB"/>
    <w:rsid w:val="0813D29B"/>
    <w:rsid w:val="0819461E"/>
    <w:rsid w:val="083DF1ED"/>
    <w:rsid w:val="084926F9"/>
    <w:rsid w:val="08CF4415"/>
    <w:rsid w:val="091947B9"/>
    <w:rsid w:val="097C55AF"/>
    <w:rsid w:val="09D3E639"/>
    <w:rsid w:val="09D48AD1"/>
    <w:rsid w:val="0A2B2DDF"/>
    <w:rsid w:val="0A621978"/>
    <w:rsid w:val="0A7DB24E"/>
    <w:rsid w:val="0B70318C"/>
    <w:rsid w:val="0BB1F6AD"/>
    <w:rsid w:val="0BB45EF4"/>
    <w:rsid w:val="0BC00BD4"/>
    <w:rsid w:val="0CEC1616"/>
    <w:rsid w:val="0D633583"/>
    <w:rsid w:val="0D6A573D"/>
    <w:rsid w:val="0DB90E64"/>
    <w:rsid w:val="0DD694F2"/>
    <w:rsid w:val="0DE4A931"/>
    <w:rsid w:val="0E6001B8"/>
    <w:rsid w:val="0E62B9F8"/>
    <w:rsid w:val="0E65F893"/>
    <w:rsid w:val="0E6E3D61"/>
    <w:rsid w:val="0E87895F"/>
    <w:rsid w:val="0E98DEA4"/>
    <w:rsid w:val="0E9E749A"/>
    <w:rsid w:val="0EEECF51"/>
    <w:rsid w:val="0F02C2C4"/>
    <w:rsid w:val="0F2E086D"/>
    <w:rsid w:val="0F6389AE"/>
    <w:rsid w:val="0F76BB9E"/>
    <w:rsid w:val="0F7D759B"/>
    <w:rsid w:val="0FBB398B"/>
    <w:rsid w:val="0FD41934"/>
    <w:rsid w:val="10148FAC"/>
    <w:rsid w:val="107104E6"/>
    <w:rsid w:val="10865A97"/>
    <w:rsid w:val="109222AD"/>
    <w:rsid w:val="10A3AD1D"/>
    <w:rsid w:val="11696EDD"/>
    <w:rsid w:val="1202EEA0"/>
    <w:rsid w:val="120EE6CF"/>
    <w:rsid w:val="12DFA210"/>
    <w:rsid w:val="1311E46E"/>
    <w:rsid w:val="1374A588"/>
    <w:rsid w:val="13922206"/>
    <w:rsid w:val="13EFFF45"/>
    <w:rsid w:val="14A4F793"/>
    <w:rsid w:val="14C21A09"/>
    <w:rsid w:val="15244684"/>
    <w:rsid w:val="15306E20"/>
    <w:rsid w:val="157D85A5"/>
    <w:rsid w:val="15B6645F"/>
    <w:rsid w:val="1606E85A"/>
    <w:rsid w:val="160C90DC"/>
    <w:rsid w:val="16726F14"/>
    <w:rsid w:val="16FA1BF7"/>
    <w:rsid w:val="179F01CE"/>
    <w:rsid w:val="17F70DB6"/>
    <w:rsid w:val="1801C83B"/>
    <w:rsid w:val="184FCB9C"/>
    <w:rsid w:val="189300B4"/>
    <w:rsid w:val="18D160C8"/>
    <w:rsid w:val="190E6662"/>
    <w:rsid w:val="19416F8F"/>
    <w:rsid w:val="1947D0D0"/>
    <w:rsid w:val="1961D94F"/>
    <w:rsid w:val="19645DE8"/>
    <w:rsid w:val="19AFDF72"/>
    <w:rsid w:val="1A5FF775"/>
    <w:rsid w:val="1AA9B44C"/>
    <w:rsid w:val="1AE264DC"/>
    <w:rsid w:val="1B18BF07"/>
    <w:rsid w:val="1B2B48F5"/>
    <w:rsid w:val="1B7D429E"/>
    <w:rsid w:val="1B840CEE"/>
    <w:rsid w:val="1B9FECC4"/>
    <w:rsid w:val="1C6A012C"/>
    <w:rsid w:val="1CD2A3A7"/>
    <w:rsid w:val="1D22D59C"/>
    <w:rsid w:val="1D58E58C"/>
    <w:rsid w:val="1D647E5E"/>
    <w:rsid w:val="1D8907B2"/>
    <w:rsid w:val="1E03B322"/>
    <w:rsid w:val="1ED3474D"/>
    <w:rsid w:val="1ED5B945"/>
    <w:rsid w:val="1F836F49"/>
    <w:rsid w:val="1F9F3735"/>
    <w:rsid w:val="1FBB9D87"/>
    <w:rsid w:val="1FC52574"/>
    <w:rsid w:val="1FE29374"/>
    <w:rsid w:val="1FEBEA67"/>
    <w:rsid w:val="20709B7A"/>
    <w:rsid w:val="20752631"/>
    <w:rsid w:val="20DE84DD"/>
    <w:rsid w:val="20E1CA62"/>
    <w:rsid w:val="21553CDC"/>
    <w:rsid w:val="215C342C"/>
    <w:rsid w:val="21CFCD3A"/>
    <w:rsid w:val="21E7BBF7"/>
    <w:rsid w:val="22368511"/>
    <w:rsid w:val="2313402C"/>
    <w:rsid w:val="23A9DD64"/>
    <w:rsid w:val="23D09625"/>
    <w:rsid w:val="24444CC4"/>
    <w:rsid w:val="24860CB6"/>
    <w:rsid w:val="24EB82E2"/>
    <w:rsid w:val="250C4764"/>
    <w:rsid w:val="2511B1BE"/>
    <w:rsid w:val="252676D0"/>
    <w:rsid w:val="25A5D6C8"/>
    <w:rsid w:val="25E1B164"/>
    <w:rsid w:val="260425F9"/>
    <w:rsid w:val="2604CA6A"/>
    <w:rsid w:val="26195DD9"/>
    <w:rsid w:val="264BFA28"/>
    <w:rsid w:val="268B8A65"/>
    <w:rsid w:val="27646305"/>
    <w:rsid w:val="27CE1EA0"/>
    <w:rsid w:val="27FDDB8D"/>
    <w:rsid w:val="28559AD4"/>
    <w:rsid w:val="28638A26"/>
    <w:rsid w:val="28757046"/>
    <w:rsid w:val="29CC6071"/>
    <w:rsid w:val="29E7B0DB"/>
    <w:rsid w:val="2A0EF088"/>
    <w:rsid w:val="2A6F2310"/>
    <w:rsid w:val="2A7BC2A6"/>
    <w:rsid w:val="2AD37FAD"/>
    <w:rsid w:val="2BCF024F"/>
    <w:rsid w:val="2BFB9506"/>
    <w:rsid w:val="2C1D4633"/>
    <w:rsid w:val="2C4E4645"/>
    <w:rsid w:val="2CAC0DF1"/>
    <w:rsid w:val="2CD1E1E8"/>
    <w:rsid w:val="2DD308E9"/>
    <w:rsid w:val="2DE765D3"/>
    <w:rsid w:val="2E14F283"/>
    <w:rsid w:val="2E499834"/>
    <w:rsid w:val="2E4DC64C"/>
    <w:rsid w:val="2E52FAF7"/>
    <w:rsid w:val="2E59E13B"/>
    <w:rsid w:val="3004A99D"/>
    <w:rsid w:val="306C19C7"/>
    <w:rsid w:val="3136AB69"/>
    <w:rsid w:val="31563AE1"/>
    <w:rsid w:val="31613592"/>
    <w:rsid w:val="317A5879"/>
    <w:rsid w:val="319F4224"/>
    <w:rsid w:val="326A36F7"/>
    <w:rsid w:val="328008F2"/>
    <w:rsid w:val="32F0D033"/>
    <w:rsid w:val="33387FEA"/>
    <w:rsid w:val="33531FB3"/>
    <w:rsid w:val="345D8F3A"/>
    <w:rsid w:val="34A34F8E"/>
    <w:rsid w:val="350A9A68"/>
    <w:rsid w:val="35170F03"/>
    <w:rsid w:val="35501321"/>
    <w:rsid w:val="35A2BC95"/>
    <w:rsid w:val="36126F43"/>
    <w:rsid w:val="362298C5"/>
    <w:rsid w:val="364226A4"/>
    <w:rsid w:val="36AF5EB7"/>
    <w:rsid w:val="36B1CEBF"/>
    <w:rsid w:val="36B30C96"/>
    <w:rsid w:val="36CCB906"/>
    <w:rsid w:val="36D05E58"/>
    <w:rsid w:val="36EE1A8A"/>
    <w:rsid w:val="3719C860"/>
    <w:rsid w:val="37495803"/>
    <w:rsid w:val="3765A713"/>
    <w:rsid w:val="3866753D"/>
    <w:rsid w:val="38F4B20D"/>
    <w:rsid w:val="3912A4A7"/>
    <w:rsid w:val="3A37AAF2"/>
    <w:rsid w:val="3A3A12AE"/>
    <w:rsid w:val="3A4E1BFE"/>
    <w:rsid w:val="3A98E474"/>
    <w:rsid w:val="3AB4C2C9"/>
    <w:rsid w:val="3AD75A2E"/>
    <w:rsid w:val="3B7376F3"/>
    <w:rsid w:val="3B914BF9"/>
    <w:rsid w:val="3BA1BE10"/>
    <w:rsid w:val="3BADB1A8"/>
    <w:rsid w:val="3BB83387"/>
    <w:rsid w:val="3BD104FA"/>
    <w:rsid w:val="3BD5A78B"/>
    <w:rsid w:val="3CADA785"/>
    <w:rsid w:val="3CC74505"/>
    <w:rsid w:val="3CD36461"/>
    <w:rsid w:val="3D12476D"/>
    <w:rsid w:val="3D180336"/>
    <w:rsid w:val="3D1F28DC"/>
    <w:rsid w:val="3D5195BF"/>
    <w:rsid w:val="3DF306B2"/>
    <w:rsid w:val="3E16CEDF"/>
    <w:rsid w:val="3E205C9F"/>
    <w:rsid w:val="3E378C56"/>
    <w:rsid w:val="3E94D389"/>
    <w:rsid w:val="3EE742B9"/>
    <w:rsid w:val="3F144CF1"/>
    <w:rsid w:val="3F619F4F"/>
    <w:rsid w:val="3F6EF880"/>
    <w:rsid w:val="3F7865EA"/>
    <w:rsid w:val="3FDF675F"/>
    <w:rsid w:val="3FF5F14F"/>
    <w:rsid w:val="4017CEE8"/>
    <w:rsid w:val="402B2219"/>
    <w:rsid w:val="4071BE2C"/>
    <w:rsid w:val="40C8785D"/>
    <w:rsid w:val="40CAACF8"/>
    <w:rsid w:val="40FBBD08"/>
    <w:rsid w:val="415583FD"/>
    <w:rsid w:val="4162D9BD"/>
    <w:rsid w:val="41B4B2E6"/>
    <w:rsid w:val="41F504FB"/>
    <w:rsid w:val="42233E6E"/>
    <w:rsid w:val="426BF848"/>
    <w:rsid w:val="42B58746"/>
    <w:rsid w:val="42CDFECA"/>
    <w:rsid w:val="42DD3508"/>
    <w:rsid w:val="42FE795A"/>
    <w:rsid w:val="430FB824"/>
    <w:rsid w:val="43264E33"/>
    <w:rsid w:val="43475DA6"/>
    <w:rsid w:val="4414815F"/>
    <w:rsid w:val="446CD187"/>
    <w:rsid w:val="448359A7"/>
    <w:rsid w:val="4492CF5F"/>
    <w:rsid w:val="44C22B0C"/>
    <w:rsid w:val="4509E9E7"/>
    <w:rsid w:val="458E9927"/>
    <w:rsid w:val="45B11907"/>
    <w:rsid w:val="462C8E2F"/>
    <w:rsid w:val="46954243"/>
    <w:rsid w:val="46B89140"/>
    <w:rsid w:val="46EEC95A"/>
    <w:rsid w:val="4714668D"/>
    <w:rsid w:val="471BD7DF"/>
    <w:rsid w:val="473ACEB5"/>
    <w:rsid w:val="4787CD66"/>
    <w:rsid w:val="4818E410"/>
    <w:rsid w:val="48617DF8"/>
    <w:rsid w:val="48A73BD9"/>
    <w:rsid w:val="48ED3B0D"/>
    <w:rsid w:val="48F4398F"/>
    <w:rsid w:val="49144310"/>
    <w:rsid w:val="4980243C"/>
    <w:rsid w:val="49D60F2D"/>
    <w:rsid w:val="4A10FF8B"/>
    <w:rsid w:val="4A15FBE1"/>
    <w:rsid w:val="4A326C2A"/>
    <w:rsid w:val="4AF32C9F"/>
    <w:rsid w:val="4B25B09A"/>
    <w:rsid w:val="4B51EADC"/>
    <w:rsid w:val="4B7B370C"/>
    <w:rsid w:val="4BD20638"/>
    <w:rsid w:val="4BDABF32"/>
    <w:rsid w:val="4BE7B42B"/>
    <w:rsid w:val="4C68D630"/>
    <w:rsid w:val="4C8C3DF4"/>
    <w:rsid w:val="4CA741B5"/>
    <w:rsid w:val="4CCD6D14"/>
    <w:rsid w:val="4CD4200C"/>
    <w:rsid w:val="4CF39309"/>
    <w:rsid w:val="4D6085DE"/>
    <w:rsid w:val="4DB33E94"/>
    <w:rsid w:val="4E01665D"/>
    <w:rsid w:val="4E0F56E7"/>
    <w:rsid w:val="4E2B4FD6"/>
    <w:rsid w:val="4E61DC7D"/>
    <w:rsid w:val="4E9E3399"/>
    <w:rsid w:val="4ED731F0"/>
    <w:rsid w:val="4EEB121F"/>
    <w:rsid w:val="4EED0EFD"/>
    <w:rsid w:val="4FB59867"/>
    <w:rsid w:val="4FEA48F0"/>
    <w:rsid w:val="50FD9F0D"/>
    <w:rsid w:val="512C908A"/>
    <w:rsid w:val="513DA3F2"/>
    <w:rsid w:val="5162398F"/>
    <w:rsid w:val="5181B261"/>
    <w:rsid w:val="52274286"/>
    <w:rsid w:val="5274B322"/>
    <w:rsid w:val="52900F96"/>
    <w:rsid w:val="529E00EF"/>
    <w:rsid w:val="52CDAAAC"/>
    <w:rsid w:val="530EFEFF"/>
    <w:rsid w:val="534DC821"/>
    <w:rsid w:val="53845761"/>
    <w:rsid w:val="53DEF673"/>
    <w:rsid w:val="54103854"/>
    <w:rsid w:val="54D82D5D"/>
    <w:rsid w:val="54EB3073"/>
    <w:rsid w:val="5516155F"/>
    <w:rsid w:val="555620BB"/>
    <w:rsid w:val="558DB695"/>
    <w:rsid w:val="55B0EEB2"/>
    <w:rsid w:val="55E62CDF"/>
    <w:rsid w:val="560D6F63"/>
    <w:rsid w:val="56F002B9"/>
    <w:rsid w:val="57BE293A"/>
    <w:rsid w:val="5809A738"/>
    <w:rsid w:val="5810B334"/>
    <w:rsid w:val="58283F33"/>
    <w:rsid w:val="58AFBCEC"/>
    <w:rsid w:val="58B051BF"/>
    <w:rsid w:val="58DA2AD3"/>
    <w:rsid w:val="59383486"/>
    <w:rsid w:val="595E46E3"/>
    <w:rsid w:val="5979A68E"/>
    <w:rsid w:val="59B19A08"/>
    <w:rsid w:val="5A49A2C5"/>
    <w:rsid w:val="5A70ECD1"/>
    <w:rsid w:val="5B05C43F"/>
    <w:rsid w:val="5B310FCE"/>
    <w:rsid w:val="5B702701"/>
    <w:rsid w:val="5B744554"/>
    <w:rsid w:val="5BBEF476"/>
    <w:rsid w:val="5C08879D"/>
    <w:rsid w:val="5C313DCF"/>
    <w:rsid w:val="5C3DA89B"/>
    <w:rsid w:val="5C454593"/>
    <w:rsid w:val="5D0CF979"/>
    <w:rsid w:val="5DA89830"/>
    <w:rsid w:val="5DD8930A"/>
    <w:rsid w:val="5DF5DDF1"/>
    <w:rsid w:val="5E1FE503"/>
    <w:rsid w:val="5E64512B"/>
    <w:rsid w:val="5E70F332"/>
    <w:rsid w:val="5E779877"/>
    <w:rsid w:val="5EB34D2C"/>
    <w:rsid w:val="5ECA1F99"/>
    <w:rsid w:val="5EDA4E9F"/>
    <w:rsid w:val="5F1D1A13"/>
    <w:rsid w:val="5F6FEE6A"/>
    <w:rsid w:val="5FA605C9"/>
    <w:rsid w:val="5FB45196"/>
    <w:rsid w:val="5FB776A7"/>
    <w:rsid w:val="60134890"/>
    <w:rsid w:val="6013C493"/>
    <w:rsid w:val="6064B7C4"/>
    <w:rsid w:val="6066E380"/>
    <w:rsid w:val="60819992"/>
    <w:rsid w:val="60DC75A9"/>
    <w:rsid w:val="60E0CFBB"/>
    <w:rsid w:val="60F9AB53"/>
    <w:rsid w:val="612D9C09"/>
    <w:rsid w:val="615BA07E"/>
    <w:rsid w:val="6163B74E"/>
    <w:rsid w:val="6165082F"/>
    <w:rsid w:val="61B635E8"/>
    <w:rsid w:val="61E16DD2"/>
    <w:rsid w:val="61EA78E2"/>
    <w:rsid w:val="620C50B7"/>
    <w:rsid w:val="621311BD"/>
    <w:rsid w:val="62465D71"/>
    <w:rsid w:val="625E1127"/>
    <w:rsid w:val="62A7E188"/>
    <w:rsid w:val="62BAF2EC"/>
    <w:rsid w:val="62C40E76"/>
    <w:rsid w:val="631A4E7E"/>
    <w:rsid w:val="639151AF"/>
    <w:rsid w:val="63BD7BEB"/>
    <w:rsid w:val="63DE240C"/>
    <w:rsid w:val="63ED3108"/>
    <w:rsid w:val="642300E2"/>
    <w:rsid w:val="642C974D"/>
    <w:rsid w:val="64644B87"/>
    <w:rsid w:val="6474B111"/>
    <w:rsid w:val="64DF47F1"/>
    <w:rsid w:val="656B46EC"/>
    <w:rsid w:val="65BB4E3F"/>
    <w:rsid w:val="6626A0AA"/>
    <w:rsid w:val="664DF99E"/>
    <w:rsid w:val="66C10143"/>
    <w:rsid w:val="66C14D33"/>
    <w:rsid w:val="66CAFB86"/>
    <w:rsid w:val="66E27929"/>
    <w:rsid w:val="6712CD80"/>
    <w:rsid w:val="6723A082"/>
    <w:rsid w:val="673895E9"/>
    <w:rsid w:val="674D4D2A"/>
    <w:rsid w:val="676860FB"/>
    <w:rsid w:val="678BD0FE"/>
    <w:rsid w:val="67A0B312"/>
    <w:rsid w:val="67ED7F15"/>
    <w:rsid w:val="6897D73A"/>
    <w:rsid w:val="68F4FDE6"/>
    <w:rsid w:val="6910344F"/>
    <w:rsid w:val="6917E725"/>
    <w:rsid w:val="6952A680"/>
    <w:rsid w:val="69960356"/>
    <w:rsid w:val="69A57692"/>
    <w:rsid w:val="69C8B550"/>
    <w:rsid w:val="69D867E5"/>
    <w:rsid w:val="69E605A7"/>
    <w:rsid w:val="6A17F688"/>
    <w:rsid w:val="6A188477"/>
    <w:rsid w:val="6A2A8526"/>
    <w:rsid w:val="6AF95977"/>
    <w:rsid w:val="6C12FC29"/>
    <w:rsid w:val="6C278864"/>
    <w:rsid w:val="6C7D613E"/>
    <w:rsid w:val="6C95547C"/>
    <w:rsid w:val="6D013427"/>
    <w:rsid w:val="6D2F2B5F"/>
    <w:rsid w:val="6DC405CA"/>
    <w:rsid w:val="6DE1250F"/>
    <w:rsid w:val="6E18ACDF"/>
    <w:rsid w:val="6E553177"/>
    <w:rsid w:val="6EEF6132"/>
    <w:rsid w:val="6F13AFC9"/>
    <w:rsid w:val="6F183D65"/>
    <w:rsid w:val="6F446338"/>
    <w:rsid w:val="6F5F24B4"/>
    <w:rsid w:val="6F62CC0D"/>
    <w:rsid w:val="6F7DC1E5"/>
    <w:rsid w:val="6FD5AE34"/>
    <w:rsid w:val="70141725"/>
    <w:rsid w:val="7032721B"/>
    <w:rsid w:val="70463160"/>
    <w:rsid w:val="706F3901"/>
    <w:rsid w:val="70D0403C"/>
    <w:rsid w:val="70FBAE6F"/>
    <w:rsid w:val="71718BDE"/>
    <w:rsid w:val="7196D4C2"/>
    <w:rsid w:val="71D01A9D"/>
    <w:rsid w:val="7248FEAE"/>
    <w:rsid w:val="724BE158"/>
    <w:rsid w:val="728E42EA"/>
    <w:rsid w:val="7341D1D4"/>
    <w:rsid w:val="735857A8"/>
    <w:rsid w:val="737A49A4"/>
    <w:rsid w:val="73CE334A"/>
    <w:rsid w:val="73D47192"/>
    <w:rsid w:val="7486D950"/>
    <w:rsid w:val="74DAA092"/>
    <w:rsid w:val="74E2394C"/>
    <w:rsid w:val="75655349"/>
    <w:rsid w:val="7580AFBD"/>
    <w:rsid w:val="75B1155C"/>
    <w:rsid w:val="75B3C476"/>
    <w:rsid w:val="75D037F1"/>
    <w:rsid w:val="762C61BE"/>
    <w:rsid w:val="76C00CCD"/>
    <w:rsid w:val="772F5B0C"/>
    <w:rsid w:val="7757C4D8"/>
    <w:rsid w:val="77614045"/>
    <w:rsid w:val="777DB4F7"/>
    <w:rsid w:val="77CCA7BD"/>
    <w:rsid w:val="77D2F10A"/>
    <w:rsid w:val="77D6E192"/>
    <w:rsid w:val="77E4F917"/>
    <w:rsid w:val="780F3E58"/>
    <w:rsid w:val="78500F21"/>
    <w:rsid w:val="785F21C2"/>
    <w:rsid w:val="78B4795E"/>
    <w:rsid w:val="78C31B46"/>
    <w:rsid w:val="78E573A6"/>
    <w:rsid w:val="79D26D6F"/>
    <w:rsid w:val="7A2CA314"/>
    <w:rsid w:val="7AA1F18A"/>
    <w:rsid w:val="7AF9228F"/>
    <w:rsid w:val="7AFC5685"/>
    <w:rsid w:val="7B401CF7"/>
    <w:rsid w:val="7B7BB851"/>
    <w:rsid w:val="7B881DA0"/>
    <w:rsid w:val="7BB2B74F"/>
    <w:rsid w:val="7C50E46E"/>
    <w:rsid w:val="7C888060"/>
    <w:rsid w:val="7D07FD7E"/>
    <w:rsid w:val="7D4A5437"/>
    <w:rsid w:val="7D6815C7"/>
    <w:rsid w:val="7D702190"/>
    <w:rsid w:val="7E14BD81"/>
    <w:rsid w:val="7EAACB7B"/>
    <w:rsid w:val="7F250A7D"/>
    <w:rsid w:val="7F29963E"/>
    <w:rsid w:val="7FC7245C"/>
    <w:rsid w:val="7FD6E6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5E30A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D2963"/>
    <w:pPr>
      <w:keepNext/>
      <w:keepLines/>
      <w:spacing w:before="200" w:after="240" w:line="240" w:lineRule="auto"/>
      <w:ind w:left="1152" w:hanging="1152"/>
      <w:outlineLvl w:val="5"/>
    </w:pPr>
    <w:rPr>
      <w:rFonts w:asciiTheme="minorHAnsi" w:eastAsiaTheme="majorEastAsia" w:hAnsiTheme="minorHAnsi" w:cstheme="majorBidi"/>
      <w:i/>
      <w:iCs/>
    </w:rPr>
  </w:style>
  <w:style w:type="paragraph" w:styleId="Heading7">
    <w:name w:val="heading 7"/>
    <w:basedOn w:val="Normal"/>
    <w:next w:val="Normal"/>
    <w:link w:val="Heading7Char"/>
    <w:uiPriority w:val="9"/>
    <w:semiHidden/>
    <w:unhideWhenUsed/>
    <w:qFormat/>
    <w:rsid w:val="00DD2963"/>
    <w:pPr>
      <w:keepNext/>
      <w:keepLines/>
      <w:spacing w:before="200" w:after="0" w:line="240" w:lineRule="auto"/>
      <w:ind w:left="1296" w:hanging="1296"/>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DD2963"/>
    <w:pPr>
      <w:keepNext/>
      <w:keepLines/>
      <w:spacing w:before="200" w:after="0" w:line="240" w:lineRule="auto"/>
      <w:ind w:left="1440" w:hanging="144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D2963"/>
    <w:pPr>
      <w:keepNext/>
      <w:keepLines/>
      <w:spacing w:before="200" w:after="0" w:line="240" w:lineRule="auto"/>
      <w:ind w:left="1584" w:hanging="1584"/>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Comment Text Char Char Char,Comment Text Char Char,- H19,Comment Text Char1 Char,Annotationtext,Comment Text Char1,Merknadstekst,Kommentartext,Comment Text Char Char1"/>
    <w:basedOn w:val="Normal"/>
    <w:link w:val="CommentTextChar"/>
    <w:uiPriority w:val="99"/>
    <w:unhideWhenUsed/>
    <w:qFormat/>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Comment Text Char Char Char Char,Comment Text Char Char Char1,- H19 Char,Comment Text Char1 Char Char,Annotationtext Char,Comment Text Char1 Char1,Merknadstekst Char,Kommentartext Char,Comment Text Char Char1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H18"/>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uiPriority w:val="5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NewRoman" w:hAnsi="TimesNewRoman"/>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HTAtableplain,Dossier table,Summary Table,Source table_,NICE instructions,Header Table"/>
    <w:basedOn w:val="TableNormal"/>
    <w:uiPriority w:val="3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Styl moj,Akapit z listą1,Akapit z listą11,BulletPoints,Figure_name,List Paragraph1,Numbered Indented Text,Bullet- First level,List NUmber,Listenabsatz1,lp1,List Paragraph11,Style 2,TOC style,List Paragraph2,List Paragraph Char Char,Number"/>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tabs>
        <w:tab w:val="clear" w:pos="1440"/>
      </w:tabs>
      <w:ind w:left="720"/>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Styl moj Char,Akapit z listą1 Char,Akapit z listą11 Char,BulletPoints Char,Figure_name Char,List Paragraph1 Char,Numbered Indented Text Char,Bullet- First level Char,List NUmber Char,Listenabsatz1 Char,lp1 Char,List Paragraph1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ind w:hanging="720"/>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ind w:hanging="36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131D3"/>
    <w:pPr>
      <w:numPr>
        <w:ilvl w:val="1"/>
        <w:numId w:val="5"/>
      </w:numPr>
      <w:spacing w:after="120" w:line="240" w:lineRule="auto"/>
      <w:ind w:left="1440" w:hanging="360"/>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TimesNewRoman" w:hAnsi="TimesNewRoman"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TimesNewRoman" w:hAnsi="TimesNewRoman"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TimesNewRoman" w:hAnsi="TimesNewRoman"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uiPriority w:val="10"/>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uiPriority w:val="10"/>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uiPriority w:val="11"/>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uiPriority w:val="11"/>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styleId="BodyText">
    <w:name w:val="Body Text"/>
    <w:aliases w:val="Char,Char1, Char, Char Char Char Char Char Char Char Char Char Char,Body Text Char1 Char,Body Text Char Char Char,Body T...,Body Text Char1 Char Char Char,Body Text Char Char Char Char Char,Body Text Char1 Char Char Char Char Char"/>
    <w:basedOn w:val="Normal"/>
    <w:link w:val="BodyTextChar"/>
    <w:rsid w:val="009D76BB"/>
    <w:pPr>
      <w:spacing w:before="0" w:after="0" w:line="360" w:lineRule="auto"/>
      <w:jc w:val="both"/>
    </w:pPr>
    <w:rPr>
      <w:rFonts w:ascii="Arial" w:hAnsi="Arial" w:cs="Times New Roman"/>
      <w:sz w:val="20"/>
    </w:rPr>
  </w:style>
  <w:style w:type="character" w:customStyle="1" w:styleId="BodyTextChar">
    <w:name w:val="Body Text Char"/>
    <w:aliases w:val="Char Char,Char1 Char, Char Char, Char Char Char Char Char Char Char Char Char Char Char,Body Text Char1 Char Char,Body Text Char Char Char Char,Body T... Char,Body Text Char1 Char Char Char Char,Body Text Char Char Char Char Char Char"/>
    <w:basedOn w:val="DefaultParagraphFont"/>
    <w:link w:val="BodyText"/>
    <w:rsid w:val="009D76BB"/>
    <w:rPr>
      <w:rFonts w:ascii="Arial" w:hAnsi="Arial" w:cs="Times New Roman"/>
      <w:sz w:val="20"/>
    </w:rPr>
  </w:style>
  <w:style w:type="character" w:customStyle="1" w:styleId="fontstyle01">
    <w:name w:val="fontstyle01"/>
    <w:basedOn w:val="DefaultParagraphFont"/>
    <w:rsid w:val="009D76BB"/>
    <w:rPr>
      <w:rFonts w:ascii="TimesNewRoman" w:hAnsi="TimesNewRoman" w:hint="default"/>
      <w:b w:val="0"/>
      <w:bCs w:val="0"/>
      <w:i w:val="0"/>
      <w:iCs w:val="0"/>
      <w:color w:val="000000"/>
      <w:sz w:val="24"/>
      <w:szCs w:val="24"/>
    </w:rPr>
  </w:style>
  <w:style w:type="paragraph" w:customStyle="1" w:styleId="Tickboxes">
    <w:name w:val="Tick boxes"/>
    <w:basedOn w:val="Normal"/>
    <w:link w:val="TickboxesChar"/>
    <w:qFormat/>
    <w:rsid w:val="00E67770"/>
    <w:pPr>
      <w:spacing w:before="0" w:after="0" w:line="240" w:lineRule="auto"/>
      <w:ind w:left="360"/>
    </w:pPr>
    <w:rPr>
      <w:rFonts w:asciiTheme="minorHAnsi" w:hAnsiTheme="minorHAnsi"/>
      <w:bCs/>
      <w:sz w:val="20"/>
      <w:szCs w:val="20"/>
    </w:rPr>
  </w:style>
  <w:style w:type="character" w:customStyle="1" w:styleId="TickboxesChar">
    <w:name w:val="Tick boxes Char"/>
    <w:basedOn w:val="DefaultParagraphFont"/>
    <w:link w:val="Tickboxes"/>
    <w:rsid w:val="00E67770"/>
    <w:rPr>
      <w:bCs/>
      <w:sz w:val="20"/>
      <w:szCs w:val="20"/>
    </w:rPr>
  </w:style>
  <w:style w:type="paragraph" w:customStyle="1" w:styleId="Instructions">
    <w:name w:val="Instructions"/>
    <w:basedOn w:val="Heading2"/>
    <w:link w:val="InstructionsChar"/>
    <w:qFormat/>
    <w:rsid w:val="00E67770"/>
    <w:pPr>
      <w:keepNext w:val="0"/>
      <w:keepLines w:val="0"/>
      <w:numPr>
        <w:ilvl w:val="0"/>
        <w:numId w:val="0"/>
      </w:numPr>
      <w:spacing w:before="120" w:after="120"/>
    </w:pPr>
    <w:rPr>
      <w:rFonts w:ascii="Segoe UI" w:hAnsi="Segoe UI" w:cs="Segoe UI"/>
    </w:rPr>
  </w:style>
  <w:style w:type="character" w:customStyle="1" w:styleId="InstructionsChar">
    <w:name w:val="Instructions Char"/>
    <w:basedOn w:val="Heading2Char"/>
    <w:link w:val="Instructions"/>
    <w:rsid w:val="00E67770"/>
    <w:rPr>
      <w:rFonts w:ascii="Segoe UI" w:eastAsiaTheme="majorEastAsia" w:hAnsi="Segoe UI" w:cs="Segoe UI"/>
      <w:color w:val="000000" w:themeColor="text1"/>
      <w:sz w:val="32"/>
      <w:szCs w:val="26"/>
    </w:rPr>
  </w:style>
  <w:style w:type="character" w:styleId="UnresolvedMention">
    <w:name w:val="Unresolved Mention"/>
    <w:basedOn w:val="DefaultParagraphFont"/>
    <w:uiPriority w:val="99"/>
    <w:semiHidden/>
    <w:unhideWhenUsed/>
    <w:rsid w:val="004E6251"/>
    <w:rPr>
      <w:color w:val="605E5C"/>
      <w:shd w:val="clear" w:color="auto" w:fill="E1DFDD"/>
    </w:rPr>
  </w:style>
  <w:style w:type="character" w:customStyle="1" w:styleId="Heading5Char">
    <w:name w:val="Heading 5 Char"/>
    <w:basedOn w:val="DefaultParagraphFont"/>
    <w:link w:val="Heading5"/>
    <w:uiPriority w:val="9"/>
    <w:rsid w:val="005E30AE"/>
    <w:rPr>
      <w:rFonts w:asciiTheme="majorHAnsi" w:eastAsiaTheme="majorEastAsia" w:hAnsiTheme="majorHAnsi" w:cstheme="majorBidi"/>
      <w:color w:val="2E74B5" w:themeColor="accent1" w:themeShade="BF"/>
    </w:rPr>
  </w:style>
  <w:style w:type="paragraph" w:customStyle="1" w:styleId="BodyText1">
    <w:name w:val="Body Text1"/>
    <w:basedOn w:val="Normal"/>
    <w:link w:val="BodytextChar0"/>
    <w:qFormat/>
    <w:rsid w:val="005E30AE"/>
    <w:pPr>
      <w:keepNext/>
      <w:keepLines/>
      <w:spacing w:after="120" w:line="360" w:lineRule="auto"/>
      <w:jc w:val="both"/>
    </w:pPr>
    <w:rPr>
      <w:rFonts w:asciiTheme="minorHAnsi" w:hAnsiTheme="minorHAnsi"/>
    </w:rPr>
  </w:style>
  <w:style w:type="character" w:customStyle="1" w:styleId="BodytextChar0">
    <w:name w:val="Body text Char"/>
    <w:basedOn w:val="DefaultParagraphFont"/>
    <w:link w:val="BodyText1"/>
    <w:rsid w:val="005E30AE"/>
  </w:style>
  <w:style w:type="paragraph" w:styleId="ListBullet">
    <w:name w:val="List Bullet"/>
    <w:basedOn w:val="Normal"/>
    <w:autoRedefine/>
    <w:uiPriority w:val="99"/>
    <w:rsid w:val="001404F4"/>
    <w:pPr>
      <w:keepNext/>
      <w:keepLines/>
      <w:numPr>
        <w:numId w:val="11"/>
      </w:numPr>
      <w:spacing w:before="0" w:after="240" w:line="360" w:lineRule="auto"/>
      <w:ind w:left="0" w:firstLine="0"/>
      <w:jc w:val="both"/>
    </w:pPr>
    <w:rPr>
      <w:rFonts w:ascii="Garamond" w:hAnsi="Garamond" w:cs="Times New Roman"/>
      <w:szCs w:val="20"/>
      <w:lang w:val="en-US"/>
    </w:rPr>
  </w:style>
  <w:style w:type="character" w:customStyle="1" w:styleId="Heading6Char">
    <w:name w:val="Heading 6 Char"/>
    <w:basedOn w:val="DefaultParagraphFont"/>
    <w:link w:val="Heading6"/>
    <w:uiPriority w:val="9"/>
    <w:rsid w:val="00DD2963"/>
    <w:rPr>
      <w:rFonts w:eastAsiaTheme="majorEastAsia" w:cstheme="majorBidi"/>
      <w:i/>
      <w:iCs/>
    </w:rPr>
  </w:style>
  <w:style w:type="character" w:customStyle="1" w:styleId="Heading7Char">
    <w:name w:val="Heading 7 Char"/>
    <w:basedOn w:val="DefaultParagraphFont"/>
    <w:link w:val="Heading7"/>
    <w:uiPriority w:val="9"/>
    <w:semiHidden/>
    <w:rsid w:val="00DD296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D296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D2963"/>
    <w:rPr>
      <w:rFonts w:asciiTheme="majorHAnsi" w:eastAsiaTheme="majorEastAsia" w:hAnsiTheme="majorHAnsi" w:cstheme="majorBidi"/>
      <w:i/>
      <w:iCs/>
      <w:color w:val="000000"/>
      <w:sz w:val="20"/>
      <w:szCs w:val="20"/>
    </w:rPr>
  </w:style>
  <w:style w:type="paragraph" w:customStyle="1" w:styleId="NumberList">
    <w:name w:val="NumberList"/>
    <w:basedOn w:val="Normal"/>
    <w:rsid w:val="00DD2963"/>
    <w:pPr>
      <w:tabs>
        <w:tab w:val="left" w:pos="360"/>
      </w:tabs>
      <w:spacing w:before="0" w:after="240" w:line="240" w:lineRule="auto"/>
      <w:ind w:left="360" w:hanging="360"/>
    </w:pPr>
    <w:rPr>
      <w:rFonts w:ascii="Calibri" w:eastAsia="Times New Roman" w:hAnsi="Calibri" w:cs="Times New Roman"/>
      <w:color w:val="000000"/>
      <w:szCs w:val="20"/>
      <w:lang w:eastAsia="en-AU"/>
    </w:rPr>
  </w:style>
  <w:style w:type="paragraph" w:styleId="Quote">
    <w:name w:val="Quote"/>
    <w:basedOn w:val="Normal"/>
    <w:next w:val="Normal"/>
    <w:link w:val="QuoteChar"/>
    <w:uiPriority w:val="29"/>
    <w:rsid w:val="00DD2963"/>
    <w:pPr>
      <w:spacing w:before="0" w:after="240" w:line="240" w:lineRule="auto"/>
      <w:ind w:left="720"/>
    </w:pPr>
    <w:rPr>
      <w:rFonts w:asciiTheme="minorHAnsi" w:eastAsiaTheme="minorEastAsia" w:hAnsiTheme="minorHAnsi"/>
      <w:iCs/>
      <w:lang w:bidi="hi-IN"/>
    </w:rPr>
  </w:style>
  <w:style w:type="character" w:customStyle="1" w:styleId="QuoteChar">
    <w:name w:val="Quote Char"/>
    <w:basedOn w:val="DefaultParagraphFont"/>
    <w:link w:val="Quote"/>
    <w:uiPriority w:val="29"/>
    <w:rsid w:val="00DD2963"/>
    <w:rPr>
      <w:rFonts w:eastAsiaTheme="minorEastAsia"/>
      <w:iCs/>
      <w:lang w:bidi="hi-IN"/>
    </w:rPr>
  </w:style>
  <w:style w:type="paragraph" w:customStyle="1" w:styleId="FigureName">
    <w:name w:val="FigureName"/>
    <w:basedOn w:val="Normal"/>
    <w:qFormat/>
    <w:rsid w:val="00DD2963"/>
    <w:pPr>
      <w:keepNext/>
      <w:spacing w:before="0" w:after="240" w:line="240" w:lineRule="auto"/>
      <w:ind w:left="1531" w:hanging="1531"/>
    </w:pPr>
    <w:rPr>
      <w:rFonts w:ascii="Franklin Gothic Medium" w:hAnsi="Franklin Gothic Medium"/>
    </w:rPr>
  </w:style>
  <w:style w:type="paragraph" w:customStyle="1" w:styleId="TableDash">
    <w:name w:val="TableDash"/>
    <w:basedOn w:val="Normal"/>
    <w:rsid w:val="001404F4"/>
    <w:pPr>
      <w:keepNext/>
      <w:numPr>
        <w:numId w:val="13"/>
      </w:numPr>
      <w:tabs>
        <w:tab w:val="num" w:pos="360"/>
        <w:tab w:val="num" w:pos="432"/>
      </w:tabs>
      <w:spacing w:before="60" w:after="60" w:line="240" w:lineRule="auto"/>
      <w:ind w:left="0" w:firstLine="0"/>
    </w:pPr>
    <w:rPr>
      <w:rFonts w:ascii="Calibri" w:eastAsia="Times New Roman" w:hAnsi="Calibri" w:cs="Times New Roman"/>
      <w:color w:val="000000"/>
      <w:sz w:val="21"/>
      <w:szCs w:val="21"/>
      <w:lang w:eastAsia="en-AU"/>
    </w:rPr>
  </w:style>
  <w:style w:type="paragraph" w:styleId="TableofFigures">
    <w:name w:val="table of figures"/>
    <w:basedOn w:val="Normal"/>
    <w:next w:val="Normal"/>
    <w:uiPriority w:val="99"/>
    <w:rsid w:val="00DD2963"/>
    <w:pPr>
      <w:tabs>
        <w:tab w:val="left" w:pos="1080"/>
        <w:tab w:val="right" w:leader="dot" w:pos="9000"/>
      </w:tabs>
      <w:spacing w:before="0" w:after="120" w:line="240" w:lineRule="auto"/>
      <w:ind w:left="1000" w:right="720" w:hangingChars="1000" w:hanging="1000"/>
    </w:pPr>
    <w:rPr>
      <w:rFonts w:ascii="Calibri" w:eastAsia="Times New Roman" w:hAnsi="Calibri" w:cs="Times New Roman"/>
      <w:color w:val="000000"/>
      <w:szCs w:val="20"/>
      <w:lang w:eastAsia="en-AU"/>
    </w:rPr>
  </w:style>
  <w:style w:type="paragraph" w:customStyle="1" w:styleId="EndNoteBibliographyTitle">
    <w:name w:val="EndNote Bibliography Title"/>
    <w:basedOn w:val="Normal"/>
    <w:link w:val="EndNoteBibliographyTitleChar"/>
    <w:rsid w:val="00DD2963"/>
    <w:pPr>
      <w:spacing w:before="0" w:after="0" w:line="240"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D2963"/>
    <w:rPr>
      <w:rFonts w:ascii="Calibri" w:hAnsi="Calibri" w:cs="Calibri"/>
      <w:noProof/>
      <w:lang w:val="en-US"/>
    </w:rPr>
  </w:style>
  <w:style w:type="paragraph" w:customStyle="1" w:styleId="EndNoteBibliography">
    <w:name w:val="EndNote Bibliography"/>
    <w:basedOn w:val="Normal"/>
    <w:link w:val="EndNoteBibliographyChar"/>
    <w:rsid w:val="00DD2963"/>
    <w:pPr>
      <w:spacing w:before="0" w:after="24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D2963"/>
    <w:rPr>
      <w:rFonts w:ascii="Calibri" w:hAnsi="Calibri" w:cs="Calibri"/>
      <w:noProof/>
      <w:lang w:val="en-US"/>
    </w:rPr>
  </w:style>
  <w:style w:type="paragraph" w:customStyle="1" w:styleId="TableNoteBullet">
    <w:name w:val="Table Note Bullet"/>
    <w:basedOn w:val="Normal"/>
    <w:rsid w:val="001404F4"/>
    <w:pPr>
      <w:numPr>
        <w:numId w:val="12"/>
      </w:numPr>
      <w:tabs>
        <w:tab w:val="num" w:pos="360"/>
      </w:tabs>
      <w:spacing w:before="0" w:after="60" w:line="240" w:lineRule="auto"/>
      <w:ind w:left="0" w:firstLine="0"/>
    </w:pPr>
    <w:rPr>
      <w:rFonts w:asciiTheme="minorHAnsi" w:hAnsiTheme="minorHAnsi"/>
      <w:sz w:val="18"/>
    </w:rPr>
  </w:style>
  <w:style w:type="paragraph" w:customStyle="1" w:styleId="TableBullet">
    <w:name w:val="Table Bullet"/>
    <w:basedOn w:val="TableText"/>
    <w:rsid w:val="001404F4"/>
    <w:pPr>
      <w:numPr>
        <w:numId w:val="14"/>
      </w:numPr>
      <w:tabs>
        <w:tab w:val="num" w:pos="360"/>
      </w:tabs>
      <w:ind w:left="0" w:firstLine="0"/>
    </w:pPr>
    <w:rPr>
      <w:rFonts w:asciiTheme="minorHAnsi" w:hAnsiTheme="minorHAnsi" w:cstheme="minorHAnsi"/>
      <w:sz w:val="18"/>
      <w:szCs w:val="18"/>
    </w:rPr>
  </w:style>
  <w:style w:type="paragraph" w:customStyle="1" w:styleId="BoxText">
    <w:name w:val="Box Text"/>
    <w:basedOn w:val="Normal"/>
    <w:rsid w:val="00DD2963"/>
    <w:pPr>
      <w:pBdr>
        <w:top w:val="single" w:sz="4" w:space="4" w:color="auto"/>
        <w:left w:val="single" w:sz="4" w:space="4" w:color="auto"/>
        <w:bottom w:val="single" w:sz="4" w:space="4" w:color="auto"/>
        <w:right w:val="single" w:sz="4" w:space="4" w:color="auto"/>
      </w:pBdr>
      <w:spacing w:before="0" w:after="120" w:line="240" w:lineRule="auto"/>
    </w:pPr>
    <w:rPr>
      <w:rFonts w:asciiTheme="minorHAnsi" w:hAnsiTheme="minorHAnsi"/>
    </w:rPr>
  </w:style>
  <w:style w:type="paragraph" w:customStyle="1" w:styleId="BoxBullet">
    <w:name w:val="Box Bullet"/>
    <w:basedOn w:val="BoxText"/>
    <w:rsid w:val="001404F4"/>
    <w:pPr>
      <w:numPr>
        <w:numId w:val="20"/>
      </w:numPr>
      <w:tabs>
        <w:tab w:val="left" w:pos="357"/>
      </w:tabs>
      <w:ind w:left="0" w:firstLine="0"/>
    </w:pPr>
    <w:rPr>
      <w:sz w:val="21"/>
    </w:rPr>
  </w:style>
  <w:style w:type="paragraph" w:customStyle="1" w:styleId="BulletLast">
    <w:name w:val="Bullet Last"/>
    <w:basedOn w:val="Bullet"/>
    <w:rsid w:val="001404F4"/>
    <w:pPr>
      <w:numPr>
        <w:numId w:val="15"/>
      </w:numPr>
      <w:tabs>
        <w:tab w:val="num" w:pos="360"/>
      </w:tabs>
      <w:spacing w:before="0" w:after="240"/>
      <w:ind w:hanging="720"/>
    </w:pPr>
  </w:style>
  <w:style w:type="paragraph" w:customStyle="1" w:styleId="BulletBeforeDash">
    <w:name w:val="Bullet Before Dash"/>
    <w:basedOn w:val="Bullet"/>
    <w:rsid w:val="001404F4"/>
    <w:pPr>
      <w:numPr>
        <w:numId w:val="16"/>
      </w:numPr>
      <w:tabs>
        <w:tab w:val="num" w:pos="360"/>
      </w:tabs>
      <w:spacing w:before="0" w:after="60"/>
      <w:ind w:hanging="720"/>
    </w:pPr>
  </w:style>
  <w:style w:type="paragraph" w:customStyle="1" w:styleId="DashLast">
    <w:name w:val="Dash Last"/>
    <w:basedOn w:val="Dash"/>
    <w:rsid w:val="001404F4"/>
    <w:pPr>
      <w:numPr>
        <w:numId w:val="17"/>
      </w:numPr>
      <w:tabs>
        <w:tab w:val="num" w:pos="360"/>
      </w:tabs>
      <w:spacing w:before="0"/>
    </w:pPr>
  </w:style>
  <w:style w:type="paragraph" w:customStyle="1" w:styleId="DashEndList">
    <w:name w:val="Dash End List"/>
    <w:basedOn w:val="DashLast"/>
    <w:rsid w:val="001404F4"/>
    <w:pPr>
      <w:numPr>
        <w:numId w:val="18"/>
      </w:numPr>
      <w:spacing w:after="240"/>
      <w:ind w:left="720"/>
    </w:pPr>
  </w:style>
  <w:style w:type="paragraph" w:customStyle="1" w:styleId="BoxTickbox">
    <w:name w:val="Box Tickbox"/>
    <w:basedOn w:val="BoxName"/>
    <w:rsid w:val="001404F4"/>
    <w:pPr>
      <w:numPr>
        <w:numId w:val="19"/>
      </w:numPr>
      <w:tabs>
        <w:tab w:val="num" w:pos="360"/>
      </w:tabs>
      <w:spacing w:before="0"/>
      <w:ind w:left="0" w:firstLine="0"/>
    </w:pPr>
  </w:style>
  <w:style w:type="paragraph" w:customStyle="1" w:styleId="TableNumbered">
    <w:name w:val="Table Numbered"/>
    <w:basedOn w:val="TableBullet"/>
    <w:rsid w:val="001404F4"/>
    <w:pPr>
      <w:numPr>
        <w:numId w:val="21"/>
      </w:numPr>
      <w:tabs>
        <w:tab w:val="num" w:pos="360"/>
      </w:tabs>
      <w:ind w:left="0" w:firstLine="0"/>
    </w:pPr>
  </w:style>
  <w:style w:type="paragraph" w:styleId="DocumentMap">
    <w:name w:val="Document Map"/>
    <w:basedOn w:val="Normal"/>
    <w:link w:val="DocumentMapChar"/>
    <w:uiPriority w:val="99"/>
    <w:semiHidden/>
    <w:unhideWhenUsed/>
    <w:rsid w:val="00DD2963"/>
    <w:pPr>
      <w:spacing w:before="0"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D2963"/>
    <w:rPr>
      <w:rFonts w:ascii="Times New Roman" w:hAnsi="Times New Roman" w:cs="Times New Roman"/>
      <w:szCs w:val="24"/>
    </w:rPr>
  </w:style>
  <w:style w:type="paragraph" w:styleId="ListNumber">
    <w:name w:val="List Number"/>
    <w:basedOn w:val="Normal"/>
    <w:uiPriority w:val="99"/>
    <w:unhideWhenUsed/>
    <w:rsid w:val="001404F4"/>
    <w:pPr>
      <w:numPr>
        <w:numId w:val="22"/>
      </w:numPr>
      <w:spacing w:before="0" w:after="240" w:line="240" w:lineRule="auto"/>
      <w:ind w:left="0" w:firstLine="0"/>
      <w:contextualSpacing/>
    </w:pPr>
    <w:rPr>
      <w:rFonts w:asciiTheme="minorHAnsi" w:hAnsiTheme="minorHAnsi"/>
    </w:rPr>
  </w:style>
  <w:style w:type="table" w:customStyle="1" w:styleId="TableGridLight2">
    <w:name w:val="Table Grid Light2"/>
    <w:basedOn w:val="TableNormal"/>
    <w:uiPriority w:val="40"/>
    <w:rsid w:val="00DD2963"/>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D296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TableBullet0">
    <w:name w:val="TableBullet"/>
    <w:basedOn w:val="TableText1"/>
    <w:rsid w:val="001404F4"/>
    <w:pPr>
      <w:numPr>
        <w:numId w:val="23"/>
      </w:numPr>
      <w:tabs>
        <w:tab w:val="clear" w:pos="360"/>
        <w:tab w:val="left" w:pos="216"/>
      </w:tabs>
      <w:spacing w:before="20" w:after="20" w:line="240" w:lineRule="auto"/>
      <w:ind w:left="0" w:firstLine="0"/>
      <w:jc w:val="left"/>
    </w:pPr>
    <w:rPr>
      <w:rFonts w:cs="Times New Roman"/>
      <w:color w:val="000000"/>
      <w:sz w:val="20"/>
      <w:szCs w:val="21"/>
    </w:rPr>
  </w:style>
  <w:style w:type="table" w:customStyle="1" w:styleId="LightList1">
    <w:name w:val="Light List1"/>
    <w:basedOn w:val="TableNormal"/>
    <w:uiPriority w:val="61"/>
    <w:rsid w:val="00DD2963"/>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DD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DD2963"/>
    <w:rPr>
      <w:rFonts w:ascii="Courier New" w:eastAsia="Times New Roman" w:hAnsi="Courier New" w:cs="Courier New"/>
      <w:sz w:val="20"/>
      <w:szCs w:val="20"/>
      <w:lang w:eastAsia="en-AU"/>
    </w:rPr>
  </w:style>
  <w:style w:type="table" w:styleId="ColorfulList-Accent4">
    <w:name w:val="Colorful List Accent 4"/>
    <w:basedOn w:val="TableNormal"/>
    <w:uiPriority w:val="72"/>
    <w:rsid w:val="00DD2963"/>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character" w:styleId="HTMLCite">
    <w:name w:val="HTML Cite"/>
    <w:basedOn w:val="DefaultParagraphFont"/>
    <w:uiPriority w:val="99"/>
    <w:semiHidden/>
    <w:unhideWhenUsed/>
    <w:rsid w:val="00DD2963"/>
    <w:rPr>
      <w:i/>
      <w:iCs/>
    </w:rPr>
  </w:style>
  <w:style w:type="table" w:customStyle="1" w:styleId="MediumShading11">
    <w:name w:val="Medium Shading 11"/>
    <w:basedOn w:val="TableNormal"/>
    <w:uiPriority w:val="63"/>
    <w:rsid w:val="00DD2963"/>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DD2963"/>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D2963"/>
    <w:rPr>
      <w:color w:val="808080"/>
    </w:rPr>
  </w:style>
  <w:style w:type="table" w:styleId="LightShading">
    <w:name w:val="Light Shading"/>
    <w:basedOn w:val="TableNormal"/>
    <w:uiPriority w:val="60"/>
    <w:rsid w:val="00DD296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efaulttable">
    <w:name w:val="Default table"/>
    <w:basedOn w:val="TableNormal"/>
    <w:uiPriority w:val="99"/>
    <w:rsid w:val="00DD2963"/>
    <w:pPr>
      <w:spacing w:after="0" w:line="240" w:lineRule="auto"/>
    </w:pPr>
    <w:rPr>
      <w:lang w:val="en-US"/>
    </w:rPr>
    <w:tblPr/>
  </w:style>
  <w:style w:type="table" w:customStyle="1" w:styleId="SanofiTable">
    <w:name w:val="Sanofi Table"/>
    <w:basedOn w:val="TableNormal"/>
    <w:uiPriority w:val="99"/>
    <w:rsid w:val="00DD2963"/>
    <w:pPr>
      <w:spacing w:after="0" w:line="240" w:lineRule="auto"/>
      <w:jc w:val="center"/>
    </w:pPr>
    <w:rPr>
      <w:i/>
      <w:sz w:val="20"/>
      <w:szCs w:val="24"/>
      <w:lang w:val="fr-FR"/>
    </w:rPr>
    <w:tblPr>
      <w:tblStyleColBandSize w:val="1"/>
    </w:tblPr>
    <w:tcPr>
      <w:vAlign w:val="center"/>
    </w:tcPr>
    <w:tblStylePr w:type="firstRow">
      <w:rPr>
        <w:rFonts w:asciiTheme="majorHAnsi" w:hAnsiTheme="majorHAnsi"/>
        <w:b/>
        <w:color w:val="FFFFFF" w:themeColor="background1"/>
        <w:sz w:val="20"/>
      </w:rPr>
      <w:tblPr>
        <w:tblCellMar>
          <w:top w:w="142" w:type="dxa"/>
          <w:left w:w="142" w:type="dxa"/>
          <w:bottom w:w="142" w:type="dxa"/>
          <w:right w:w="142" w:type="dxa"/>
        </w:tblCellMar>
      </w:tblPr>
      <w:tcPr>
        <w:shd w:val="clear" w:color="auto" w:fill="5B9BD5" w:themeFill="accent1"/>
      </w:tcPr>
    </w:tblStylePr>
    <w:tblStylePr w:type="firstCol">
      <w:pPr>
        <w:jc w:val="left"/>
      </w:pPr>
      <w:rPr>
        <w:i w:val="0"/>
      </w:rPr>
      <w:tblPr/>
      <w:tcPr>
        <w:shd w:val="clear" w:color="auto" w:fill="FFFFFF" w:themeFill="background1"/>
      </w:tcPr>
    </w:tblStylePr>
    <w:tblStylePr w:type="band1Vert">
      <w:rPr>
        <w:i w:val="0"/>
      </w:rPr>
      <w:tblPr/>
      <w:tcPr>
        <w:shd w:val="clear" w:color="auto" w:fill="44546A" w:themeFill="text2"/>
      </w:tcPr>
    </w:tblStylePr>
    <w:tblStylePr w:type="band2Vert">
      <w:rPr>
        <w:rFonts w:asciiTheme="minorHAnsi" w:hAnsiTheme="minorHAnsi"/>
        <w:i/>
        <w:sz w:val="20"/>
      </w:rPr>
      <w:tblPr/>
      <w:tcPr>
        <w:shd w:val="clear" w:color="auto" w:fill="FFFFFF" w:themeFill="background1"/>
      </w:tcPr>
    </w:tblStylePr>
  </w:style>
  <w:style w:type="numbering" w:customStyle="1" w:styleId="Tabletextleftbulleted1">
    <w:name w:val="Table text left bulleted1"/>
    <w:basedOn w:val="NoList"/>
    <w:rsid w:val="001404F4"/>
    <w:pPr>
      <w:numPr>
        <w:numId w:val="24"/>
      </w:numPr>
    </w:pPr>
  </w:style>
  <w:style w:type="paragraph" w:styleId="NoSpacing">
    <w:name w:val="No Spacing"/>
    <w:aliases w:val="Main text,Title Page text"/>
    <w:link w:val="NoSpacingChar"/>
    <w:uiPriority w:val="1"/>
    <w:qFormat/>
    <w:rsid w:val="00DD2963"/>
    <w:pPr>
      <w:spacing w:after="0" w:line="360" w:lineRule="auto"/>
      <w:jc w:val="both"/>
    </w:pPr>
    <w:rPr>
      <w:rFonts w:ascii="Garamond" w:eastAsia="Times New Roman" w:hAnsi="Garamond" w:cs="Times New Roman"/>
    </w:rPr>
  </w:style>
  <w:style w:type="character" w:customStyle="1" w:styleId="NoSpacingChar">
    <w:name w:val="No Spacing Char"/>
    <w:aliases w:val="Main text Char,Title Page text Char"/>
    <w:basedOn w:val="DefaultParagraphFont"/>
    <w:link w:val="NoSpacing"/>
    <w:uiPriority w:val="1"/>
    <w:rsid w:val="00DD2963"/>
    <w:rPr>
      <w:rFonts w:ascii="Garamond" w:eastAsia="Times New Roman" w:hAnsi="Garamond" w:cs="Times New Roman"/>
    </w:rPr>
  </w:style>
  <w:style w:type="paragraph" w:customStyle="1" w:styleId="Hyperlink1">
    <w:name w:val="Hyperlink1"/>
    <w:basedOn w:val="BodyText"/>
    <w:link w:val="hyperlinkChar"/>
    <w:qFormat/>
    <w:rsid w:val="00DD2963"/>
    <w:pPr>
      <w:spacing w:before="60" w:after="120" w:line="264" w:lineRule="auto"/>
      <w:jc w:val="left"/>
    </w:pPr>
    <w:rPr>
      <w:rFonts w:ascii="Calibri Light" w:eastAsia="Times New Roman" w:hAnsi="Calibri Light"/>
      <w:color w:val="0000FF"/>
      <w:szCs w:val="24"/>
      <w:u w:val="single"/>
      <w:lang w:val="en-GB"/>
    </w:rPr>
  </w:style>
  <w:style w:type="character" w:customStyle="1" w:styleId="hyperlinkChar">
    <w:name w:val="hyperlink Char"/>
    <w:basedOn w:val="BodyTextChar"/>
    <w:link w:val="Hyperlink1"/>
    <w:rsid w:val="00DD2963"/>
    <w:rPr>
      <w:rFonts w:ascii="Calibri Light" w:eastAsia="Times New Roman" w:hAnsi="Calibri Light" w:cs="Times New Roman"/>
      <w:color w:val="0000FF"/>
      <w:sz w:val="20"/>
      <w:szCs w:val="24"/>
      <w:u w:val="single"/>
      <w:lang w:val="en-GB"/>
    </w:rPr>
  </w:style>
  <w:style w:type="paragraph" w:customStyle="1" w:styleId="CaptionTable">
    <w:name w:val="Caption Table"/>
    <w:basedOn w:val="Normal"/>
    <w:next w:val="Normal"/>
    <w:link w:val="CaptionTableChar"/>
    <w:autoRedefine/>
    <w:rsid w:val="00DD2963"/>
    <w:pPr>
      <w:keepNext/>
      <w:spacing w:before="0" w:after="120" w:line="240" w:lineRule="auto"/>
      <w:ind w:left="1277" w:hanging="1277"/>
      <w:jc w:val="both"/>
    </w:pPr>
    <w:rPr>
      <w:rFonts w:ascii="Calibri" w:eastAsia="Times New Roman" w:hAnsi="Calibri" w:cs="Times New Roman"/>
      <w:b/>
      <w:sz w:val="20"/>
    </w:rPr>
  </w:style>
  <w:style w:type="paragraph" w:customStyle="1" w:styleId="TableTextleftalign">
    <w:name w:val="Table Text left align"/>
    <w:basedOn w:val="TableTitlecentred"/>
    <w:link w:val="TableTextleftalignChar"/>
    <w:qFormat/>
    <w:rsid w:val="00DD2963"/>
    <w:pPr>
      <w:jc w:val="left"/>
    </w:pPr>
    <w:rPr>
      <w:b w:val="0"/>
      <w:szCs w:val="18"/>
    </w:rPr>
  </w:style>
  <w:style w:type="character" w:customStyle="1" w:styleId="CaptionTableChar">
    <w:name w:val="Caption Table Char"/>
    <w:basedOn w:val="DefaultParagraphFont"/>
    <w:link w:val="CaptionTable"/>
    <w:rsid w:val="00DD2963"/>
    <w:rPr>
      <w:rFonts w:ascii="Calibri" w:eastAsia="Times New Roman" w:hAnsi="Calibri" w:cs="Times New Roman"/>
      <w:b/>
      <w:sz w:val="20"/>
    </w:rPr>
  </w:style>
  <w:style w:type="character" w:customStyle="1" w:styleId="TableTextleftalignChar">
    <w:name w:val="Table Text left align Char"/>
    <w:basedOn w:val="DefaultParagraphFont"/>
    <w:link w:val="TableTextleftalign"/>
    <w:rsid w:val="00DD2963"/>
    <w:rPr>
      <w:rFonts w:ascii="Calibri" w:eastAsia="Times New Roman" w:hAnsi="Calibri" w:cs="Times New Roman"/>
      <w:sz w:val="18"/>
      <w:szCs w:val="18"/>
    </w:rPr>
  </w:style>
  <w:style w:type="paragraph" w:customStyle="1" w:styleId="TableTitlecentred">
    <w:name w:val="Table Title centred"/>
    <w:basedOn w:val="Normal"/>
    <w:rsid w:val="00DD2963"/>
    <w:pPr>
      <w:spacing w:before="0" w:after="0" w:line="240" w:lineRule="auto"/>
      <w:jc w:val="center"/>
    </w:pPr>
    <w:rPr>
      <w:rFonts w:ascii="Calibri" w:eastAsia="Times New Roman" w:hAnsi="Calibri" w:cs="Times New Roman"/>
      <w:b/>
      <w:sz w:val="18"/>
      <w:szCs w:val="20"/>
    </w:rPr>
  </w:style>
  <w:style w:type="character" w:customStyle="1" w:styleId="fontstyle21">
    <w:name w:val="fontstyle21"/>
    <w:basedOn w:val="DefaultParagraphFont"/>
    <w:rsid w:val="00DD2963"/>
    <w:rPr>
      <w:rFonts w:ascii="ArialNarrow" w:hAnsi="ArialNarrow" w:hint="default"/>
      <w:b w:val="0"/>
      <w:bCs w:val="0"/>
      <w:i w:val="0"/>
      <w:iCs w:val="0"/>
      <w:color w:val="000000"/>
      <w:sz w:val="20"/>
      <w:szCs w:val="20"/>
    </w:rPr>
  </w:style>
  <w:style w:type="character" w:styleId="Mention">
    <w:name w:val="Mention"/>
    <w:basedOn w:val="DefaultParagraphFont"/>
    <w:uiPriority w:val="99"/>
    <w:unhideWhenUsed/>
    <w:rsid w:val="00DD2963"/>
    <w:rPr>
      <w:color w:val="2B579A"/>
      <w:shd w:val="clear" w:color="auto" w:fill="E1DFDD"/>
    </w:rPr>
  </w:style>
  <w:style w:type="character" w:customStyle="1" w:styleId="MainBodyTextEmphasiswithBold">
    <w:name w:val="Main Body Text Emphasis with Bold"/>
    <w:qFormat/>
    <w:rsid w:val="00DD2963"/>
    <w:rPr>
      <w:b/>
    </w:rPr>
  </w:style>
  <w:style w:type="paragraph" w:customStyle="1" w:styleId="TableTextcentred">
    <w:name w:val="Table Text centred"/>
    <w:basedOn w:val="Normal"/>
    <w:link w:val="TableTextcentredChar"/>
    <w:qFormat/>
    <w:rsid w:val="00DD2963"/>
    <w:pPr>
      <w:spacing w:before="0" w:after="0" w:line="240" w:lineRule="auto"/>
      <w:jc w:val="center"/>
    </w:pPr>
    <w:rPr>
      <w:rFonts w:ascii="Calibri" w:eastAsia="Times New Roman" w:hAnsi="Calibri" w:cs="Times New Roman"/>
      <w:sz w:val="18"/>
      <w:szCs w:val="18"/>
    </w:rPr>
  </w:style>
  <w:style w:type="character" w:customStyle="1" w:styleId="TableTextcentredChar">
    <w:name w:val="Table Text centred Char"/>
    <w:basedOn w:val="DefaultParagraphFont"/>
    <w:link w:val="TableTextcentred"/>
    <w:rsid w:val="00DD2963"/>
    <w:rPr>
      <w:rFonts w:ascii="Calibri" w:eastAsia="Times New Roman" w:hAnsi="Calibri" w:cs="Times New Roman"/>
      <w:sz w:val="18"/>
      <w:szCs w:val="18"/>
    </w:rPr>
  </w:style>
  <w:style w:type="paragraph" w:customStyle="1" w:styleId="TableFootnoteindent">
    <w:name w:val="Table Footnote indent"/>
    <w:basedOn w:val="Normal"/>
    <w:next w:val="Normal"/>
    <w:link w:val="TableFootnoteindentChar"/>
    <w:qFormat/>
    <w:rsid w:val="00DD2963"/>
    <w:pPr>
      <w:tabs>
        <w:tab w:val="left" w:pos="284"/>
      </w:tabs>
      <w:spacing w:before="0" w:after="0" w:line="240" w:lineRule="auto"/>
      <w:ind w:left="284" w:hanging="284"/>
    </w:pPr>
    <w:rPr>
      <w:rFonts w:ascii="Calibri" w:eastAsia="Times New Roman" w:hAnsi="Calibri" w:cs="Times New Roman"/>
      <w:sz w:val="16"/>
    </w:rPr>
  </w:style>
  <w:style w:type="character" w:customStyle="1" w:styleId="TableFootnoteindentChar">
    <w:name w:val="Table Footnote indent Char"/>
    <w:basedOn w:val="DefaultParagraphFont"/>
    <w:link w:val="TableFootnoteindent"/>
    <w:rsid w:val="00DD2963"/>
    <w:rPr>
      <w:rFonts w:ascii="Calibri" w:eastAsia="Times New Roman" w:hAnsi="Calibri" w:cs="Times New Roman"/>
      <w:sz w:val="16"/>
    </w:rPr>
  </w:style>
  <w:style w:type="paragraph" w:customStyle="1" w:styleId="bulletlevel1">
    <w:name w:val="bullet level 1"/>
    <w:basedOn w:val="Normal"/>
    <w:link w:val="bulletlevel1Char"/>
    <w:rsid w:val="001404F4"/>
    <w:pPr>
      <w:numPr>
        <w:numId w:val="25"/>
      </w:numPr>
      <w:tabs>
        <w:tab w:val="num" w:pos="360"/>
        <w:tab w:val="num" w:pos="426"/>
      </w:tabs>
      <w:spacing w:before="0" w:after="0" w:line="240" w:lineRule="auto"/>
      <w:ind w:left="0" w:firstLine="0"/>
    </w:pPr>
    <w:rPr>
      <w:rFonts w:ascii="Calibri" w:eastAsia="Times New Roman" w:hAnsi="Calibri" w:cs="Times New Roman"/>
    </w:rPr>
  </w:style>
  <w:style w:type="character" w:customStyle="1" w:styleId="bulletlevel1Char">
    <w:name w:val="bullet level 1 Char"/>
    <w:basedOn w:val="DefaultParagraphFont"/>
    <w:link w:val="bulletlevel1"/>
    <w:rsid w:val="00DD2963"/>
    <w:rPr>
      <w:rFonts w:ascii="Calibri" w:eastAsia="Times New Roman" w:hAnsi="Calibri" w:cs="Times New Roman"/>
    </w:rPr>
  </w:style>
  <w:style w:type="paragraph" w:customStyle="1" w:styleId="bulletlevel2">
    <w:name w:val="bullet level 2"/>
    <w:basedOn w:val="Normal"/>
    <w:link w:val="bulletlevel2Char"/>
    <w:qFormat/>
    <w:rsid w:val="001404F4"/>
    <w:pPr>
      <w:numPr>
        <w:numId w:val="26"/>
      </w:numPr>
      <w:tabs>
        <w:tab w:val="num" w:pos="360"/>
        <w:tab w:val="num" w:pos="851"/>
      </w:tabs>
      <w:spacing w:before="0" w:after="0" w:line="240" w:lineRule="auto"/>
      <w:ind w:left="0" w:firstLine="0"/>
    </w:pPr>
    <w:rPr>
      <w:rFonts w:ascii="Calibri" w:eastAsia="Times New Roman" w:hAnsi="Calibri" w:cs="Times New Roman"/>
      <w:color w:val="000000"/>
      <w:lang w:val="en-US"/>
    </w:rPr>
  </w:style>
  <w:style w:type="character" w:customStyle="1" w:styleId="bulletlevel2Char">
    <w:name w:val="bullet level 2 Char"/>
    <w:basedOn w:val="DefaultParagraphFont"/>
    <w:link w:val="bulletlevel2"/>
    <w:rsid w:val="00DD2963"/>
    <w:rPr>
      <w:rFonts w:ascii="Calibri" w:eastAsia="Times New Roman" w:hAnsi="Calibri" w:cs="Times New Roman"/>
      <w:color w:val="000000"/>
      <w:lang w:val="en-US"/>
    </w:rPr>
  </w:style>
  <w:style w:type="character" w:customStyle="1" w:styleId="xcitation-part">
    <w:name w:val="x_citation-part"/>
    <w:basedOn w:val="DefaultParagraphFont"/>
    <w:rsid w:val="00DD2963"/>
  </w:style>
  <w:style w:type="character" w:customStyle="1" w:styleId="xdocsum-pmid">
    <w:name w:val="x_docsum-pmid"/>
    <w:basedOn w:val="DefaultParagraphFont"/>
    <w:rsid w:val="00DD2963"/>
  </w:style>
  <w:style w:type="character" w:customStyle="1" w:styleId="xfree-resources">
    <w:name w:val="x_free-resources"/>
    <w:basedOn w:val="DefaultParagraphFont"/>
    <w:rsid w:val="00DD2963"/>
  </w:style>
  <w:style w:type="character" w:customStyle="1" w:styleId="docsum-authors">
    <w:name w:val="docsum-authors"/>
    <w:basedOn w:val="DefaultParagraphFont"/>
    <w:rsid w:val="00DD2963"/>
  </w:style>
  <w:style w:type="character" w:customStyle="1" w:styleId="docsum-journal-citation">
    <w:name w:val="docsum-journal-citation"/>
    <w:basedOn w:val="DefaultParagraphFont"/>
    <w:rsid w:val="00DD2963"/>
  </w:style>
  <w:style w:type="character" w:customStyle="1" w:styleId="citation-part">
    <w:name w:val="citation-part"/>
    <w:basedOn w:val="DefaultParagraphFont"/>
    <w:rsid w:val="00DD2963"/>
  </w:style>
  <w:style w:type="character" w:customStyle="1" w:styleId="docsum-pmid">
    <w:name w:val="docsum-pmid"/>
    <w:basedOn w:val="DefaultParagraphFont"/>
    <w:rsid w:val="00DD2963"/>
  </w:style>
  <w:style w:type="paragraph" w:customStyle="1" w:styleId="paragraph">
    <w:name w:val="paragraph"/>
    <w:basedOn w:val="Normal"/>
    <w:rsid w:val="00DD29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D2963"/>
  </w:style>
  <w:style w:type="character" w:customStyle="1" w:styleId="eop">
    <w:name w:val="eop"/>
    <w:basedOn w:val="DefaultParagraphFont"/>
    <w:rsid w:val="00DD2963"/>
  </w:style>
  <w:style w:type="character" w:customStyle="1" w:styleId="3-BodyTextChar">
    <w:name w:val="3-Body Text Char"/>
    <w:basedOn w:val="DefaultParagraphFont"/>
    <w:link w:val="3-BodyText"/>
    <w:rsid w:val="007F5C16"/>
    <w:rPr>
      <w:rFonts w:eastAsia="Times New Roman" w:cs="Arial"/>
      <w:snapToGrid w:val="0"/>
      <w:sz w:val="24"/>
      <w:szCs w:val="24"/>
      <w:lang w:eastAsia="en-AU"/>
    </w:rPr>
  </w:style>
  <w:style w:type="paragraph" w:customStyle="1" w:styleId="bullet0">
    <w:name w:val="bullet"/>
    <w:basedOn w:val="ListParagraph"/>
    <w:rsid w:val="00455C5C"/>
    <w:pPr>
      <w:numPr>
        <w:numId w:val="27"/>
      </w:numPr>
      <w:spacing w:before="0" w:after="120" w:line="240" w:lineRule="auto"/>
      <w:contextualSpacing w:val="0"/>
    </w:pPr>
    <w:rPr>
      <w:rFonts w:ascii="Calibri" w:eastAsia="Times New Roman" w:hAnsi="Calibri"/>
      <w:i/>
    </w:rPr>
  </w:style>
  <w:style w:type="table" w:customStyle="1" w:styleId="Section3-footnot1">
    <w:name w:val="Section 3- footnot1"/>
    <w:basedOn w:val="TableNormal"/>
    <w:next w:val="TableGrid"/>
    <w:uiPriority w:val="59"/>
    <w:rsid w:val="00A7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0">
    <w:name w:val="BulletBeforeDash"/>
    <w:basedOn w:val="Normal"/>
    <w:rsid w:val="00207E3F"/>
    <w:pPr>
      <w:numPr>
        <w:numId w:val="29"/>
      </w:numPr>
      <w:spacing w:before="0" w:after="0" w:line="240" w:lineRule="auto"/>
      <w:ind w:left="720"/>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4884954">
      <w:bodyDiv w:val="1"/>
      <w:marLeft w:val="0"/>
      <w:marRight w:val="0"/>
      <w:marTop w:val="0"/>
      <w:marBottom w:val="0"/>
      <w:divBdr>
        <w:top w:val="none" w:sz="0" w:space="0" w:color="auto"/>
        <w:left w:val="none" w:sz="0" w:space="0" w:color="auto"/>
        <w:bottom w:val="none" w:sz="0" w:space="0" w:color="auto"/>
        <w:right w:val="none" w:sz="0" w:space="0" w:color="auto"/>
      </w:divBdr>
    </w:div>
    <w:div w:id="151916369">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7793512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75723608">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2794730">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2104379">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8771781">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8877574">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811359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3743651">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9.health.gov.au/mbs/fullDisplay.cfm?type=item&amp;q=18353&amp;qt=item&amp;criteria=xeomin" TargetMode="External"/><Relationship Id="rId18" Type="http://schemas.openxmlformats.org/officeDocument/2006/relationships/hyperlink" Target="https://www9.health.gov.au/mbs/fullDisplay.cfm?type=item&amp;q=18372&amp;qt=item" TargetMode="External"/><Relationship Id="rId26" Type="http://schemas.openxmlformats.org/officeDocument/2006/relationships/hyperlink" Target="https://www.rch.org.au/uploadedfiles/main/content/plastic/salivabook.pdf" TargetMode="External"/><Relationship Id="rId3" Type="http://schemas.openxmlformats.org/officeDocument/2006/relationships/customXml" Target="../customXml/item3.xml"/><Relationship Id="rId21" Type="http://schemas.openxmlformats.org/officeDocument/2006/relationships/hyperlink" Target="https://www9.health.gov.au/mbs/fullDisplay.cfm?type=item&amp;q=18353&amp;qt=item&amp;criteria=xeomi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sac.gov.au/applications/1379" TargetMode="External"/><Relationship Id="rId17" Type="http://schemas.openxmlformats.org/officeDocument/2006/relationships/hyperlink" Target="https://view.officeapps.live.com/op/view.aspx?src=https%3A%2F%2Fm.pbs.gov.au%2Findustry%2Flisting%2Felements%2Fpbac-meetings%2Fpsd%2F2024-11%2Ffiles%2Fincobotulinumtoxina-psd-nov-2024.docx&amp;wdOrigin=BROWSELINK" TargetMode="External"/><Relationship Id="rId25" Type="http://schemas.openxmlformats.org/officeDocument/2006/relationships/hyperlink" Target="https://www.rch.org.au/uploadedfiles/main/content/plastic/salivabook.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ealthgov.sharepoint.com/:p:/r/sites/D365-HPP-Site/_layouts/15/Doc.aspx?sourcedoc=%7B27F23865-9B01-4A6D-98FF-F683BE902322%7D&amp;file=1800%20-%201st%20discussant-%20BrienFINAL.pptx&amp;action=edit&amp;mobileredirect=true" TargetMode="External"/><Relationship Id="rId20" Type="http://schemas.openxmlformats.org/officeDocument/2006/relationships/hyperlink" Target="https://www.health.gov.au/resources/publications/taskforce-final-report-neurosurgery-and-neurology-mbs-items?language=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hyperlink" Target="https://www9.health.gov.au/mbs/fullDisplay.cfm?type=item&amp;q=18374&amp;qt=item&amp;criteria=xeomin"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9.health.gov.au/mbs/fullDisplay.cfm?type=item&amp;q=18369&amp;qt=item&amp;criteria=xeomin" TargetMode="External"/><Relationship Id="rId23" Type="http://schemas.openxmlformats.org/officeDocument/2006/relationships/hyperlink" Target="https://www9.health.gov.au/mbs/fullDisplay.cfm?type=item&amp;q=18369&amp;qt=item&amp;criteria=xeomi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9.health.gov.au/mbs/search.cfm?q=18374&amp;Submit=&amp;sopt=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health.gov.au/mbs/fullDisplay.cfm?type=item&amp;q=18365&amp;qt=item&amp;criteria=xeomin" TargetMode="External"/><Relationship Id="rId22" Type="http://schemas.openxmlformats.org/officeDocument/2006/relationships/hyperlink" Target="https://www9.health.gov.au/mbs/fullDisplay.cfm?type=item&amp;q=18365&amp;qt=item&amp;criteria=xeomin" TargetMode="External"/><Relationship Id="rId27" Type="http://schemas.openxmlformats.org/officeDocument/2006/relationships/hyperlink" Target="http://msac.gov.au/internet/msac/publishing.nsf/Content/Home-1"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customXml/itemProps2.xml><?xml version="1.0" encoding="utf-8"?>
<ds:datastoreItem xmlns:ds="http://schemas.openxmlformats.org/officeDocument/2006/customXml" ds:itemID="{57991811-365A-4A79-9F67-6C5E0A98F93C}">
  <ds:schemaRefs>
    <ds:schemaRef ds:uri="http://schemas.microsoft.com/sharepoint/v3/contenttype/forms"/>
  </ds:schemaRefs>
</ds:datastoreItem>
</file>

<file path=customXml/itemProps3.xml><?xml version="1.0" encoding="utf-8"?>
<ds:datastoreItem xmlns:ds="http://schemas.openxmlformats.org/officeDocument/2006/customXml" ds:itemID="{49E1FD98-9EA7-4E8B-9A57-A20D53995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49735-257D-437C-A2BC-0B9F96069B2D}">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5724</Words>
  <Characters>32629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2025-06-19T05:39:00Z</dcterms:created>
  <dcterms:modified xsi:type="dcterms:W3CDTF">2025-06-20T00:56:00Z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PArchived">
    <vt:lpwstr>Archived</vt:lpwstr>
  </property>
  <property fmtid="{D5CDD505-2E9C-101B-9397-08002B2CF9AE}" pid="3" name="MediaServiceImageTags">
    <vt:lpwstr/>
  </property>
  <property fmtid="{D5CDD505-2E9C-101B-9397-08002B2CF9AE}" pid="4" name="ContentTypeId">
    <vt:lpwstr>0x0101005E4A37BE997BE34FBB7D5057D341D123</vt:lpwstr>
  </property>
  <property fmtid="{D5CDD505-2E9C-101B-9397-08002B2CF9AE}" pid="5" name="TrimRecordURI">
    <vt:lpwstr>255019235</vt:lpwstr>
  </property>
  <property fmtid="{D5CDD505-2E9C-101B-9397-08002B2CF9AE}" pid="6" name="HPPTrimLink">
    <vt:lpwstr>https://auc-common-prd-app-as-trim.azurewebsites.net/Api/DownloadTrimFile/HPP/D25-660549</vt:lpwstr>
  </property>
  <property fmtid="{D5CDD505-2E9C-101B-9397-08002B2CF9AE}" pid="7" name="HPPTrimRecordId">
    <vt:lpwstr>D25-660549</vt:lpwstr>
  </property>
  <property fmtid="{D5CDD505-2E9C-101B-9397-08002B2CF9AE}" pid="8" name="HPPTrimContainerId">
    <vt:lpwstr>E25-76808</vt:lpwstr>
  </property>
</Properties>
</file>